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We denoise Gaussian noise (σ=25) on our integer CNN accelerator for a Zynq XC7Z020 FPGA (64 multipliers, one bitstream, 7-bit inputs) and show how the measured bottleneck changes the network design. A cycle model, within 0.003% of the board after two corrections, shows that this build, which receives host-built windows one value per cycle, is bound by its input port: a window of K input values costs K cycles for up to 64 output channels. A 7-layer DnCNN-style baseline therefore uses 41% of the multipliers, and two choices that look wasteful by FLOP count pay off. A 2×2 space-to-depth input fits a 10-layer, 64-channel network (6.4× the parameters, 1.6× the multiplications) in 25% fewer cycles, 0.3 dB higher on Set12. Maxout, which doubles a layer's multiplications, becomes extra output channels: on the board a 64-output maxout layer took 289 cycles per window, as a 32-output ReLU layer did, and for 1% more cycles the maxout network denoises better than the ReLU network of the same width [MAXOUT]. With quantization-aware training that reproduces the board's arithmetic, the quality-first integer model reaches 30.12 / 29.02 dB (Set12 / BSD68), above BM3D on the same clipped input (29.95 / 28.37 dB; 29.98 / 28.62 dB unclipped), and the speed-first model matches BM3D in 2.63× fewer cycles. Seven models were verified bit for bit on the board. With on-chip line buffers, the same model predicts that maxout stops being free and network B becomes slower than the baseline: the best network follows the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latency on GPUs, TPUs, NPUs or DPUs, or model DRAM traffic.</w:t>
      </w:r>
    </w:p>
    <w:p>
      <w:pPr>
        <w:pStyle w:val="a3"/>
      </w:pPr>
      <w:r>
        <w:t>We study the same principle at a smaller scale and at cycle level, on an integer CNN core of our own design for a Zynq XC7Z020: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maxout in the free output channels, whose hidden layers keep their cycle count on the board; 3. integer models, trained with quantization-aware training that reproduces the board's arithmetic, that beat BM3D on the same input, verified bit for bit on the board.</w:t>
      </w:r>
    </w:p>
    <w:p>
      <w:pPr>
        <w:pStyle w:val="a3"/>
      </w:pPr>
      <w:r>
        <w:t>Space-to-depth [12], [5], maxout [13]–[15] and quantization-aware training [16] are known techniques; our claim concerns the reason for choosing them. It holds for an input structure that receives host-built windows; with on-chip line buffers the same model predicts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3024000" cy="2090118"/>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3024000" cy="2090118"/>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and 51% of the BRAM; synthesis was not restricted, but Vivado built every 8-bit multiplier from LUTs, so no DSP slice is used. Timing closes at 100 MHz (WNS +0.221 ns); the board runs use the 50 MHz default clock, and a run at 100 MHz gave the same cycle count as at 50 MHz (0.44 s of core time).</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On the baseline network the board showed one cycle more per window and at least COUT cycles per window (outputs leave one per cycle). With these two corrections, (1) predicted the total cycles of three networks designed afterwards within 0.003% (Table II), against 0.7–1.6% without them. Equation (1) is the dense-mode bound. All board runs used the sparse mode, which skips multiplications by zero activations and so shortens only the compute term; input-bound layers take the same cycles in both modes.</w:t>
      </w:r>
    </w:p>
    <w:p>
      <w:pPr>
        <w:pStyle w:val="a3"/>
      </w:pPr>
      <w:r>
        <w:rPr>
          <w:b/>
        </w:rPr>
        <w:t>Where the bottleneck comes from.</w:t>
      </w:r>
      <w:r>
        <w:t xml:space="preserve"> One value per cycle is a choice of the AXI-Stream wrapper, which unpacks four 7-bit values per 32-bit beat, made to reuse the CIFAR-10 bitstream unchanged. With w values per cycle, about P·T/w output channels come free (64, 32 and 16 for w = 1, 2, 4). Host-built windows have the same effect. With on-chip line buffers [7], a window brings only its new column of C_in values; by the dense model a hidden layer with K = 288 then costs 145 cycles at COUT = 32 and 289 at COUT = 64, maxout doubles the cost, and the baseline (833 cycles/pixel) becomes faster than network B (1,208). These are predictions, not measurements. The rules below therefore hold for this input structure; what carries over is choosing networks by the measured bottleneck. The host's share is small but not zero: im2col, requantization and maxout take 0.07–0.13 s per 256×256 image on a 4-core PC, 5–9% of the 50 MHz core time.</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and more multipliers would not make it faster.</w:t>
      </w:r>
    </w:p>
    <w:p>
      <w:pPr>
        <w:pStyle w:val="a3"/>
      </w:pPr>
      <w:r>
        <w:rPr>
          <w:b/>
        </w:rPr>
        <w:t>Space-to-depth (B).</w:t>
      </w:r>
      <w:r>
        <w:t xml:space="preserve"> As in FFDNet [12],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Maxout in free output channels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[13] in its Max-Feature-Map form [17]. The next layer's K is unchanged, so hidden layers keep their cycle count; only the first layer (K = 36 &lt; 64) grows to 64 cycles per window, 1% per pixel. In restoration the benefit of maxout depends on width: it halved the filters at equal quality in super-resolution [14] and was about 0.04 dB below ReLU in a 64-channel space-to-depth denoiser [15]. Requantization is monotonic per channel, so (2) on codes is the requantized maximum.</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Weights are per-channel symmetric INT8 and activations 7-bit with one scale per map [16], chosen from percentiles on training images. A module that reproduces the board's integer arithmetic in float (rounding, bias units, skip-scale folding, maxout after requantization, 8-bit output) is then fine-tuned for 15 epochs with straight-through gradients and learned scales [18]; its PSNR matches the integer model within 0.001 dB. No checkpoint, learning-rate step or quantization range was chosen on Set12 or BSD68.</w:t>
      </w:r>
    </w:p>
    <w:p>
      <w:pPr>
        <w:pStyle w:val="1"/>
      </w:pPr>
      <w:r>
        <w:t>Verification</w:t>
      </w:r>
    </w:p>
    <w:p>
      <w:pPr>
        <w:pStyle w:val="a3"/>
      </w:pPr>
      <w:r>
        <w:t>The RTL was verified in a UVM [19] environment (AXI4-Lite and AXI4-Stream agents, a scoreboard that predicts from a reference model, coverage and handshake assertions) on Verilator: 39 runs under UVM 1.2 and 26 under IEEE 1800.2-2020 passed, and all ten injected bugs were caught. On the board, every layer's output is compared value by value with the integer model, and the final PSNR must equal the integer model's; every board figure below passed this check.</w:t>
      </w:r>
    </w:p>
    <w:p>
      <w:pPr>
        <w:pStyle w:val="1"/>
      </w:pPr>
      <w:r>
        <w:t>Results</w:t>
      </w:r>
    </w:p>
    <w:p>
      <w:pPr>
        <w:pStyle w:val="a3"/>
      </w:pPr>
      <w:r>
        <w:rPr>
          <w:b/>
        </w:rPr>
        <w:t>Setup.</w:t>
      </w:r>
      <w:r>
        <w:t xml:space="preserve"> Set12 and BSD68 [20]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Integer PSNR is that of the integer model, which the board reproduces bit for bit; with one training seed,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and core cost. Cycles are the corrected model; "board" marks networks whose cycles were measured. B-32 rows train for a fixed 120 epochs (seed 1).</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3277"/>
        <w:gridCol w:w="1272"/>
        <w:gridCol w:w="1272"/>
        <w:gridCol w:w="1272"/>
        <w:gridCol w:w="1272"/>
        <w:gridCol w:w="1272"/>
      </w:tblGrid>
      <w:tr>
        <w:tc>
          <w:tcPr>
            <w:tcW w:type="dxa" w:w="3277"/>
          </w:tcPr>
          <w:p>
            <w:pPr>
              <w:pStyle w:val="tablecolhead"/>
              <w:spacing w:before="20" w:after="20"/>
            </w:pPr>
            <w:r>
              <w:t>Model</w:t>
            </w:r>
          </w:p>
        </w:tc>
        <w:tc>
          <w:tcPr>
            <w:tcW w:type="dxa" w:w="1272"/>
          </w:tcPr>
          <w:p>
            <w:pPr>
              <w:pStyle w:val="tablecolhead"/>
              <w:spacing w:before="20" w:after="20"/>
              <w:jc w:val="center"/>
            </w:pPr>
            <w:r>
              <w:t>Cycles/px</w:t>
            </w:r>
          </w:p>
        </w:tc>
        <w:tc>
          <w:tcPr>
            <w:tcW w:type="dxa" w:w="1272"/>
          </w:tcPr>
          <w:p>
            <w:pPr>
              <w:pStyle w:val="tablecolhead"/>
              <w:spacing w:before="20" w:after="20"/>
              <w:jc w:val="center"/>
            </w:pPr>
            <w:r>
              <w:t>Util.</w:t>
            </w:r>
          </w:p>
        </w:tc>
        <w:tc>
          <w:tcPr>
            <w:tcW w:type="dxa" w:w="1272"/>
          </w:tcPr>
          <w:p>
            <w:pPr>
              <w:pStyle w:val="tablecolhead"/>
              <w:spacing w:before="20" w:after="20"/>
              <w:jc w:val="center"/>
            </w:pPr>
            <w:r>
              <w:t>Params</w:t>
            </w:r>
          </w:p>
        </w:tc>
        <w:tc>
          <w:tcPr>
            <w:tcW w:type="dxa" w:w="1272"/>
          </w:tcPr>
          <w:p>
            <w:pPr>
              <w:pStyle w:val="tablecolhead"/>
              <w:spacing w:before="20" w:after="20"/>
              <w:jc w:val="center"/>
            </w:pPr>
            <w:r>
              <w:t>Set12 float / int</w:t>
            </w:r>
          </w:p>
        </w:tc>
        <w:tc>
          <w:tcPr>
            <w:tcW w:type="dxa" w:w="1272"/>
          </w:tcPr>
          <w:p>
            <w:pPr>
              <w:pStyle w:val="tablecolhead"/>
              <w:spacing w:before="20" w:after="20"/>
              <w:jc w:val="center"/>
            </w:pPr>
            <w:r>
              <w:t>BSD68 float / int</w:t>
            </w:r>
          </w:p>
        </w:tc>
      </w:tr>
      <w:tr>
        <w:tc>
          <w:tcPr>
            <w:tcW w:type="dxa" w:w="3277"/>
          </w:tcPr>
          <w:p>
            <w:pPr>
              <w:pStyle w:val="tablecopy"/>
              <w:spacing w:before="20" w:after="20"/>
            </w:pPr>
            <w:r>
              <w:t>BM3D [2], clipped input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29.95</w:t>
            </w:r>
          </w:p>
        </w:tc>
        <w:tc>
          <w:tcPr>
            <w:tcW w:type="dxa" w:w="1272"/>
          </w:tcPr>
          <w:p>
            <w:pPr>
              <w:pStyle w:val="tablecopy"/>
              <w:spacing w:before="20" w:after="20"/>
              <w:jc w:val="center"/>
            </w:pPr>
            <w:r>
              <w:t>28.37</w:t>
            </w:r>
          </w:p>
        </w:tc>
      </w:tr>
      <w:tr>
        <w:tc>
          <w:tcPr>
            <w:tcW w:type="dxa" w:w="3277"/>
          </w:tcPr>
          <w:p>
            <w:pPr>
              <w:pStyle w:val="tablecopy"/>
              <w:spacing w:before="20" w:after="20"/>
            </w:pPr>
            <w:r>
              <w:t>BM3D, unclipped</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c>
          <w:tcPr>
            <w:tcW w:type="dxa" w:w="1272"/>
          </w:tcPr>
          <w:p>
            <w:pPr>
              <w:pStyle w:val="tablecopy"/>
              <w:spacing w:before="20" w:after="20"/>
              <w:jc w:val="center"/>
            </w:pPr>
            <w:r>
              <w:t>29.98</w:t>
            </w:r>
          </w:p>
        </w:tc>
        <w:tc>
          <w:tcPr>
            <w:tcW w:type="dxa" w:w="1272"/>
          </w:tcPr>
          <w:p>
            <w:pPr>
              <w:pStyle w:val="tablecopy"/>
              <w:spacing w:before="20" w:after="20"/>
              <w:jc w:val="center"/>
            </w:pPr>
            <w:r>
              <w:t>28.62</w:t>
            </w:r>
          </w:p>
        </w:tc>
      </w:tr>
      <w:tr>
        <w:tc>
          <w:tcPr>
            <w:tcW w:type="dxa" w:w="3277"/>
          </w:tcPr>
          <w:p>
            <w:pPr>
              <w:pStyle w:val="tablecopy"/>
              <w:spacing w:before="20" w:after="20"/>
            </w:pPr>
            <w:r>
              <w:t>DnCNN-S [1], same input</w:t>
            </w:r>
          </w:p>
        </w:tc>
        <w:tc>
          <w:tcPr>
            <w:tcW w:type="dxa" w:w="1272"/>
          </w:tcPr>
          <w:p>
            <w:pPr>
              <w:pStyle w:val="tablecopy"/>
              <w:spacing w:before="20" w:after="20"/>
              <w:jc w:val="center"/>
            </w:pPr>
            <w:r>
              <w:t>9.3k</w:t>
            </w:r>
          </w:p>
        </w:tc>
        <w:tc>
          <w:tcPr>
            <w:tcW w:type="dxa" w:w="1272"/>
          </w:tcPr>
          <w:p>
            <w:pPr>
              <w:pStyle w:val="tablecopy"/>
              <w:spacing w:before="20" w:after="20"/>
              <w:jc w:val="center"/>
            </w:pPr>
            <w:r>
              <w:t>—</w:t>
            </w:r>
          </w:p>
        </w:tc>
        <w:tc>
          <w:tcPr>
            <w:tcW w:type="dxa" w:w="1272"/>
          </w:tcPr>
          <w:p>
            <w:pPr>
              <w:pStyle w:val="tablecopy"/>
              <w:spacing w:before="20" w:after="20"/>
              <w:jc w:val="center"/>
            </w:pPr>
            <w:r>
              <w:t>556k</w:t>
            </w:r>
          </w:p>
        </w:tc>
        <w:tc>
          <w:tcPr>
            <w:tcW w:type="dxa" w:w="1272"/>
          </w:tcPr>
          <w:p>
            <w:pPr>
              <w:pStyle w:val="tablecopy"/>
              <w:spacing w:before="20" w:after="20"/>
              <w:jc w:val="center"/>
            </w:pPr>
            <w:r>
              <w:t>30.35</w:t>
            </w:r>
          </w:p>
        </w:tc>
        <w:tc>
          <w:tcPr>
            <w:tcW w:type="dxa" w:w="1272"/>
          </w:tcPr>
          <w:p>
            <w:pPr>
              <w:pStyle w:val="tablecopy"/>
              <w:spacing w:before="20" w:after="20"/>
              <w:jc w:val="center"/>
            </w:pPr>
            <w:r>
              <w:t>28.89</w:t>
            </w:r>
          </w:p>
        </w:tc>
      </w:tr>
      <w:tr>
        <w:tc>
          <w:tcPr>
            <w:tcW w:type="dxa" w:w="3277"/>
          </w:tcPr>
          <w:p>
            <w:pPr>
              <w:pStyle w:val="tablecopy"/>
              <w:spacing w:before="20" w:after="20"/>
            </w:pPr>
            <w:r>
              <w:t>A: 7 × 32</w:t>
            </w:r>
          </w:p>
        </w:tc>
        <w:tc>
          <w:tcPr>
            <w:tcW w:type="dxa" w:w="1272"/>
          </w:tcPr>
          <w:p>
            <w:pPr>
              <w:pStyle w:val="tablecopy"/>
              <w:spacing w:before="20" w:after="20"/>
              <w:jc w:val="center"/>
            </w:pPr>
            <w:r>
              <w:t>1,775 board</w:t>
            </w:r>
          </w:p>
        </w:tc>
        <w:tc>
          <w:tcPr>
            <w:tcW w:type="dxa" w:w="1272"/>
          </w:tcPr>
          <w:p>
            <w:pPr>
              <w:pStyle w:val="tablecopy"/>
              <w:spacing w:before="20" w:after="20"/>
              <w:jc w:val="center"/>
            </w:pPr>
            <w:r>
              <w:t>41%</w:t>
            </w:r>
          </w:p>
        </w:tc>
        <w:tc>
          <w:tcPr>
            <w:tcW w:type="dxa" w:w="1272"/>
          </w:tcPr>
          <w:p>
            <w:pPr>
              <w:pStyle w:val="tablecopy"/>
              <w:spacing w:before="20" w:after="20"/>
              <w:jc w:val="center"/>
            </w:pPr>
            <w:r>
              <w:t>47k</w:t>
            </w:r>
          </w:p>
        </w:tc>
        <w:tc>
          <w:tcPr>
            <w:tcW w:type="dxa" w:w="1272"/>
          </w:tcPr>
          <w:p>
            <w:pPr>
              <w:pStyle w:val="tablecopy"/>
              <w:spacing w:before="20" w:after="20"/>
              <w:jc w:val="center"/>
            </w:pPr>
            <w:r>
              <w:t>29.87 / 29.83</w:t>
            </w:r>
          </w:p>
        </w:tc>
        <w:tc>
          <w:tcPr>
            <w:tcW w:type="dxa" w:w="1272"/>
          </w:tcPr>
          <w:p>
            <w:pPr>
              <w:pStyle w:val="tablecopy"/>
              <w:spacing w:before="20" w:after="20"/>
              <w:jc w:val="center"/>
            </w:pPr>
            <w:r>
              <w:t>28.83 / 28.80</w:t>
            </w:r>
          </w:p>
        </w:tc>
      </w:tr>
      <w:tr>
        <w:tc>
          <w:tcPr>
            <w:tcW w:type="dxa" w:w="3277"/>
          </w:tcPr>
          <w:p>
            <w:pPr>
              <w:pStyle w:val="tablecopy"/>
              <w:spacing w:before="20" w:after="20"/>
            </w:pPr>
            <w:r>
              <w:rPr>
                <w:b/>
              </w:rPr>
              <w:t>B + QAT: s2d, 10 × 64</w:t>
            </w:r>
          </w:p>
        </w:tc>
        <w:tc>
          <w:tcPr>
            <w:tcW w:type="dxa" w:w="1272"/>
          </w:tcPr>
          <w:p>
            <w:pPr>
              <w:pStyle w:val="tablecopy"/>
              <w:spacing w:before="20" w:after="20"/>
              <w:jc w:val="center"/>
            </w:pPr>
            <w:r>
              <w:t>1,323 board</w:t>
            </w:r>
          </w:p>
        </w:tc>
        <w:tc>
          <w:tcPr>
            <w:tcW w:type="dxa" w:w="1272"/>
          </w:tcPr>
          <w:p>
            <w:pPr>
              <w:pStyle w:val="tablecopy"/>
              <w:spacing w:before="20" w:after="20"/>
              <w:jc w:val="center"/>
            </w:pPr>
            <w:r>
              <w:t>88%</w:t>
            </w:r>
          </w:p>
        </w:tc>
        <w:tc>
          <w:tcPr>
            <w:tcW w:type="dxa" w:w="1272"/>
          </w:tcPr>
          <w:p>
            <w:pPr>
              <w:pStyle w:val="tablecopy"/>
              <w:spacing w:before="20" w:after="20"/>
              <w:jc w:val="center"/>
            </w:pPr>
            <w:r>
              <w:t>300k</w:t>
            </w:r>
          </w:p>
        </w:tc>
        <w:tc>
          <w:tcPr>
            <w:tcW w:type="dxa" w:w="1272"/>
          </w:tcPr>
          <w:p>
            <w:pPr>
              <w:pStyle w:val="tablecopy"/>
              <w:spacing w:before="20" w:after="20"/>
              <w:jc w:val="center"/>
            </w:pPr>
            <w:r>
              <w:t xml:space="preserve">30.13 / </w:t>
            </w:r>
            <w:r>
              <w:rPr>
                <w:b/>
              </w:rPr>
              <w:t>30.12</w:t>
            </w:r>
          </w:p>
        </w:tc>
        <w:tc>
          <w:tcPr>
            <w:tcW w:type="dxa" w:w="1272"/>
          </w:tcPr>
          <w:p>
            <w:pPr>
              <w:pStyle w:val="tablecopy"/>
              <w:spacing w:before="20" w:after="20"/>
              <w:jc w:val="center"/>
            </w:pPr>
            <w:r>
              <w:t xml:space="preserve">29.01 / </w:t>
            </w:r>
            <w:r>
              <w:rPr>
                <w:b/>
              </w:rPr>
              <w:t>29.02</w:t>
            </w:r>
          </w:p>
        </w:tc>
      </w:tr>
      <w:tr>
        <w:tc>
          <w:tcPr>
            <w:tcW w:type="dxa" w:w="3277"/>
          </w:tcPr>
          <w:p>
            <w:pPr>
              <w:pStyle w:val="tablecopy"/>
              <w:spacing w:before="20" w:after="20"/>
            </w:pPr>
            <w:r>
              <w:rPr>
                <w:b/>
              </w:rPr>
              <w:t>B-32 + maxout + QAT</w:t>
            </w:r>
          </w:p>
        </w:tc>
        <w:tc>
          <w:tcPr>
            <w:tcW w:type="dxa" w:w="1272"/>
          </w:tcPr>
          <w:p>
            <w:pPr>
              <w:pStyle w:val="tablecopy"/>
              <w:spacing w:before="20" w:after="20"/>
              <w:jc w:val="center"/>
            </w:pPr>
            <w:r>
              <w:t>675 board</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 xml:space="preserve">30.00 / </w:t>
            </w:r>
            <w:r>
              <w:rPr>
                <w:b/>
              </w:rPr>
              <w:t>30.00</w:t>
            </w:r>
          </w:p>
        </w:tc>
        <w:tc>
          <w:tcPr>
            <w:tcW w:type="dxa" w:w="1272"/>
          </w:tcPr>
          <w:p>
            <w:pPr>
              <w:pStyle w:val="tablecopy"/>
              <w:spacing w:before="20" w:after="20"/>
              <w:jc w:val="center"/>
            </w:pPr>
            <w:r>
              <w:t xml:space="preserve">28.95 / </w:t>
            </w:r>
            <w:r>
              <w:rPr>
                <w:b/>
              </w:rPr>
              <w:t>28.94</w:t>
            </w:r>
          </w:p>
        </w:tc>
      </w:tr>
      <w:tr>
        <w:tc>
          <w:tcPr>
            <w:tcW w:type="dxa" w:w="3277"/>
          </w:tcPr>
          <w:p>
            <w:pPr>
              <w:pStyle w:val="tablecopy"/>
              <w:spacing w:before="20" w:after="20"/>
            </w:pPr>
            <w:r>
              <w:t>B-32 ReLU + QAT [MAXOUT]</w:t>
            </w:r>
          </w:p>
        </w:tc>
        <w:tc>
          <w:tcPr>
            <w:tcW w:type="dxa" w:w="1272"/>
          </w:tcPr>
          <w:p>
            <w:pPr>
              <w:pStyle w:val="tablecopy"/>
              <w:spacing w:before="20" w:after="20"/>
              <w:jc w:val="center"/>
            </w:pPr>
            <w:r>
              <w:t>669 board</w:t>
            </w:r>
          </w:p>
        </w:tc>
        <w:tc>
          <w:tcPr>
            <w:tcW w:type="dxa" w:w="1272"/>
          </w:tcPr>
          <w:p>
            <w:pPr>
              <w:pStyle w:val="tablecopy"/>
              <w:spacing w:before="20" w:after="20"/>
              <w:jc w:val="center"/>
            </w:pPr>
            <w:r>
              <w:t>45%</w:t>
            </w:r>
          </w:p>
        </w:tc>
        <w:tc>
          <w:tcPr>
            <w:tcW w:type="dxa" w:w="1272"/>
          </w:tcPr>
          <w:p>
            <w:pPr>
              <w:pStyle w:val="tablecopy"/>
              <w:spacing w:before="20" w:after="20"/>
              <w:jc w:val="center"/>
            </w:pPr>
            <w:r>
              <w:t>76k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r>
        <w:tc>
          <w:tcPr>
            <w:tcW w:type="dxa" w:w="3277"/>
          </w:tcPr>
          <w:p>
            <w:pPr>
              <w:pStyle w:val="tablecopy"/>
              <w:spacing w:before="20" w:after="20"/>
            </w:pPr>
            <w:r>
              <w:t>B-32 averaging + QAT [MAXOUT]</w:t>
            </w:r>
          </w:p>
        </w:tc>
        <w:tc>
          <w:tcPr>
            <w:tcW w:type="dxa" w:w="1272"/>
          </w:tcPr>
          <w:p>
            <w:pPr>
              <w:pStyle w:val="tablecopy"/>
              <w:spacing w:before="20" w:after="20"/>
              <w:jc w:val="center"/>
            </w:pPr>
            <w:r>
              <w:t>675</w:t>
            </w:r>
          </w:p>
        </w:tc>
        <w:tc>
          <w:tcPr>
            <w:tcW w:type="dxa" w:w="1272"/>
          </w:tcPr>
          <w:p>
            <w:pPr>
              <w:pStyle w:val="tablecopy"/>
              <w:spacing w:before="20" w:after="20"/>
              <w:jc w:val="center"/>
            </w:pPr>
            <w:r>
              <w:t>87%</w:t>
            </w:r>
          </w:p>
        </w:tc>
        <w:tc>
          <w:tcPr>
            <w:tcW w:type="dxa" w:w="1272"/>
          </w:tcPr>
          <w:p>
            <w:pPr>
              <w:pStyle w:val="tablecopy"/>
              <w:spacing w:before="20" w:after="20"/>
              <w:jc w:val="center"/>
            </w:pPr>
            <w:r>
              <w:t>152k</w:t>
            </w:r>
          </w:p>
        </w:tc>
        <w:tc>
          <w:tcPr>
            <w:tcW w:type="dxa" w:w="1272"/>
          </w:tcPr>
          <w:p>
            <w:pPr>
              <w:pStyle w:val="tablecopy"/>
              <w:spacing w:before="20" w:after="20"/>
              <w:jc w:val="center"/>
            </w:pPr>
            <w:r>
              <w:t>—</w:t>
            </w:r>
          </w:p>
        </w:tc>
        <w:tc>
          <w:tcPr>
            <w:tcW w:type="dxa" w:w="1272"/>
          </w:tcPr>
          <w:p>
            <w:pPr>
              <w:pStyle w:val="tablecopy"/>
              <w:spacing w:before="20" w:after="20"/>
              <w:jc w:val="center"/>
            </w:pPr>
            <w:r>
              <w:t>—</w:t>
            </w:r>
          </w:p>
        </w:tc>
      </w:tr>
    </w:tbl>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Fig. 2. Integer PSNR against core cycles per pixel (left Set12, right BSD68). Filled markers are board-measured cycles. At about 670 cycles maxout lies above ReLU, and B lies above and to the left of A.</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on the same input (better on 10/12 and 68/68 images), +0.14 / +0.40 dB over unclipped BM3D, and +0.29 / +0.22 dB over A on all 80 images, in 1.34× fewer cycles.</w:t>
      </w:r>
    </w:p>
    <w:p>
      <w:pPr>
        <w:pStyle w:val="a3"/>
      </w:pPr>
      <w:r>
        <w:rPr>
          <w:b/>
        </w:rPr>
        <w:t>Speed model.</w:t>
      </w:r>
      <w:r>
        <w:t xml:space="preserve"> B-32 + maxout + QAT needs 2.63× fewer cycles than A and scores 30.00 / 28.94 dB, +0.17 / +0.14 dB above A: level with BM3D on Set12 (9/12 images) and +0.57 dB on BSD68 (+0.32 dB unclipped).</w:t>
      </w:r>
    </w:p>
    <w:p>
      <w:pPr>
        <w:pStyle w:val="a3"/>
      </w:pPr>
      <w:r>
        <w:rPr>
          <w:b/>
        </w:rPr>
        <w:t>Maxout against ReLU and averaging.</w:t>
      </w:r>
      <w:r>
        <w:t xml:space="preserve"> [MAXOUT] A first comparison overstated the gain (+0.54 / +0.35 dB): its ReLU network had stopped early after 4k updates against 18k for maxout, and retrained for a fixed 120 epochs it rises from 29.18 to 29.55 dB (Set12, float). The last three rows of Table I therefore share one budget and QAT, and the averaging control keeps the same 64 outputs per hidden layer but combines each pair by its mean after requantization, so it has the same parameters and cycles and lacks only the max.</w:t>
      </w:r>
    </w:p>
    <w:p>
      <w:pPr>
        <w:pStyle w:val="a3"/>
      </w:pPr>
      <w:r>
        <w:rPr>
          <w:b/>
        </w:rPr>
        <w:t>Quantization and the same-input reference.</w:t>
      </w:r>
      <w:r>
        <w:t xml:space="preserve"> QAT brought every integer model within 0.04 dB of its float model; the maxout network had lost 0.16 / 0.14 dB before it. DnCNN-S on the same input scores 30.35 / 28.89 dB in float with 556k parameters, 0.2 dB above our 300k integer model on Set12 (its BSD68 deficit reflects training on unclipped noise). On this core DnCNN-S would cost about 9.3k cycles per pixel, 7.0× the quality model.</w:t>
      </w:r>
    </w:p>
    <w:p>
      <w:pPr>
        <w:pStyle w:val="tablehead"/>
        <w:numPr>
          <w:ilvl w:val="0"/>
          <w:numId w:val="0"/>
        </w:numPr>
      </w:pPr>
      <w:r>
        <w:t>Table II. Board runs (Set12 05.png, 256×256, 50 MHz, no mismatch in any layer). Core time: 2.33, 1.73, 0.89 and 0.88 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Model</w:t>
            </w:r>
          </w:p>
        </w:tc>
        <w:tc>
          <w:tcPr>
            <w:tcW w:type="dxa" w:w="833"/>
          </w:tcPr>
          <w:p>
            <w:pPr>
              <w:pStyle w:val="tablecolhead"/>
              <w:spacing w:before="20" w:after="20"/>
              <w:jc w:val="center"/>
            </w:pPr>
            <w:r>
              <w:t>Hidden K / COUT</w:t>
            </w:r>
          </w:p>
        </w:tc>
        <w:tc>
          <w:tcPr>
            <w:tcW w:type="dxa" w:w="833"/>
          </w:tcPr>
          <w:p>
            <w:pPr>
              <w:pStyle w:val="tablecolhead"/>
              <w:spacing w:before="20" w:after="20"/>
              <w:jc w:val="center"/>
            </w:pPr>
            <w:r>
              <w:t>Cycles/window, model → board</w:t>
            </w:r>
          </w:p>
        </w:tc>
        <w:tc>
          <w:tcPr>
            <w:tcW w:type="dxa" w:w="833"/>
          </w:tcPr>
          <w:p>
            <w:pPr>
              <w:pStyle w:val="tablecolhead"/>
              <w:spacing w:before="20" w:after="20"/>
              <w:jc w:val="center"/>
            </w:pPr>
            <w:r>
              <w:t>Cycles/px</w:t>
            </w:r>
          </w:p>
        </w:tc>
        <w:tc>
          <w:tcPr>
            <w:tcW w:type="dxa" w:w="833"/>
          </w:tcPr>
          <w:p>
            <w:pPr>
              <w:pStyle w:val="tablecolhead"/>
              <w:spacing w:before="20" w:after="20"/>
              <w:jc w:val="center"/>
            </w:pPr>
            <w:r>
              <w:t>PSNR</w:t>
            </w:r>
          </w:p>
        </w:tc>
      </w:tr>
      <w:tr>
        <w:tc>
          <w:tcPr>
            <w:tcW w:type="dxa" w:w="1429"/>
          </w:tcPr>
          <w:p>
            <w:pPr>
              <w:pStyle w:val="tablecopy"/>
              <w:spacing w:before="20" w:after="20"/>
            </w:pPr>
            <w:r>
              <w:t>A</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1,775</w:t>
            </w:r>
          </w:p>
        </w:tc>
        <w:tc>
          <w:tcPr>
            <w:tcW w:type="dxa" w:w="833"/>
          </w:tcPr>
          <w:p>
            <w:pPr>
              <w:pStyle w:val="tablecopy"/>
              <w:spacing w:before="20" w:after="20"/>
              <w:jc w:val="center"/>
            </w:pPr>
            <w:r>
              <w:t>29.83</w:t>
            </w:r>
          </w:p>
        </w:tc>
      </w:tr>
      <w:tr>
        <w:tc>
          <w:tcPr>
            <w:tcW w:type="dxa" w:w="1429"/>
          </w:tcPr>
          <w:p>
            <w:pPr>
              <w:pStyle w:val="tablecopy"/>
              <w:spacing w:before="20" w:after="20"/>
            </w:pPr>
            <w:r>
              <w:t>B + QAT</w:t>
            </w:r>
          </w:p>
        </w:tc>
        <w:tc>
          <w:tcPr>
            <w:tcW w:type="dxa" w:w="833"/>
          </w:tcPr>
          <w:p>
            <w:pPr>
              <w:pStyle w:val="tablecopy"/>
              <w:spacing w:before="20" w:after="20"/>
              <w:jc w:val="center"/>
            </w:pPr>
            <w:r>
              <w:t>576 / 64</w:t>
            </w:r>
          </w:p>
        </w:tc>
        <w:tc>
          <w:tcPr>
            <w:tcW w:type="dxa" w:w="833"/>
          </w:tcPr>
          <w:p>
            <w:pPr>
              <w:pStyle w:val="tablecopy"/>
              <w:spacing w:before="20" w:after="20"/>
              <w:jc w:val="center"/>
            </w:pPr>
            <w:r>
              <w:t>576 → 577</w:t>
            </w:r>
          </w:p>
        </w:tc>
        <w:tc>
          <w:tcPr>
            <w:tcW w:type="dxa" w:w="833"/>
          </w:tcPr>
          <w:p>
            <w:pPr>
              <w:pStyle w:val="tablecopy"/>
              <w:spacing w:before="20" w:after="20"/>
              <w:jc w:val="center"/>
            </w:pPr>
            <w:r>
              <w:t>1,323</w:t>
            </w:r>
          </w:p>
        </w:tc>
        <w:tc>
          <w:tcPr>
            <w:tcW w:type="dxa" w:w="833"/>
          </w:tcPr>
          <w:p>
            <w:pPr>
              <w:pStyle w:val="tablecopy"/>
              <w:spacing w:before="20" w:after="20"/>
              <w:jc w:val="center"/>
            </w:pPr>
            <w:r>
              <w:t>30.06</w:t>
            </w:r>
          </w:p>
        </w:tc>
      </w:tr>
      <w:tr>
        <w:tc>
          <w:tcPr>
            <w:tcW w:type="dxa" w:w="1429"/>
          </w:tcPr>
          <w:p>
            <w:pPr>
              <w:pStyle w:val="tablecopy"/>
              <w:spacing w:before="20" w:after="20"/>
            </w:pPr>
            <w:r>
              <w:t>B-32 + maxout + QAT</w:t>
            </w:r>
          </w:p>
        </w:tc>
        <w:tc>
          <w:tcPr>
            <w:tcW w:type="dxa" w:w="833"/>
          </w:tcPr>
          <w:p>
            <w:pPr>
              <w:pStyle w:val="tablecopy"/>
              <w:spacing w:before="20" w:after="20"/>
              <w:jc w:val="center"/>
            </w:pPr>
            <w:r>
              <w:t xml:space="preserve">288 / </w:t>
            </w:r>
            <w:r>
              <w:rPr>
                <w:b/>
              </w:rPr>
              <w:t>64</w:t>
            </w:r>
          </w:p>
        </w:tc>
        <w:tc>
          <w:tcPr>
            <w:tcW w:type="dxa" w:w="833"/>
          </w:tcPr>
          <w:p>
            <w:pPr>
              <w:pStyle w:val="tablecopy"/>
              <w:spacing w:before="20" w:after="20"/>
              <w:jc w:val="center"/>
            </w:pPr>
            <w:r>
              <w:t xml:space="preserve">288 → </w:t>
            </w:r>
            <w:r>
              <w:rPr>
                <w:b/>
              </w:rPr>
              <w:t>289</w:t>
            </w:r>
          </w:p>
        </w:tc>
        <w:tc>
          <w:tcPr>
            <w:tcW w:type="dxa" w:w="833"/>
          </w:tcPr>
          <w:p>
            <w:pPr>
              <w:pStyle w:val="tablecopy"/>
              <w:spacing w:before="20" w:after="20"/>
              <w:jc w:val="center"/>
            </w:pPr>
            <w:r>
              <w:t>675</w:t>
            </w:r>
          </w:p>
        </w:tc>
        <w:tc>
          <w:tcPr>
            <w:tcW w:type="dxa" w:w="833"/>
          </w:tcPr>
          <w:p>
            <w:pPr>
              <w:pStyle w:val="tablecopy"/>
              <w:spacing w:before="20" w:after="20"/>
              <w:jc w:val="center"/>
            </w:pPr>
            <w:r>
              <w:t>29.94</w:t>
            </w:r>
          </w:p>
        </w:tc>
      </w:tr>
      <w:tr>
        <w:tc>
          <w:tcPr>
            <w:tcW w:type="dxa" w:w="1429"/>
          </w:tcPr>
          <w:p>
            <w:pPr>
              <w:pStyle w:val="tablecopy"/>
              <w:spacing w:before="20" w:after="20"/>
            </w:pPr>
            <w:r>
              <w:t>B-32 ReLU + QAT</w:t>
            </w:r>
          </w:p>
        </w:tc>
        <w:tc>
          <w:tcPr>
            <w:tcW w:type="dxa" w:w="833"/>
          </w:tcPr>
          <w:p>
            <w:pPr>
              <w:pStyle w:val="tablecopy"/>
              <w:spacing w:before="20" w:after="20"/>
              <w:jc w:val="center"/>
            </w:pPr>
            <w:r>
              <w:t>288 / 32</w:t>
            </w:r>
          </w:p>
        </w:tc>
        <w:tc>
          <w:tcPr>
            <w:tcW w:type="dxa" w:w="833"/>
          </w:tcPr>
          <w:p>
            <w:pPr>
              <w:pStyle w:val="tablecopy"/>
              <w:spacing w:before="20" w:after="20"/>
              <w:jc w:val="center"/>
            </w:pPr>
            <w:r>
              <w:t>288 → 289</w:t>
            </w:r>
          </w:p>
        </w:tc>
        <w:tc>
          <w:tcPr>
            <w:tcW w:type="dxa" w:w="833"/>
          </w:tcPr>
          <w:p>
            <w:pPr>
              <w:pStyle w:val="tablecopy"/>
              <w:spacing w:before="20" w:after="20"/>
              <w:jc w:val="center"/>
            </w:pPr>
            <w:r>
              <w:t>669</w:t>
            </w:r>
          </w:p>
        </w:tc>
        <w:tc>
          <w:tcPr>
            <w:tcW w:type="dxa" w:w="833"/>
          </w:tcPr>
          <w:p>
            <w:pPr>
              <w:pStyle w:val="tablecopy"/>
              <w:spacing w:before="20" w:after="20"/>
              <w:jc w:val="center"/>
            </w:pPr>
            <w:r>
              <w:t>29.54</w:t>
            </w:r>
          </w:p>
        </w:tc>
      </w:tr>
    </w:tbl>
    <w:p>
      <w:pPr>
        <w:pStyle w:val="a3"/>
      </w:pPr>
      <w:r>
        <w:rPr>
          <w:b/>
        </w:rPr>
        <w:t>Board.</w:t>
      </w:r>
      <w:r>
        <w:t xml:space="preserve"> The maxout layers (K = 288, 64 outputs) took 289 cycles per window, exactly as the 32-output layers of A and of the ReLU network: doubling the outputs cost nothing on the board, and the whole network took 1.01× the ReLU network's cycles (Table II). Absolute throughput is low: 6.4 GOPS at most at 50 MHz and 0.9–2.3 s of core time per 256×256 image, against 30–38 ms for float PyTorch on a 4-core PC CPU. The JTAG test harness dominates wall-clock time, and the on-chip ARM was not compared; this paper concerns choosing networks for a given core, not throughput.</w:t>
      </w:r>
    </w:p>
    <w:p>
      <w:pPr>
        <w:pStyle w:val="1"/>
      </w:pPr>
      <w:r>
        <w:t>Conclusion</w:t>
      </w:r>
    </w:p>
    <w:p>
      <w:pPr>
        <w:pStyle w:val="a3"/>
      </w:pPr>
      <w:r>
        <w:t>On a 64-multiplier integer core, a cycle model that matches the board showed that the bottleneck is the input port, not the multipliers, and two choices that look wasteful by FLOP count paid off: space-to-depth fitted a 6.4× larger network into 25% fewer cycles, and maxout used free output channels at no hidden-layer cost [MAXOUT]. The quality model beats BM3D on the same input on both test sets, the speed model matches it in 2.63× fewer cycles, and seven models were verified bit for bit on the board. The result belongs to an input structure fed by host-built windows; with line buffers the cycle model predicts that maxout stops being free and B becomes slower than A, which we will measure next. Energy, end-to-end time without the test harness, other noise levels, more seeds, color images and SSIM are not reported. Code, integer models, per-image PSNR and board logs are in the project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