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 xml:space="preserve">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층의 곱셈을 2배로 만드는 maxout은 모든 은닉층의 추가 출력 채널이 된다. 보드에서 출력 64채널 maxout 층은 창당 289 사이클로 출력 32채널 ReLU 층과 같았고, 픽셀당 1% 많은 사이클(675 대 669)로 maxout 망은 같은 폭의 ReLU 망보다 높다〔시드 2·3 결과로 </w:t>
      </w:r>
      <w:r>
        <w:rPr>
          <w:rFonts w:ascii="Courier New" w:hAnsi="Courier New"/>
        </w:rPr>
        <w:t>ABSTRACT.md</w:t>
      </w:r>
      <w:r>
        <w:t>의 규칙 적용〕.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 보드에서 실행한 일곱 모델마다 Set12 한 장을 끝까지 실행했고, 모든 층이 정수 모델과 비트 단위로 일치했다.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maxout은 은닉층의 사이클을 바꾸지 않은 채(보드 실측 289 사이클/창, ReLU 층과 동일) 같은 폭의 ReLU 망보다 화질을 올린다〔재실험〕.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보정을 넣은 모델은 그 뒤에 설계한 10층 망 세 개의 총 사이클을 0.003% 이내로 예측했다(표 II). 보정 전 모델의 오차는 네 망에서 0.4–1.6%다(보정 뒤에 설계한 세 망은 0.4–1.4%, 1.6%는 보정에 쓴 A).</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2값/사이클만 돼도 모델상 maxout은 ReLU 망의 1.9배 사이클이 되고, B는 A보다 느려진다(1,247 대 907 사이클/px, 표 III). 창을 PC가 만든다는 점도 같은 역할을 한다. 칩 안에 라인 버퍼를 두는 일반적인 FPGA 가속기 구조 [21]에서는 창마다 새 입력 픽셀 하나의 C_in개 값만 들어오므로, dense 사이클 모델로 은닉층(K=288)이 COUT=32에서 145, COUT=64에서 289 사이클/창이 된다. 그러면 maxout은 ReLU의 약 2배 비용(B-32 maxout 615 대 ReLU 319 사이클/px)이 되어 더는 공짜가 아니고, 망 전체로도 A(833 사이클/px)가 B(1,209)보다 빨라진다(예측이며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maxout (B-32+maxout).</w:t>
      </w:r>
      <w:r>
        <w:t xml:space="preserve"> B의 채널을 32로 줄이면 중간 층이 K=288로 돌아와 사이클이 B의 절반이 되지만, 다시 출력 채널 64까지가 공짜가 된다. 이 공짜 출력을 활성함수로 쓴다. 은닉층이 채널마다 후보 두 개를 계산하고(출력 64), PC가 재양자화할 때 큰 쪽만 다음 층으로 넘긴다(입력 32, K=288 유지).</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표의 모든 망이 하나(시드 1)이며, B-32 비교는 시드 2·3을 더한다〔진행 중〕.</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 B-32 행은 모두 조기 종료 없이 120 epoch(갱신 19,200회)을 학습한 시드 1의 값이며, +QAT 행은 여기에 QAT 15 epoch을 더했다(QAT 단계의 시드는 모든 QAT 모델이 3).</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1124"/>
        <w:gridCol w:w="1124"/>
        <w:gridCol w:w="1124"/>
        <w:gridCol w:w="1124"/>
        <w:gridCol w:w="1124"/>
        <w:gridCol w:w="1124"/>
      </w:tblGrid>
      <w:tr>
        <w:tc>
          <w:tcPr>
            <w:tcW w:type="dxa" w:w="2891"/>
          </w:tcPr>
          <w:p>
            <w:pPr>
              <w:pStyle w:val="tablecolhead"/>
              <w:spacing w:before="20" w:after="20"/>
            </w:pPr>
            <w:r>
              <w:t>모델</w:t>
            </w:r>
          </w:p>
        </w:tc>
        <w:tc>
          <w:tcPr>
            <w:tcW w:type="dxa" w:w="1124"/>
          </w:tcPr>
          <w:p>
            <w:pPr>
              <w:pStyle w:val="tablecolhead"/>
              <w:spacing w:before="20" w:after="20"/>
              <w:jc w:val="center"/>
            </w:pPr>
            <w:r>
              <w:t>사이클/px</w:t>
            </w:r>
          </w:p>
        </w:tc>
        <w:tc>
          <w:tcPr>
            <w:tcW w:type="dxa" w:w="1124"/>
          </w:tcPr>
          <w:p>
            <w:pPr>
              <w:pStyle w:val="tablecolhead"/>
              <w:spacing w:before="20" w:after="20"/>
              <w:jc w:val="center"/>
            </w:pPr>
            <w:r>
              <w:t>곱셈기 활용률</w:t>
            </w:r>
          </w:p>
        </w:tc>
        <w:tc>
          <w:tcPr>
            <w:tcW w:type="dxa" w:w="1124"/>
          </w:tcPr>
          <w:p>
            <w:pPr>
              <w:pStyle w:val="tablecolhead"/>
              <w:spacing w:before="20" w:after="20"/>
              <w:jc w:val="center"/>
            </w:pPr>
            <w:r>
              <w:t>파라미터</w:t>
            </w:r>
          </w:p>
        </w:tc>
        <w:tc>
          <w:tcPr>
            <w:tcW w:type="dxa" w:w="1124"/>
          </w:tcPr>
          <w:p>
            <w:pPr>
              <w:pStyle w:val="tablecolhead"/>
              <w:spacing w:before="20" w:after="20"/>
              <w:jc w:val="center"/>
            </w:pPr>
            <w:r>
              <w:t>Set12 float / 정수</w:t>
            </w:r>
          </w:p>
        </w:tc>
        <w:tc>
          <w:tcPr>
            <w:tcW w:type="dxa" w:w="1124"/>
          </w:tcPr>
          <w:p>
            <w:pPr>
              <w:pStyle w:val="tablecolhead"/>
              <w:spacing w:before="20" w:after="20"/>
              <w:jc w:val="center"/>
            </w:pPr>
            <w:r>
              <w:t>BSD68 float / 정수</w:t>
            </w:r>
          </w:p>
        </w:tc>
        <w:tc>
          <w:tcPr>
            <w:tcW w:type="dxa" w:w="112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29.95</w:t>
            </w:r>
          </w:p>
        </w:tc>
        <w:tc>
          <w:tcPr>
            <w:tcW w:type="dxa" w:w="1124"/>
          </w:tcPr>
          <w:p>
            <w:pPr>
              <w:pStyle w:val="tablecopy"/>
              <w:spacing w:before="20" w:after="20"/>
              <w:jc w:val="center"/>
            </w:pPr>
            <w:r>
              <w:t>28.37</w:t>
            </w:r>
          </w:p>
        </w:tc>
        <w:tc>
          <w:tcPr>
            <w:tcW w:type="dxa" w:w="1124"/>
          </w:tcPr>
          <w:p>
            <w:pPr>
              <w:pStyle w:val="tablecopy"/>
              <w:spacing w:before="20" w:after="20"/>
              <w:jc w:val="center"/>
            </w:pPr>
            <w:r>
              <w:t>—</w:t>
            </w:r>
          </w:p>
        </w:tc>
      </w:tr>
      <w:tr>
        <w:tc>
          <w:tcPr>
            <w:tcW w:type="dxa" w:w="2891"/>
          </w:tcPr>
          <w:p>
            <w:pPr>
              <w:pStyle w:val="tablecopy"/>
              <w:spacing w:before="20" w:after="20"/>
            </w:pPr>
            <w:r>
              <w:t>BM3D, 클리핑 없음</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29.98</w:t>
            </w:r>
          </w:p>
        </w:tc>
        <w:tc>
          <w:tcPr>
            <w:tcW w:type="dxa" w:w="1124"/>
          </w:tcPr>
          <w:p>
            <w:pPr>
              <w:pStyle w:val="tablecopy"/>
              <w:spacing w:before="20" w:after="20"/>
              <w:jc w:val="center"/>
            </w:pPr>
            <w:r>
              <w:t>28.62</w:t>
            </w:r>
          </w:p>
        </w:tc>
        <w:tc>
          <w:tcPr>
            <w:tcW w:type="dxa" w:w="112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1124"/>
          </w:tcPr>
          <w:p>
            <w:pPr>
              <w:pStyle w:val="tablecopy"/>
              <w:spacing w:before="20" w:after="20"/>
              <w:jc w:val="center"/>
            </w:pPr>
            <w:r>
              <w:t>9.3k (모델)</w:t>
            </w:r>
          </w:p>
        </w:tc>
        <w:tc>
          <w:tcPr>
            <w:tcW w:type="dxa" w:w="1124"/>
          </w:tcPr>
          <w:p>
            <w:pPr>
              <w:pStyle w:val="tablecopy"/>
              <w:spacing w:before="20" w:after="20"/>
              <w:jc w:val="center"/>
            </w:pPr>
            <w:r>
              <w:t>—</w:t>
            </w:r>
          </w:p>
        </w:tc>
        <w:tc>
          <w:tcPr>
            <w:tcW w:type="dxa" w:w="1124"/>
          </w:tcPr>
          <w:p>
            <w:pPr>
              <w:pStyle w:val="tablecopy"/>
              <w:spacing w:before="20" w:after="20"/>
              <w:jc w:val="center"/>
            </w:pPr>
            <w:r>
              <w:t>556k</w:t>
            </w:r>
          </w:p>
        </w:tc>
        <w:tc>
          <w:tcPr>
            <w:tcW w:type="dxa" w:w="1124"/>
          </w:tcPr>
          <w:p>
            <w:pPr>
              <w:pStyle w:val="tablecopy"/>
              <w:spacing w:before="20" w:after="20"/>
              <w:jc w:val="center"/>
            </w:pPr>
            <w:r>
              <w:t>30.35</w:t>
            </w:r>
          </w:p>
        </w:tc>
        <w:tc>
          <w:tcPr>
            <w:tcW w:type="dxa" w:w="1124"/>
          </w:tcPr>
          <w:p>
            <w:pPr>
              <w:pStyle w:val="tablecopy"/>
              <w:spacing w:before="20" w:after="20"/>
              <w:jc w:val="center"/>
            </w:pPr>
            <w:r>
              <w:t>28.89</w:t>
            </w:r>
          </w:p>
        </w:tc>
        <w:tc>
          <w:tcPr>
            <w:tcW w:type="dxa" w:w="1124"/>
          </w:tcPr>
          <w:p>
            <w:pPr>
              <w:pStyle w:val="tablecopy"/>
              <w:spacing w:before="20" w:after="20"/>
              <w:jc w:val="center"/>
            </w:pPr>
            <w:r>
              <w:t>—</w:t>
            </w:r>
          </w:p>
        </w:tc>
      </w:tr>
      <w:tr>
        <w:tc>
          <w:tcPr>
            <w:tcW w:type="dxa" w:w="2891"/>
          </w:tcPr>
          <w:p>
            <w:pPr>
              <w:pStyle w:val="tablecopy"/>
              <w:spacing w:before="20" w:after="20"/>
            </w:pPr>
            <w:r>
              <w:t>A: 7층 × 32 (기준)</w:t>
            </w:r>
          </w:p>
        </w:tc>
        <w:tc>
          <w:tcPr>
            <w:tcW w:type="dxa" w:w="1124"/>
          </w:tcPr>
          <w:p>
            <w:pPr>
              <w:pStyle w:val="tablecopy"/>
              <w:spacing w:before="20" w:after="20"/>
              <w:jc w:val="center"/>
            </w:pPr>
            <w:r>
              <w:t>1,775 (실측)</w:t>
            </w:r>
          </w:p>
        </w:tc>
        <w:tc>
          <w:tcPr>
            <w:tcW w:type="dxa" w:w="1124"/>
          </w:tcPr>
          <w:p>
            <w:pPr>
              <w:pStyle w:val="tablecopy"/>
              <w:spacing w:before="20" w:after="20"/>
              <w:jc w:val="center"/>
            </w:pPr>
            <w:r>
              <w:t>41%</w:t>
            </w:r>
          </w:p>
        </w:tc>
        <w:tc>
          <w:tcPr>
            <w:tcW w:type="dxa" w:w="1124"/>
          </w:tcPr>
          <w:p>
            <w:pPr>
              <w:pStyle w:val="tablecopy"/>
              <w:spacing w:before="20" w:after="20"/>
              <w:jc w:val="center"/>
            </w:pPr>
            <w:r>
              <w:t>47k</w:t>
            </w:r>
          </w:p>
        </w:tc>
        <w:tc>
          <w:tcPr>
            <w:tcW w:type="dxa" w:w="1124"/>
          </w:tcPr>
          <w:p>
            <w:pPr>
              <w:pStyle w:val="tablecopy"/>
              <w:spacing w:before="20" w:after="20"/>
              <w:jc w:val="center"/>
            </w:pPr>
            <w:r>
              <w:t>29.87 / 29.83</w:t>
            </w:r>
          </w:p>
        </w:tc>
        <w:tc>
          <w:tcPr>
            <w:tcW w:type="dxa" w:w="1124"/>
          </w:tcPr>
          <w:p>
            <w:pPr>
              <w:pStyle w:val="tablecopy"/>
              <w:spacing w:before="20" w:after="20"/>
              <w:jc w:val="center"/>
            </w:pPr>
            <w:r>
              <w:t>28.83 / 28.80</w:t>
            </w:r>
          </w:p>
        </w:tc>
        <w:tc>
          <w:tcPr>
            <w:tcW w:type="dxa" w:w="1124"/>
          </w:tcPr>
          <w:p>
            <w:pPr>
              <w:pStyle w:val="tablecopy"/>
              <w:spacing w:before="20" w:after="20"/>
              <w:jc w:val="center"/>
            </w:pPr>
            <w:r>
              <w:t>6/12, 60/68</w:t>
            </w:r>
          </w:p>
        </w:tc>
      </w:tr>
      <w:tr>
        <w:tc>
          <w:tcPr>
            <w:tcW w:type="dxa" w:w="2891"/>
          </w:tcPr>
          <w:p>
            <w:pPr>
              <w:pStyle w:val="tablecopy"/>
              <w:spacing w:before="20" w:after="20"/>
            </w:pPr>
            <w:r>
              <w:t>B: s2d, 10층 × 64</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30.14 / 30.10</w:t>
            </w:r>
          </w:p>
        </w:tc>
        <w:tc>
          <w:tcPr>
            <w:tcW w:type="dxa" w:w="1124"/>
          </w:tcPr>
          <w:p>
            <w:pPr>
              <w:pStyle w:val="tablecopy"/>
              <w:spacing w:before="20" w:after="20"/>
              <w:jc w:val="center"/>
            </w:pPr>
            <w:r>
              <w:t>29.01 / 29.00</w:t>
            </w:r>
          </w:p>
        </w:tc>
        <w:tc>
          <w:tcPr>
            <w:tcW w:type="dxa" w:w="112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 xml:space="preserve">30.13 / </w:t>
            </w:r>
            <w:r>
              <w:rPr>
                <w:b/>
              </w:rPr>
              <w:t>30.12</w:t>
            </w:r>
          </w:p>
        </w:tc>
        <w:tc>
          <w:tcPr>
            <w:tcW w:type="dxa" w:w="1124"/>
          </w:tcPr>
          <w:p>
            <w:pPr>
              <w:pStyle w:val="tablecopy"/>
              <w:spacing w:before="20" w:after="20"/>
              <w:jc w:val="center"/>
            </w:pPr>
            <w:r>
              <w:t xml:space="preserve">29.01 / </w:t>
            </w:r>
            <w:r>
              <w:rPr>
                <w:b/>
              </w:rPr>
              <w:t>29.02</w:t>
            </w:r>
          </w:p>
        </w:tc>
        <w:tc>
          <w:tcPr>
            <w:tcW w:type="dxa" w:w="112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1124"/>
          </w:tcPr>
          <w:p>
            <w:pPr>
              <w:pStyle w:val="tablecopy"/>
              <w:spacing w:before="20" w:after="20"/>
              <w:jc w:val="center"/>
            </w:pPr>
            <w:r>
              <w:t>669</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29.55 / 29.51</w:t>
            </w:r>
          </w:p>
        </w:tc>
        <w:tc>
          <w:tcPr>
            <w:tcW w:type="dxa" w:w="1124"/>
          </w:tcPr>
          <w:p>
            <w:pPr>
              <w:pStyle w:val="tablecopy"/>
              <w:spacing w:before="20" w:after="20"/>
              <w:jc w:val="center"/>
            </w:pPr>
            <w:r>
              <w:t>28.55 / 28.53</w:t>
            </w:r>
          </w:p>
        </w:tc>
        <w:tc>
          <w:tcPr>
            <w:tcW w:type="dxa" w:w="1124"/>
          </w:tcPr>
          <w:p>
            <w:pPr>
              <w:pStyle w:val="tablecopy"/>
              <w:spacing w:before="20" w:after="20"/>
              <w:jc w:val="center"/>
            </w:pPr>
            <w:r>
              <w:t>2/12, 49/68</w:t>
            </w:r>
          </w:p>
        </w:tc>
      </w:tr>
      <w:tr>
        <w:tc>
          <w:tcPr>
            <w:tcW w:type="dxa" w:w="2891"/>
          </w:tcPr>
          <w:p>
            <w:pPr>
              <w:pStyle w:val="tablecopy"/>
              <w:spacing w:before="20" w:after="20"/>
            </w:pPr>
            <w:r>
              <w:t>B-32 + QAT</w:t>
            </w:r>
          </w:p>
        </w:tc>
        <w:tc>
          <w:tcPr>
            <w:tcW w:type="dxa" w:w="1124"/>
          </w:tcPr>
          <w:p>
            <w:pPr>
              <w:pStyle w:val="tablecopy"/>
              <w:spacing w:before="20" w:after="20"/>
              <w:jc w:val="center"/>
            </w:pPr>
            <w:r>
              <w:t>669 (실측)</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29.58 / 29.62</w:t>
            </w:r>
          </w:p>
        </w:tc>
        <w:tc>
          <w:tcPr>
            <w:tcW w:type="dxa" w:w="1124"/>
          </w:tcPr>
          <w:p>
            <w:pPr>
              <w:pStyle w:val="tablecopy"/>
              <w:spacing w:before="20" w:after="20"/>
              <w:jc w:val="center"/>
            </w:pPr>
            <w:r>
              <w:t>28.66 / 28.68</w:t>
            </w:r>
          </w:p>
        </w:tc>
        <w:tc>
          <w:tcPr>
            <w:tcW w:type="dxa" w:w="1124"/>
          </w:tcPr>
          <w:p>
            <w:pPr>
              <w:pStyle w:val="tablecopy"/>
              <w:spacing w:before="20" w:after="20"/>
              <w:jc w:val="center"/>
            </w:pPr>
            <w:r>
              <w:t>5/12, 57/68</w:t>
            </w:r>
          </w:p>
        </w:tc>
      </w:tr>
      <w:tr>
        <w:tc>
          <w:tcPr>
            <w:tcW w:type="dxa" w:w="2891"/>
          </w:tcPr>
          <w:p>
            <w:pPr>
              <w:pStyle w:val="tablecopy"/>
              <w:spacing w:before="20" w:after="20"/>
            </w:pPr>
            <w:r>
              <w:t>B-32 + maxout</w:t>
            </w:r>
          </w:p>
        </w:tc>
        <w:tc>
          <w:tcPr>
            <w:tcW w:type="dxa" w:w="1124"/>
          </w:tcPr>
          <w:p>
            <w:pPr>
              <w:pStyle w:val="tablecopy"/>
              <w:spacing w:before="20" w:after="20"/>
              <w:jc w:val="center"/>
            </w:pPr>
            <w:r>
              <w:t>675</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30.02 / 29.86</w:t>
            </w:r>
          </w:p>
        </w:tc>
        <w:tc>
          <w:tcPr>
            <w:tcW w:type="dxa" w:w="1124"/>
          </w:tcPr>
          <w:p>
            <w:pPr>
              <w:pStyle w:val="tablecopy"/>
              <w:spacing w:before="20" w:after="20"/>
              <w:jc w:val="center"/>
            </w:pPr>
            <w:r>
              <w:t>28.94 / 28.80</w:t>
            </w:r>
          </w:p>
        </w:tc>
        <w:tc>
          <w:tcPr>
            <w:tcW w:type="dxa" w:w="112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1124"/>
          </w:tcPr>
          <w:p>
            <w:pPr>
              <w:pStyle w:val="tablecopy"/>
              <w:spacing w:before="20" w:after="20"/>
              <w:jc w:val="center"/>
            </w:pPr>
            <w:r>
              <w:t>675 (실측)</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 xml:space="preserve">30.00 / </w:t>
            </w:r>
            <w:r>
              <w:rPr>
                <w:b/>
              </w:rPr>
              <w:t>30.00</w:t>
            </w:r>
          </w:p>
        </w:tc>
        <w:tc>
          <w:tcPr>
            <w:tcW w:type="dxa" w:w="1124"/>
          </w:tcPr>
          <w:p>
            <w:pPr>
              <w:pStyle w:val="tablecopy"/>
              <w:spacing w:before="20" w:after="20"/>
              <w:jc w:val="center"/>
            </w:pPr>
            <w:r>
              <w:t xml:space="preserve">28.95 / </w:t>
            </w:r>
            <w:r>
              <w:rPr>
                <w:b/>
              </w:rPr>
              <w:t>28.94</w:t>
            </w:r>
          </w:p>
        </w:tc>
        <w:tc>
          <w:tcPr>
            <w:tcW w:type="dxa" w:w="1124"/>
          </w:tcPr>
          <w:p>
            <w:pPr>
              <w:pStyle w:val="tablecopy"/>
              <w:spacing w:before="20" w:after="20"/>
              <w:jc w:val="center"/>
            </w:pPr>
            <w:r>
              <w:t xml:space="preserve">9/12,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때문이다.</w:t>
      </w:r>
    </w:p>
    <w:p>
      <w:pPr>
        <w:pStyle w:val="a3"/>
        <w:ind w:firstLine="0" w:left="198"/>
      </w:pPr>
      <w:r>
        <w:t xml:space="preserve">• </w:t>
      </w:r>
      <w:r>
        <w:rPr>
          <w:b/>
        </w:rPr>
        <w:t>공짜 출력 채널의 효과〔시드 2·3으로 확정〕:</w:t>
      </w:r>
      <w:r>
        <w:t xml:space="preserve"> 같은 예산(120 epoch, 시드 1; 그 뒤 QAT 15 epoch)에서 maxout 망은 ReLU 망보다 정수 Set12 +0.37, BSD68 +0.26 dB(80/80장) 높고, 사이클은 1% 많다(보드 실측 1.01배; 첫 층). 사진별 차이의 표준오차는 0.04 / 0.02 dB로 작아서, 불확실성은 테스트 사진이 아니라 학습 실행에서 온다. 두 가지 이유로 이 값은 아직 확정하지 않는다. 첫째, 시드 1의 ReLU 망은 epoch 26에 검증 PSNR이 27.93에서 24.27 dB로 무너졌고, 학습률 규칙이 회복 중에 학습률을 네 번 반으로 줄였다(10⁻³에서의 갱신 5,120 대 maxout 9,280). 무너지기 전(epoch 25)에는 세 망의 검증 최고가 27.93–27.96 dB로 같았고, 120 epoch 끝에 ReLU 망은 아직 오르고 있었다. 둘째, maxout 망은 파라미터가 2배다(76k 대 152k). 같은 64 출력을 max 대신 평균으로 합치는 대조군(초기 가중치와 데이터까지 maxout과 같음)은 float 검증 최고 28.549 dB, Set12 30.05 dB(검증 최고 epoch 117)로 maxout(28.528, 30.02)과 같거나 약간 높았다(마지막 20 epoch 모두 높음, 평균 +0.018 dB). 즉 이 시드에서 차이를 만든 것은 max 비선형이 아니라 비용 없이 늘어난 출력 채널이다. 평균 결합의 QAT 정수 값과 시드 2·3은 진행 중이다.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학습 뒤 양자화(PTQ)의 정수 손실은 maxout 망 0.16 / 0.14 dB, ReLU 망 0.05 / 0.02 dB였고(Set12 / BSD68), QAT 뒤에는 모든 정수 모델이 float의 0.04 dB 안이다(ReLU 망은 정수가 float보다 0.04 / 0.02 dB 높다). 정수 PSNR 이득은 maxout 망 +0.14 / +0.14 dB, ReLU 망 +0.12 / +0.15 dB(둘 다 80/80장)로 비슷하고 B는 +0.02 / +0.03 dB다. QAT는 학습률 10⁻⁴의 추가 15 epoch이기도 해서, 120 epoch 끝에 아직 오르던 ReLU 망은 float 점수도 +0.03 / +0.11 dB 올랐다.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예산의 시드 1. 같은 사이클(약 670)에서 maxout 망이 ReLU 망 위에 있고(ReLU 망은 A보다 아래, maxout+QAT 망은 위; BSD68에서 QAT 없는 maxout 망은 A와 같은 높이), space-to-depth 망이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GOPS/W 비교는 범위 밖이다.</w:t>
      </w:r>
    </w:p>
    <w:p>
      <w:pPr>
        <w:pStyle w:val="tablehead"/>
        <w:numPr>
          <w:ilvl w:val="0"/>
          <w:numId w:val="0"/>
        </w:numPr>
      </w:pPr>
      <w:r>
        <w:t>표 III. 입력 구조별 예측 코어 사이클/픽셀 (보정 사이클 모델, dense). 현재 구조(1값/사이클)만 보드에서 쟀고 나머지는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(현재, 실측)</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w:t>
            </w:r>
          </w:p>
        </w:tc>
        <w:tc>
          <w:tcPr>
            <w:tcW w:type="dxa" w:w="833"/>
          </w:tcPr>
          <w:p>
            <w:pPr>
              <w:pStyle w:val="tablecopy"/>
              <w:spacing w:before="20" w:after="20"/>
              <w:jc w:val="center"/>
            </w:pPr>
            <w:r>
              <w:t>833</w:t>
            </w:r>
          </w:p>
        </w:tc>
        <w:tc>
          <w:tcPr>
            <w:tcW w:type="dxa" w:w="833"/>
          </w:tcPr>
          <w:p>
            <w:pPr>
              <w:pStyle w:val="tablecopy"/>
              <w:spacing w:before="20" w:after="20"/>
              <w:jc w:val="center"/>
            </w:pPr>
            <w:r>
              <w:t>833</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1,247</w:t>
            </w:r>
          </w:p>
        </w:tc>
        <w:tc>
          <w:tcPr>
            <w:tcW w:type="dxa" w:w="833"/>
          </w:tcPr>
          <w:p>
            <w:pPr>
              <w:pStyle w:val="tablecopy"/>
              <w:spacing w:before="20" w:after="20"/>
              <w:jc w:val="center"/>
            </w:pPr>
            <w:r>
              <w:t>1,209</w:t>
            </w:r>
          </w:p>
        </w:tc>
        <w:tc>
          <w:tcPr>
            <w:tcW w:type="dxa" w:w="833"/>
          </w:tcPr>
          <w:p>
            <w:pPr>
              <w:pStyle w:val="tablecopy"/>
              <w:spacing w:before="20" w:after="20"/>
              <w:jc w:val="center"/>
            </w:pPr>
            <w:r>
              <w:t>1,209</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w:t>
            </w:r>
          </w:p>
        </w:tc>
        <w:tc>
          <w:tcPr>
            <w:tcW w:type="dxa" w:w="833"/>
          </w:tcPr>
          <w:p>
            <w:pPr>
              <w:pStyle w:val="tablecopy"/>
              <w:spacing w:before="20" w:after="20"/>
              <w:jc w:val="center"/>
            </w:pPr>
            <w:r>
              <w:t>319</w:t>
            </w:r>
          </w:p>
        </w:tc>
        <w:tc>
          <w:tcPr>
            <w:tcW w:type="dxa" w:w="833"/>
          </w:tcPr>
          <w:p>
            <w:pPr>
              <w:pStyle w:val="tablecopy"/>
              <w:spacing w:before="20" w:after="20"/>
              <w:jc w:val="center"/>
            </w:pPr>
            <w:r>
              <w:t>319</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635</w:t>
            </w:r>
          </w:p>
        </w:tc>
        <w:tc>
          <w:tcPr>
            <w:tcW w:type="dxa" w:w="833"/>
          </w:tcPr>
          <w:p>
            <w:pPr>
              <w:pStyle w:val="tablecopy"/>
              <w:spacing w:before="20" w:after="20"/>
              <w:jc w:val="center"/>
            </w:pPr>
            <w:r>
              <w:t>615</w:t>
            </w:r>
          </w:p>
        </w:tc>
        <w:tc>
          <w:tcPr>
            <w:tcW w:type="dxa" w:w="833"/>
          </w:tcPr>
          <w:p>
            <w:pPr>
              <w:pStyle w:val="tablecopy"/>
              <w:spacing w:before="20" w:after="20"/>
              <w:jc w:val="center"/>
            </w:pPr>
            <w:r>
              <w:t>615</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1.37</w:t>
            </w:r>
          </w:p>
        </w:tc>
        <w:tc>
          <w:tcPr>
            <w:tcW w:type="dxa" w:w="833"/>
          </w:tcPr>
          <w:p>
            <w:pPr>
              <w:pStyle w:val="tablecopy"/>
              <w:spacing w:before="20" w:after="20"/>
              <w:jc w:val="center"/>
            </w:pPr>
            <w:r>
              <w:t>1.45</w:t>
            </w:r>
          </w:p>
        </w:tc>
        <w:tc>
          <w:tcPr>
            <w:tcW w:type="dxa" w:w="833"/>
          </w:tcPr>
          <w:p>
            <w:pPr>
              <w:pStyle w:val="tablecopy"/>
              <w:spacing w:before="20" w:after="20"/>
              <w:jc w:val="center"/>
            </w:pPr>
            <w:r>
              <w:t>1.45</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1.87</w:t>
            </w:r>
          </w:p>
        </w:tc>
        <w:tc>
          <w:tcPr>
            <w:tcW w:type="dxa" w:w="833"/>
          </w:tcPr>
          <w:p>
            <w:pPr>
              <w:pStyle w:val="tablecopy"/>
              <w:spacing w:before="20" w:after="20"/>
              <w:jc w:val="center"/>
            </w:pPr>
            <w:r>
              <w:t>1.93</w:t>
            </w:r>
          </w:p>
        </w:tc>
        <w:tc>
          <w:tcPr>
            <w:tcW w:type="dxa" w:w="833"/>
          </w:tcPr>
          <w:p>
            <w:pPr>
              <w:pStyle w:val="tablecopy"/>
              <w:spacing w:before="20" w:after="20"/>
              <w:jc w:val="center"/>
            </w:pPr>
            <w:r>
              <w:t>1.93</w:t>
            </w:r>
          </w:p>
        </w:tc>
      </w:tr>
    </w:tbl>
    <w:p>
      <w:pPr>
        <w:pStyle w:val="a3"/>
      </w:pPr>
      <w:r>
        <w:t>입력 폭이 2값/사이클만 돼도 두 선택의 사이클 이점이 사라진다. 4값/사이클과 라인 버퍼는 둘 다 은닉층을 연산에 묶이게 만들어 같은 값이 된다. 다만 B-32 maxout(615)은 어느 구조에서도 A보다 빠르다. 래퍼를 넓히는 하드웨어 개선과 망 선택은 어느 하나를 고르는 관계가 아니다. 포트를 넓히면 모든 망이 빨라지고(A 1,775 → 907), 그때 이기는 망이 달라진다는 것이 이 표의 요점이다. 이 표의 2·4값과 라인 버퍼 열을 보드에서 재는 것이 다음 작업이다.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maxout은 은닉층의 사이클을 바꾸지 않고 같은 폭의 ReLU 망보다 화질을 올렸다〔재실험〕. 양자화 인지 학습까지 더해, 같은 입력의 BM3D를 두 테스트셋에서 넘는 정수 모델(30.12 / 29.02 dB)과 기준보다 2.63배 적은 사이클로 BM3D 수준인 모델(30.00 / 28.94 dB)을 얻었고, 두 모델 모두 보드에서 한 장을 끝까지 실행해 전 층 비트 일치를 확인했다. 이 결론은 PC가 창을 만들어 보내는 입력 구조에서의 것이며, 라인 버퍼 구조에서는 사이클 모델상 maxout이 더는 공짜가 아니고 망 B가 기준 망보다 느려진다. 그것을 보드에서 재는 것이 다음 작업이다. 코드, 정수 모델, 사진별 PSNR, 보드 기록은 저장소에 있다.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 시드는 하나이고, 흑백 영상의 PSNR만 보고했다(SSIM 없음).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