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We denoise Gaussian noise (σ=25) on our integer CNN accelerator for a Zynq XC7Z020 FPGA (64 multipliers, one bitstream, 7-bit inputs) and show how the measured bottleneck changes the network design. A cycle model, within 0.003% of the board after two corrections, shows that this build, which receives host-built windows one value per cycle, is bound by its input port: a window of K input values costs K cycles for up to 64 output channels. A 7-layer DnCNN-style baseline therefore uses 41% of the multipliers, and two choices that look wasteful by FLOP count pay off. A 2×2 space-to-depth input fits a 10-layer, 64-channel network (6.4× the parameters, 1.6× the multiplications) in 25% fewer cycles, 0.3 dB higher on Set12. Maxout, which doubles a layer's multiplications, becomes extra output channels: on the board a 64-output maxout layer took 289 cycles per window, as a 32-output ReLU layer did, and for 1% more cycles the maxout network denoises better than the ReLU network of the same width [MAXOUT]. With quantization-aware training that reproduces the board's arithmetic, the quality-first integer model reaches 30.12 / 29.02 dB (Set12 / BSD68), above BM3D on the same clipped input (29.95 / 28.37 dB; 29.98 / 28.62 dB unclipped), and the speed-first model matches BM3D in 2.63× fewer cycles. Five models were verified bit for bit on the board. With on-chip line buffers, the same model predicts that maxout stops being free and network B becomes slower than the baseline: the best network follows the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latency on GPUs, TPUs, NPUs or DPUs, or model DRAM traffic.</w:t>
      </w:r>
    </w:p>
    <w:p>
      <w:pPr>
        <w:pStyle w:val="a3"/>
      </w:pPr>
      <w:r>
        <w:t>We study the same principle at a smaller scale and at cycle level, on an integer CNN core of our own design for a Zynq XC7Z020: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maxout in the free output channels, whose hidden layers keep their cycle count on the board; 3. integer models, trained with quantization-aware training that reproduces the board's arithmetic, that beat BM3D on the same input, verified bit for bit on the board.</w:t>
      </w:r>
    </w:p>
    <w:p>
      <w:pPr>
        <w:pStyle w:val="a3"/>
      </w:pPr>
      <w:r>
        <w:t>Space-to-depth [12], [5], maxout [13]–[15] and quantization-aware training [16]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3024000" cy="2090118"/>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3024000" cy="2090118"/>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and 51% of the BRAM; synthesis was not restricted, but Vivado built every 8-bit multiplier from LUTs, so no DSP slice is used. Timing closes at 100 MHz (WNS +0.221 ns); the board runs use the 50 MHz default clock, and the speed model run at 100 MHz gave the same cycle count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On the baseline network the board showed one cycle more per window and at least COUT cycles per window (outputs leave one per cycle). With these two corrections, (1) predicted the total cycles of two networks designed afterwards within 0.003% (Table II), against 0.7–1.6% without them. Equation (1) is the dense-mode bound. All board runs used the sparse mode, which skips multiplications by zero activations and so shortens only the compute term; input-bound layers take the same cycles in both modes.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Host-built windows have the same effect. With on-chip line buffers [7], a window brings only its new column of C_in values; by the dense model a hidden layer with K = 288 then costs 145 cycles at COUT = 32 and 289 at COUT = 64, maxout doubles the cost, and the baseline (833 cycles/pixel) becomes faster than network B (1,208). These are predictions, not measurements. The rules below therefore hold for this input structure; what carries over is choosing networks by the measured bottleneck. The host's share is small but not zero: im2col, requantization and maxout take 0.07–0.13 s per 256×256 image on a 4-core PC, 5–9% of the 50 MHz core time.</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and more multipliers would not make it faster.</w:t>
      </w:r>
    </w:p>
    <w:p>
      <w:pPr>
        <w:pStyle w:val="a3"/>
      </w:pPr>
      <w:r>
        <w:rPr>
          <w:b/>
        </w:rPr>
        <w:t>Space-to-depth (B).</w:t>
      </w:r>
      <w:r>
        <w:t xml:space="preserve"> As in FFDNet [12],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Maxout in free output channels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[13] in its Max-Feature-Map form [17]. The next layer's K is unchanged, so hidden layers keep their cycle count; only the first layer (K = 36 &lt; 64) grows to 64 cycles per window, 1% per pixel. In restoration the benefit of maxout depends on width: it halved the filters at equal quality in super-resolution [14] and was about 0.04 dB below ReLU in a 64-channel space-to-depth denoiser [15]. Requantization is monotonic per channel, so (2) on codes is the requantized maximum.</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[16], chosen from percentiles on training images. A module that reproduces the board's integer arithmetic in float (rounding, bias units, skip-scale folding, maxout after requantization, 8-bit output) is then fine-tuned for 15 epochs with straight-through gradients and learned scales [18]; its PSNR matches the integer model within 0.001 dB. No checkpoint, learning-rate step or quantization range was chosen on Set12 or BSD68.</w:t>
      </w:r>
    </w:p>
    <w:p>
      <w:pPr>
        <w:pStyle w:val="1"/>
      </w:pPr>
      <w:r>
        <w:t>Verification</w:t>
      </w:r>
    </w:p>
    <w:p>
      <w:pPr>
        <w:pStyle w:val="a3"/>
      </w:pPr>
      <w:r>
        <w:t>The RTL was verified in a UVM [19] environment (AXI4-Lite and AXI4-Stream agents, a scoreboard that predicts from a reference model, coverage and handshake assertions) on Verilator: 39 runs under UVM 1.2 and 26 under IEEE 1800.2-2020 passed, and all ten injected bugs were caught. On the board, every layer's output is compared value by value with the integer model, and the final PSNR must equal the integer model's; every board figure below passed this check.</w:t>
      </w:r>
    </w:p>
    <w:p>
      <w:pPr>
        <w:pStyle w:val="1"/>
      </w:pPr>
      <w:r>
        <w:t>Results</w:t>
      </w:r>
    </w:p>
    <w:p>
      <w:pPr>
        <w:pStyle w:val="a3"/>
      </w:pPr>
      <w:r>
        <w:rPr>
          <w:b/>
        </w:rPr>
        <w:t>Setup.</w:t>
      </w:r>
      <w:r>
        <w:t xml:space="preserve"> Set12 and BSD68 [20]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Rows marked [MAXOUT] are retrained for a fixed 120 epochs.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29.98 / </w:t>
            </w:r>
            <w:r>
              <w:rPr>
                <w:b/>
              </w:rPr>
              <w:t>29.95</w:t>
            </w:r>
          </w:p>
        </w:tc>
        <w:tc>
          <w:tcPr>
            <w:tcW w:type="dxa" w:w="1272"/>
          </w:tcPr>
          <w:p>
            <w:pPr>
              <w:pStyle w:val="tablecopy"/>
              <w:spacing w:before="20" w:after="20"/>
              <w:jc w:val="center"/>
            </w:pPr>
            <w:r>
              <w:t xml:space="preserve">28.93 / </w:t>
            </w:r>
            <w:r>
              <w:rPr>
                <w:b/>
              </w:rPr>
              <w:t>28.91</w:t>
            </w:r>
          </w:p>
        </w:tc>
      </w:tr>
      <w:tr>
        <w:tc>
          <w:tcPr>
            <w:tcW w:type="dxa" w:w="3277"/>
          </w:tcPr>
          <w:p>
            <w:pPr>
              <w:pStyle w:val="tablecopy"/>
              <w:spacing w:before="20" w:after="20"/>
            </w:pPr>
            <w:r>
              <w:t>B-32 ReLU + QAT [MAXOUT]</w:t>
            </w:r>
          </w:p>
        </w:tc>
        <w:tc>
          <w:tcPr>
            <w:tcW w:type="dxa" w:w="1272"/>
          </w:tcPr>
          <w:p>
            <w:pPr>
              <w:pStyle w:val="tablecopy"/>
              <w:spacing w:before="20" w:after="20"/>
              <w:jc w:val="center"/>
            </w:pPr>
            <w:r>
              <w:t>669</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r>
        <w:tc>
          <w:tcPr>
            <w:tcW w:type="dxa" w:w="3277"/>
          </w:tcPr>
          <w:p>
            <w:pPr>
              <w:pStyle w:val="tablecopy"/>
              <w:spacing w:before="20" w:after="20"/>
            </w:pPr>
            <w:r>
              <w:t>B-32 averaging + QAT [MAXOUT]</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r>
        <w:tc>
          <w:tcPr>
            <w:tcW w:type="dxa" w:w="3277"/>
          </w:tcPr>
          <w:p>
            <w:pPr>
              <w:pStyle w:val="tablecopy"/>
              <w:spacing w:before="20" w:after="20"/>
            </w:pPr>
            <w:r>
              <w:t>B-32 maxout + QAT [MAXOUT]</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At about 670 cycles maxout lies above ReLU, and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(better on 10/12 and 68/68 images), +0.14 / +0.40 dB over unclipped BM3D, and +0.29 / +0.22 dB over A on all 80 images, in 1.34× fewer cycles.</w:t>
      </w:r>
    </w:p>
    <w:p>
      <w:pPr>
        <w:pStyle w:val="a3"/>
      </w:pPr>
      <w:r>
        <w:rPr>
          <w:b/>
        </w:rPr>
        <w:t>Speed model.</w:t>
      </w:r>
      <w:r>
        <w:t xml:space="preserve"> B-32 + maxout + QAT needs 2.63× fewer cycles than A at 29.95 / 28.91 dB: level with BM3D on Set12 (8/12 images) and +0.55 dB on BSD68 (+0.29 dB unclipped).</w:t>
      </w:r>
    </w:p>
    <w:p>
      <w:pPr>
        <w:pStyle w:val="a3"/>
      </w:pPr>
      <w:r>
        <w:rPr>
          <w:b/>
        </w:rPr>
        <w:t>Maxout against ReLU and averaging.</w:t>
      </w:r>
      <w:r>
        <w:t xml:space="preserve"> [MAXOUT] A first comparison overstated the gain (+0.54 / +0.35 dB): its ReLU network had stopped early after 4k updates against 18k for maxout, and retrained for a fixed 120 epochs it rises from 29.18 to 29.55 dB (Set12, float). The last three rows of Table I therefore share one budget and QAT, and the averaging control keeps the same 64 outputs per hidden layer but combines each pair by its mean after requantization, so it has the same parameters and cycles and lacks only the max.</w:t>
      </w:r>
    </w:p>
    <w:p>
      <w:pPr>
        <w:pStyle w:val="a3"/>
      </w:pPr>
      <w:r>
        <w:rPr>
          <w:b/>
        </w:rPr>
        <w:t>Quantization and the same-input reference.</w:t>
      </w:r>
      <w:r>
        <w:t xml:space="preserve"> QAT brought every integer model within 0.04 dB of its float model; the maxout network had lost 0.22 dB before it. DnCNN-S on the same input scores 30.35 / 28.89 dB in float with 556k parameters, 0.2 dB above our 300k integer model on Set12 (its BSD68 deficit reflects training on unclipped noise). On this core DnCNN-S would cost about 9.3k cycles per pixel, 7.0× the quality model.</w:t>
      </w:r>
    </w:p>
    <w:p>
      <w:pPr>
        <w:pStyle w:val="tablehead"/>
        <w:numPr>
          <w:ilvl w:val="0"/>
          <w:numId w:val="0"/>
        </w:numPr>
      </w:pPr>
      <w:r>
        <w:t>Table II. Board runs (Set12 05.png, 256×256, 50 MHz, no mismatch in any layer). Core time: 2.33, 1.73 and 0.89 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Model</w:t>
            </w:r>
          </w:p>
        </w:tc>
        <w:tc>
          <w:tcPr>
            <w:tcW w:type="dxa" w:w="833"/>
          </w:tcPr>
          <w:p>
            <w:pPr>
              <w:pStyle w:val="tablecolhead"/>
              <w:spacing w:before="20" w:after="20"/>
              <w:jc w:val="center"/>
            </w:pPr>
            <w:r>
              <w:t>Hidden K / COUT</w:t>
            </w:r>
          </w:p>
        </w:tc>
        <w:tc>
          <w:tcPr>
            <w:tcW w:type="dxa" w:w="833"/>
          </w:tcPr>
          <w:p>
            <w:pPr>
              <w:pStyle w:val="tablecolhead"/>
              <w:spacing w:before="20" w:after="20"/>
              <w:jc w:val="center"/>
            </w:pPr>
            <w:r>
              <w:t>Cycles/window, model → board</w:t>
            </w:r>
          </w:p>
        </w:tc>
        <w:tc>
          <w:tcPr>
            <w:tcW w:type="dxa" w:w="833"/>
          </w:tcPr>
          <w:p>
            <w:pPr>
              <w:pStyle w:val="tablecolhead"/>
              <w:spacing w:before="20" w:after="20"/>
              <w:jc w:val="center"/>
            </w:pPr>
            <w:r>
              <w:t>Cycles/px</w:t>
            </w:r>
          </w:p>
        </w:tc>
        <w:tc>
          <w:tcPr>
            <w:tcW w:type="dxa" w:w="833"/>
          </w:tcPr>
          <w:p>
            <w:pPr>
              <w:pStyle w:val="tablecolhead"/>
              <w:spacing w:before="20" w:after="20"/>
              <w:jc w:val="center"/>
            </w:pPr>
            <w:r>
              <w:t>PSNR</w:t>
            </w:r>
          </w:p>
        </w:tc>
      </w:tr>
      <w:tr>
        <w:tc>
          <w:tcPr>
            <w:tcW w:type="dxa" w:w="1429"/>
          </w:tcPr>
          <w:p>
            <w:pPr>
              <w:pStyle w:val="tablecopy"/>
              <w:spacing w:before="20" w:after="20"/>
            </w:pPr>
            <w:r>
              <w:t>A</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1,775</w:t>
            </w:r>
          </w:p>
        </w:tc>
        <w:tc>
          <w:tcPr>
            <w:tcW w:type="dxa" w:w="833"/>
          </w:tcPr>
          <w:p>
            <w:pPr>
              <w:pStyle w:val="tablecopy"/>
              <w:spacing w:before="20" w:after="20"/>
              <w:jc w:val="center"/>
            </w:pPr>
            <w:r>
              <w:t>29.83</w:t>
            </w:r>
          </w:p>
        </w:tc>
      </w:tr>
      <w:tr>
        <w:tc>
          <w:tcPr>
            <w:tcW w:type="dxa" w:w="1429"/>
          </w:tcPr>
          <w:p>
            <w:pPr>
              <w:pStyle w:val="tablecopy"/>
              <w:spacing w:before="20" w:after="20"/>
            </w:pPr>
            <w:r>
              <w:t>B + QAT</w:t>
            </w:r>
          </w:p>
        </w:tc>
        <w:tc>
          <w:tcPr>
            <w:tcW w:type="dxa" w:w="833"/>
          </w:tcPr>
          <w:p>
            <w:pPr>
              <w:pStyle w:val="tablecopy"/>
              <w:spacing w:before="20" w:after="20"/>
              <w:jc w:val="center"/>
            </w:pPr>
            <w:r>
              <w:t>576 / 64</w:t>
            </w:r>
          </w:p>
        </w:tc>
        <w:tc>
          <w:tcPr>
            <w:tcW w:type="dxa" w:w="833"/>
          </w:tcPr>
          <w:p>
            <w:pPr>
              <w:pStyle w:val="tablecopy"/>
              <w:spacing w:before="20" w:after="20"/>
              <w:jc w:val="center"/>
            </w:pPr>
            <w:r>
              <w:t>576 → 577</w:t>
            </w:r>
          </w:p>
        </w:tc>
        <w:tc>
          <w:tcPr>
            <w:tcW w:type="dxa" w:w="833"/>
          </w:tcPr>
          <w:p>
            <w:pPr>
              <w:pStyle w:val="tablecopy"/>
              <w:spacing w:before="20" w:after="20"/>
              <w:jc w:val="center"/>
            </w:pPr>
            <w:r>
              <w:t>1,323</w:t>
            </w:r>
          </w:p>
        </w:tc>
        <w:tc>
          <w:tcPr>
            <w:tcW w:type="dxa" w:w="833"/>
          </w:tcPr>
          <w:p>
            <w:pPr>
              <w:pStyle w:val="tablecopy"/>
              <w:spacing w:before="20" w:after="20"/>
              <w:jc w:val="center"/>
            </w:pPr>
            <w:r>
              <w:t>30.06</w:t>
            </w:r>
          </w:p>
        </w:tc>
      </w:tr>
      <w:tr>
        <w:tc>
          <w:tcPr>
            <w:tcW w:type="dxa" w:w="1429"/>
          </w:tcPr>
          <w:p>
            <w:pPr>
              <w:pStyle w:val="tablecopy"/>
              <w:spacing w:before="20" w:after="20"/>
            </w:pPr>
            <w:r>
              <w:t>B-32 + maxout + QAT</w:t>
            </w:r>
          </w:p>
        </w:tc>
        <w:tc>
          <w:tcPr>
            <w:tcW w:type="dxa" w:w="833"/>
          </w:tcPr>
          <w:p>
            <w:pPr>
              <w:pStyle w:val="tablecopy"/>
              <w:spacing w:before="20" w:after="20"/>
              <w:jc w:val="center"/>
            </w:pPr>
            <w:r>
              <w:t xml:space="preserve">288 / </w:t>
            </w:r>
            <w:r>
              <w:rPr>
                <w:b/>
              </w:rPr>
              <w:t>64</w:t>
            </w:r>
          </w:p>
        </w:tc>
        <w:tc>
          <w:tcPr>
            <w:tcW w:type="dxa" w:w="833"/>
          </w:tcPr>
          <w:p>
            <w:pPr>
              <w:pStyle w:val="tablecopy"/>
              <w:spacing w:before="20" w:after="20"/>
              <w:jc w:val="center"/>
            </w:pPr>
            <w:r>
              <w:t xml:space="preserve">288 → </w:t>
            </w:r>
            <w:r>
              <w:rPr>
                <w:b/>
              </w:rPr>
              <w:t>289</w:t>
            </w:r>
          </w:p>
        </w:tc>
        <w:tc>
          <w:tcPr>
            <w:tcW w:type="dxa" w:w="833"/>
          </w:tcPr>
          <w:p>
            <w:pPr>
              <w:pStyle w:val="tablecopy"/>
              <w:spacing w:before="20" w:after="20"/>
              <w:jc w:val="center"/>
            </w:pPr>
            <w:r>
              <w:t>675</w:t>
            </w:r>
          </w:p>
        </w:tc>
        <w:tc>
          <w:tcPr>
            <w:tcW w:type="dxa" w:w="833"/>
          </w:tcPr>
          <w:p>
            <w:pPr>
              <w:pStyle w:val="tablecopy"/>
              <w:spacing w:before="20" w:after="20"/>
              <w:jc w:val="center"/>
            </w:pPr>
            <w:r>
              <w:t>29.87</w:t>
            </w:r>
          </w:p>
        </w:tc>
      </w:tr>
    </w:tbl>
    <w:p>
      <w:pPr>
        <w:pStyle w:val="a3"/>
      </w:pPr>
      <w:r>
        <w:rPr>
          <w:b/>
        </w:rPr>
        <w:t>Board.</w:t>
      </w:r>
      <w:r>
        <w:t xml:space="preserve"> The maxout layers (K = 288, 64 outputs) took 289 cycles per window, exactly as A's 32-output layers: doubling the outputs cost nothing on the board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 not throughput.</w:t>
      </w:r>
    </w:p>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maxout used free output channels at no hidden-layer cost [MAXOUT]. The quality model beats BM3D on the same input on both test sets, the speed model matches it in 2.63× fewer cycles, and five models were verified bit for bit on the board. The result belongs to an input structure fed by host-built windows; with line buffers the cycle model predicts that maxout stops being free and B becomes slower than A, which we will measure next. Energy, end-to-end time without the test harness, other noise levels, more seeds, color images and SSIM are not reported. Code, integer models, per-image PSNR and board logs are in the project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