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F0E51" w14:textId="7393FCE6" w:rsidR="00931CB9" w:rsidRPr="00CA2921" w:rsidRDefault="00A839D4" w:rsidP="00CA2921">
      <w:pPr>
        <w:spacing w:line="360" w:lineRule="auto"/>
        <w:jc w:val="center"/>
        <w:rPr>
          <w:rFonts w:eastAsia="標楷體"/>
          <w:b/>
          <w:bCs/>
          <w:sz w:val="56"/>
          <w:szCs w:val="56"/>
        </w:rPr>
      </w:pPr>
      <w:r w:rsidRPr="00CA2921">
        <w:rPr>
          <w:rFonts w:eastAsia="標楷體"/>
          <w:b/>
          <w:bCs/>
          <w:sz w:val="56"/>
          <w:szCs w:val="56"/>
        </w:rPr>
        <w:t>統計計算期末報告</w:t>
      </w:r>
    </w:p>
    <w:p w14:paraId="0F59F5D3" w14:textId="238C3132" w:rsidR="00A839D4" w:rsidRPr="00CA2921" w:rsidRDefault="00A839D4" w:rsidP="00CA2921">
      <w:pPr>
        <w:spacing w:line="360" w:lineRule="auto"/>
        <w:jc w:val="center"/>
        <w:rPr>
          <w:rFonts w:eastAsia="標楷體"/>
          <w:sz w:val="36"/>
          <w:szCs w:val="36"/>
        </w:rPr>
      </w:pPr>
      <w:r w:rsidRPr="00CA2921">
        <w:rPr>
          <w:rFonts w:eastAsia="標楷體"/>
          <w:sz w:val="36"/>
          <w:szCs w:val="36"/>
        </w:rPr>
        <w:t>暢銷財金類書籍文字探勘分析</w:t>
      </w:r>
    </w:p>
    <w:p w14:paraId="7D7744B3" w14:textId="2DD7DE62" w:rsidR="00A839D4" w:rsidRPr="00CA2921" w:rsidRDefault="00ED4967" w:rsidP="00CA2921">
      <w:pPr>
        <w:pBdr>
          <w:bottom w:val="single" w:sz="6" w:space="1" w:color="auto"/>
        </w:pBdr>
        <w:spacing w:line="360" w:lineRule="auto"/>
        <w:jc w:val="center"/>
        <w:rPr>
          <w:rFonts w:eastAsia="標楷體"/>
          <w:sz w:val="24"/>
          <w:szCs w:val="24"/>
        </w:rPr>
      </w:pPr>
      <w:r w:rsidRPr="00CA2921">
        <w:rPr>
          <w:rFonts w:eastAsia="標楷體"/>
          <w:sz w:val="24"/>
          <w:szCs w:val="24"/>
        </w:rPr>
        <w:t>系級</w:t>
      </w:r>
      <w:r w:rsidRPr="00CA2921">
        <w:rPr>
          <w:rFonts w:eastAsia="標楷體"/>
          <w:sz w:val="24"/>
          <w:szCs w:val="24"/>
        </w:rPr>
        <w:t>/</w:t>
      </w:r>
      <w:r w:rsidRPr="00CA2921">
        <w:rPr>
          <w:rFonts w:eastAsia="標楷體"/>
          <w:sz w:val="24"/>
          <w:szCs w:val="24"/>
        </w:rPr>
        <w:t>學號：計財所碩二</w:t>
      </w:r>
      <w:r w:rsidRPr="00CA2921">
        <w:rPr>
          <w:rFonts w:eastAsia="標楷體"/>
          <w:sz w:val="24"/>
          <w:szCs w:val="24"/>
        </w:rPr>
        <w:t>108071601</w:t>
      </w:r>
      <w:r w:rsidRPr="00CA2921">
        <w:rPr>
          <w:rFonts w:eastAsia="標楷體"/>
          <w:sz w:val="24"/>
          <w:szCs w:val="24"/>
        </w:rPr>
        <w:t>賴冠維</w:t>
      </w:r>
    </w:p>
    <w:p w14:paraId="1C09E471" w14:textId="3A32A75F" w:rsidR="002F1CDA" w:rsidRPr="00CA2921" w:rsidRDefault="002F1CDA" w:rsidP="00CA2921">
      <w:pPr>
        <w:spacing w:line="360" w:lineRule="auto"/>
        <w:jc w:val="center"/>
        <w:rPr>
          <w:rFonts w:eastAsia="標楷體"/>
          <w:sz w:val="32"/>
          <w:szCs w:val="32"/>
        </w:rPr>
      </w:pPr>
      <w:r w:rsidRPr="00CA2921">
        <w:rPr>
          <w:rFonts w:eastAsia="標楷體"/>
          <w:sz w:val="32"/>
          <w:szCs w:val="32"/>
        </w:rPr>
        <w:t>目錄</w:t>
      </w:r>
    </w:p>
    <w:p w14:paraId="3C60AA40" w14:textId="5D062CFA" w:rsidR="002F1CDA" w:rsidRPr="00CA2921" w:rsidRDefault="002F1CDA" w:rsidP="00CA2921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360" w:lineRule="auto"/>
        <w:ind w:leftChars="0"/>
        <w:jc w:val="both"/>
        <w:rPr>
          <w:rFonts w:eastAsia="標楷體"/>
          <w:b/>
          <w:bCs/>
          <w:sz w:val="24"/>
          <w:szCs w:val="24"/>
        </w:rPr>
      </w:pPr>
      <w:r w:rsidRPr="00CA2921">
        <w:rPr>
          <w:rFonts w:eastAsia="標楷體"/>
          <w:b/>
          <w:bCs/>
          <w:sz w:val="24"/>
          <w:szCs w:val="24"/>
        </w:rPr>
        <w:t>摘要</w:t>
      </w:r>
    </w:p>
    <w:p w14:paraId="50F84CF5" w14:textId="75C0FFF8" w:rsidR="002F1CDA" w:rsidRPr="00CA2921" w:rsidRDefault="002F1CDA" w:rsidP="00CA2921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360" w:lineRule="auto"/>
        <w:ind w:leftChars="0"/>
        <w:jc w:val="both"/>
        <w:rPr>
          <w:rFonts w:eastAsia="標楷體"/>
          <w:b/>
          <w:bCs/>
          <w:sz w:val="24"/>
          <w:szCs w:val="24"/>
        </w:rPr>
      </w:pPr>
      <w:r w:rsidRPr="00CA2921">
        <w:rPr>
          <w:rFonts w:eastAsia="標楷體"/>
          <w:b/>
          <w:bCs/>
          <w:sz w:val="24"/>
          <w:szCs w:val="24"/>
        </w:rPr>
        <w:t>資料清洗</w:t>
      </w:r>
    </w:p>
    <w:p w14:paraId="0828B2B3" w14:textId="00E7A73B" w:rsidR="002F1CDA" w:rsidRPr="00CA2921" w:rsidRDefault="002F1CDA" w:rsidP="00CA2921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360" w:lineRule="auto"/>
        <w:ind w:leftChars="0"/>
        <w:jc w:val="both"/>
        <w:rPr>
          <w:rFonts w:eastAsia="標楷體"/>
          <w:b/>
          <w:bCs/>
          <w:sz w:val="24"/>
          <w:szCs w:val="24"/>
        </w:rPr>
      </w:pPr>
      <w:r w:rsidRPr="00CA2921">
        <w:rPr>
          <w:rFonts w:eastAsia="標楷體"/>
          <w:b/>
          <w:bCs/>
          <w:sz w:val="24"/>
          <w:szCs w:val="24"/>
        </w:rPr>
        <w:t>探索性資料分析</w:t>
      </w:r>
    </w:p>
    <w:p w14:paraId="52072EB7" w14:textId="3BE397B1" w:rsidR="002F1CDA" w:rsidRPr="00CA2921" w:rsidRDefault="0078177D" w:rsidP="00CA2921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360" w:lineRule="auto"/>
        <w:ind w:leftChars="0"/>
        <w:jc w:val="both"/>
        <w:rPr>
          <w:rFonts w:eastAsia="標楷體"/>
          <w:b/>
          <w:bCs/>
          <w:sz w:val="24"/>
          <w:szCs w:val="24"/>
        </w:rPr>
      </w:pPr>
      <w:r w:rsidRPr="00CA2921">
        <w:rPr>
          <w:rFonts w:eastAsia="標楷體"/>
          <w:b/>
          <w:bCs/>
          <w:sz w:val="24"/>
          <w:szCs w:val="24"/>
        </w:rPr>
        <w:t>情緒分析</w:t>
      </w:r>
    </w:p>
    <w:p w14:paraId="253F312D" w14:textId="4E7E1B3A" w:rsidR="0078177D" w:rsidRPr="00CA2921" w:rsidRDefault="0078177D" w:rsidP="00CA2921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360" w:lineRule="auto"/>
        <w:ind w:leftChars="0"/>
        <w:jc w:val="both"/>
        <w:rPr>
          <w:rFonts w:eastAsia="標楷體"/>
          <w:b/>
          <w:bCs/>
          <w:sz w:val="24"/>
          <w:szCs w:val="24"/>
        </w:rPr>
      </w:pPr>
      <w:r w:rsidRPr="00CA2921">
        <w:rPr>
          <w:rFonts w:eastAsia="標楷體"/>
          <w:b/>
          <w:bCs/>
          <w:sz w:val="24"/>
          <w:szCs w:val="24"/>
        </w:rPr>
        <w:t>主題模型</w:t>
      </w:r>
    </w:p>
    <w:p w14:paraId="56E76A51" w14:textId="798BA977" w:rsidR="0078177D" w:rsidRPr="00CA2921" w:rsidRDefault="0078177D" w:rsidP="00CA2921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360" w:lineRule="auto"/>
        <w:ind w:leftChars="0"/>
        <w:jc w:val="both"/>
        <w:rPr>
          <w:rFonts w:eastAsia="標楷體"/>
          <w:b/>
          <w:bCs/>
          <w:sz w:val="24"/>
          <w:szCs w:val="24"/>
        </w:rPr>
      </w:pPr>
      <w:r w:rsidRPr="00CA2921">
        <w:rPr>
          <w:rFonts w:eastAsia="標楷體"/>
          <w:b/>
          <w:bCs/>
          <w:sz w:val="24"/>
          <w:szCs w:val="24"/>
        </w:rPr>
        <w:t>與其他書籍比較</w:t>
      </w:r>
    </w:p>
    <w:p w14:paraId="532C2806" w14:textId="24E63F83" w:rsidR="0078177D" w:rsidRPr="00CA2921" w:rsidRDefault="0078177D" w:rsidP="00CA2921">
      <w:pPr>
        <w:pStyle w:val="a3"/>
        <w:numPr>
          <w:ilvl w:val="0"/>
          <w:numId w:val="5"/>
        </w:numPr>
        <w:pBdr>
          <w:bottom w:val="single" w:sz="6" w:space="1" w:color="auto"/>
        </w:pBdr>
        <w:spacing w:line="360" w:lineRule="auto"/>
        <w:ind w:leftChars="0"/>
        <w:jc w:val="both"/>
        <w:rPr>
          <w:rFonts w:eastAsia="標楷體"/>
          <w:b/>
          <w:bCs/>
          <w:sz w:val="24"/>
          <w:szCs w:val="24"/>
        </w:rPr>
      </w:pPr>
      <w:r w:rsidRPr="00CA2921">
        <w:rPr>
          <w:rFonts w:eastAsia="標楷體"/>
          <w:b/>
          <w:bCs/>
          <w:sz w:val="24"/>
          <w:szCs w:val="24"/>
        </w:rPr>
        <w:t>結論</w:t>
      </w:r>
    </w:p>
    <w:p w14:paraId="32B7728A" w14:textId="08200783" w:rsidR="009453AE" w:rsidRPr="00CA2921" w:rsidRDefault="002F1CDA" w:rsidP="00CA2921">
      <w:pPr>
        <w:pStyle w:val="2"/>
        <w:spacing w:line="360" w:lineRule="auto"/>
        <w:ind w:leftChars="30" w:left="165" w:hangingChars="45" w:hanging="99"/>
        <w:jc w:val="both"/>
        <w:rPr>
          <w:rFonts w:eastAsia="標楷體"/>
        </w:rPr>
      </w:pPr>
      <w:r w:rsidRPr="00CA2921">
        <w:rPr>
          <w:rFonts w:eastAsia="標楷體"/>
        </w:rPr>
        <w:t>一、</w:t>
      </w:r>
      <w:r w:rsidR="000B7189" w:rsidRPr="00CA2921">
        <w:rPr>
          <w:rFonts w:eastAsia="標楷體"/>
        </w:rPr>
        <w:tab/>
      </w:r>
      <w:r w:rsidRPr="00CA2921">
        <w:rPr>
          <w:rFonts w:eastAsia="標楷體"/>
          <w:b/>
          <w:bCs/>
        </w:rPr>
        <w:t>摘要</w:t>
      </w:r>
    </w:p>
    <w:p w14:paraId="268308F9" w14:textId="11AF9380" w:rsidR="009453AE" w:rsidRPr="00CA2921" w:rsidRDefault="009453AE" w:rsidP="00CA2921">
      <w:pPr>
        <w:pStyle w:val="aa"/>
        <w:spacing w:line="360" w:lineRule="auto"/>
        <w:ind w:firstLine="220"/>
        <w:jc w:val="both"/>
        <w:rPr>
          <w:rFonts w:eastAsia="標楷體"/>
        </w:rPr>
      </w:pPr>
      <w:r w:rsidRPr="00CA2921">
        <w:rPr>
          <w:rFonts w:eastAsia="標楷體"/>
        </w:rPr>
        <w:t>分析著名財金暢銷書：</w:t>
      </w:r>
      <w:r w:rsidR="00ED4967" w:rsidRPr="00CA2921">
        <w:rPr>
          <w:rFonts w:eastAsia="標楷體"/>
        </w:rPr>
        <w:t>“The Most Important Thing: Uncommon Sense for the Thoughtful Investor”</w:t>
      </w:r>
      <w:r w:rsidR="00ED4967" w:rsidRPr="00CA2921">
        <w:rPr>
          <w:rFonts w:eastAsia="標楷體"/>
        </w:rPr>
        <w:t>，</w:t>
      </w:r>
      <w:r w:rsidRPr="00CA2921">
        <w:rPr>
          <w:rFonts w:eastAsia="標楷體"/>
        </w:rPr>
        <w:t>由</w:t>
      </w:r>
      <w:r w:rsidRPr="00CA2921">
        <w:rPr>
          <w:rFonts w:eastAsia="標楷體"/>
        </w:rPr>
        <w:t>Howard S. Marks</w:t>
      </w:r>
      <w:r w:rsidRPr="00CA2921">
        <w:rPr>
          <w:rFonts w:eastAsia="標楷體"/>
        </w:rPr>
        <w:t>所著，作者為一位美國投資者、企業家和作家，曾預測金融海嘯和網路泡沫，被譽為「價值投資大師」。</w:t>
      </w:r>
      <w:r w:rsidRPr="00CA2921">
        <w:rPr>
          <w:rFonts w:eastAsia="標楷體"/>
        </w:rPr>
        <w:t xml:space="preserve"> </w:t>
      </w:r>
      <w:r w:rsidRPr="00CA2921">
        <w:rPr>
          <w:rFonts w:eastAsia="標楷體"/>
        </w:rPr>
        <w:t>由於高效率的投資策略，使得</w:t>
      </w:r>
      <w:r w:rsidRPr="00CA2921">
        <w:rPr>
          <w:rFonts w:eastAsia="標楷體"/>
        </w:rPr>
        <w:t>Howard S. Marks</w:t>
      </w:r>
      <w:r w:rsidRPr="00CA2921">
        <w:rPr>
          <w:rFonts w:eastAsia="標楷體"/>
        </w:rPr>
        <w:t>在財務領域擁有著強勁而可靠的信譽。</w:t>
      </w:r>
    </w:p>
    <w:p w14:paraId="7ED0A1ED" w14:textId="17BA5C9C" w:rsidR="00A839D4" w:rsidRPr="00CA2921" w:rsidRDefault="009453AE" w:rsidP="00CA2921">
      <w:pPr>
        <w:pStyle w:val="aa"/>
        <w:spacing w:line="360" w:lineRule="auto"/>
        <w:ind w:firstLine="220"/>
        <w:jc w:val="both"/>
        <w:rPr>
          <w:rFonts w:eastAsia="標楷體"/>
        </w:rPr>
      </w:pPr>
      <w:r w:rsidRPr="00CA2921">
        <w:rPr>
          <w:rFonts w:eastAsia="標楷體"/>
        </w:rPr>
        <w:t>價值投資是主動投資領域中最古老的派別之一。主要根據基本面、產生現金流能力等量化因素的內在價值，以及在股價明顯低於內在價值時買入。盡可能去預測未來的現金流量，並使用折現率回推現值，折現率由當前的無風險利率</w:t>
      </w:r>
      <w:r w:rsidRPr="00CA2921">
        <w:rPr>
          <w:rFonts w:eastAsia="標楷體"/>
        </w:rPr>
        <w:t>(</w:t>
      </w:r>
      <w:r w:rsidRPr="00CA2921">
        <w:rPr>
          <w:rFonts w:eastAsia="標楷體"/>
        </w:rPr>
        <w:t>美國國庫券報酬</w:t>
      </w:r>
      <w:r w:rsidRPr="00CA2921">
        <w:rPr>
          <w:rFonts w:eastAsia="標楷體"/>
        </w:rPr>
        <w:t>)</w:t>
      </w:r>
      <w:r w:rsidRPr="00CA2921">
        <w:rPr>
          <w:rFonts w:eastAsia="標楷體"/>
        </w:rPr>
        <w:t>加上風險溢酬來補償其不確定性。</w:t>
      </w:r>
    </w:p>
    <w:p w14:paraId="4A0176D4" w14:textId="10C553F0" w:rsidR="00F11620" w:rsidRPr="00CA2921" w:rsidRDefault="009453AE" w:rsidP="00CA2921">
      <w:pPr>
        <w:pStyle w:val="aa"/>
        <w:spacing w:line="360" w:lineRule="auto"/>
        <w:ind w:firstLine="220"/>
        <w:jc w:val="both"/>
        <w:rPr>
          <w:rFonts w:eastAsia="標楷體"/>
        </w:rPr>
      </w:pPr>
      <w:r w:rsidRPr="00CA2921">
        <w:rPr>
          <w:rFonts w:eastAsia="標楷體"/>
        </w:rPr>
        <w:t>本研究對此書進行文字探勘分析，利用文字雲、二元語法</w:t>
      </w:r>
      <w:r w:rsidRPr="00CA2921">
        <w:rPr>
          <w:rFonts w:eastAsia="標楷體"/>
        </w:rPr>
        <w:t>(bigram)</w:t>
      </w:r>
      <w:r w:rsidRPr="00CA2921">
        <w:rPr>
          <w:rFonts w:eastAsia="標楷體"/>
        </w:rPr>
        <w:t>、</w:t>
      </w:r>
      <w:r w:rsidRPr="00CA2921">
        <w:rPr>
          <w:rFonts w:eastAsia="標楷體"/>
        </w:rPr>
        <w:t>TF-IDF</w:t>
      </w:r>
      <w:r w:rsidRPr="00CA2921">
        <w:rPr>
          <w:rFonts w:eastAsia="標楷體"/>
        </w:rPr>
        <w:t>、</w:t>
      </w:r>
      <w:r w:rsidRPr="00CA2921">
        <w:rPr>
          <w:rFonts w:eastAsia="標楷體"/>
        </w:rPr>
        <w:t>Topic Model</w:t>
      </w:r>
      <w:r w:rsidRPr="00CA2921">
        <w:rPr>
          <w:rFonts w:eastAsia="標楷體"/>
        </w:rPr>
        <w:t>等方式，對書中的內容進行分析，最後與其他財金書籍內容進行比較，凸顯價值投資與其他投資策略的差異。</w:t>
      </w:r>
    </w:p>
    <w:p w14:paraId="7D31D136" w14:textId="77777777" w:rsidR="00CA2921" w:rsidRPr="00CA2921" w:rsidRDefault="00CA2921" w:rsidP="00CA2921">
      <w:pPr>
        <w:pStyle w:val="aa"/>
        <w:spacing w:line="360" w:lineRule="auto"/>
        <w:ind w:firstLineChars="0" w:firstLine="0"/>
        <w:jc w:val="both"/>
        <w:rPr>
          <w:rFonts w:eastAsia="標楷體"/>
        </w:rPr>
      </w:pPr>
    </w:p>
    <w:p w14:paraId="05666E26" w14:textId="4070768D" w:rsidR="00AC37B0" w:rsidRPr="00CA2921" w:rsidRDefault="002F1CDA" w:rsidP="00CA2921">
      <w:pPr>
        <w:pStyle w:val="a3"/>
        <w:numPr>
          <w:ilvl w:val="0"/>
          <w:numId w:val="8"/>
        </w:numPr>
        <w:spacing w:line="360" w:lineRule="auto"/>
        <w:ind w:leftChars="0"/>
        <w:jc w:val="both"/>
        <w:rPr>
          <w:rFonts w:eastAsia="標楷體"/>
          <w:b/>
          <w:bCs/>
          <w:sz w:val="24"/>
          <w:szCs w:val="24"/>
        </w:rPr>
      </w:pPr>
      <w:r w:rsidRPr="00CA2921">
        <w:rPr>
          <w:rFonts w:eastAsia="標楷體"/>
          <w:b/>
          <w:bCs/>
          <w:sz w:val="24"/>
          <w:szCs w:val="24"/>
        </w:rPr>
        <w:t xml:space="preserve"> </w:t>
      </w:r>
      <w:r w:rsidRPr="00CA2921">
        <w:rPr>
          <w:rFonts w:eastAsia="標楷體"/>
          <w:b/>
          <w:bCs/>
          <w:sz w:val="24"/>
          <w:szCs w:val="24"/>
        </w:rPr>
        <w:t>資料清洗</w:t>
      </w:r>
    </w:p>
    <w:p w14:paraId="7BF61F5B" w14:textId="597517E8" w:rsidR="002F1CDA" w:rsidRPr="00CA2921" w:rsidRDefault="002F1CDA" w:rsidP="00CA2921">
      <w:pPr>
        <w:pStyle w:val="aa"/>
        <w:spacing w:line="360" w:lineRule="auto"/>
        <w:ind w:firstLine="220"/>
        <w:jc w:val="both"/>
        <w:rPr>
          <w:rFonts w:eastAsia="標楷體"/>
        </w:rPr>
      </w:pPr>
      <w:r w:rsidRPr="00CA2921">
        <w:rPr>
          <w:rFonts w:eastAsia="標楷體"/>
        </w:rPr>
        <w:t>本研究使用</w:t>
      </w:r>
      <w:r w:rsidRPr="00CA2921">
        <w:rPr>
          <w:rFonts w:eastAsia="標楷體"/>
        </w:rPr>
        <w:t>tidytext dataset</w:t>
      </w:r>
      <w:r w:rsidRPr="00CA2921">
        <w:rPr>
          <w:rFonts w:eastAsia="標楷體"/>
        </w:rPr>
        <w:t>內建的停止詞</w:t>
      </w:r>
      <w:r w:rsidRPr="00CA2921">
        <w:rPr>
          <w:rFonts w:eastAsia="標楷體"/>
        </w:rPr>
        <w:t>(stop_words)</w:t>
      </w:r>
      <w:r w:rsidRPr="00CA2921">
        <w:rPr>
          <w:rFonts w:eastAsia="標楷體"/>
        </w:rPr>
        <w:t>進行資料清洗，包含像是</w:t>
      </w:r>
      <w:r w:rsidRPr="00CA2921">
        <w:rPr>
          <w:rFonts w:eastAsia="標楷體"/>
        </w:rPr>
        <w:t>“the”, “of”, “to”</w:t>
      </w:r>
      <w:r w:rsidRPr="00CA2921">
        <w:rPr>
          <w:rFonts w:eastAsia="標楷體"/>
        </w:rPr>
        <w:t>等單獨無意義的單字。</w:t>
      </w:r>
    </w:p>
    <w:p w14:paraId="27EB811F" w14:textId="77777777" w:rsidR="00CA2921" w:rsidRPr="00CA2921" w:rsidRDefault="00CA2921" w:rsidP="00CA2921">
      <w:pPr>
        <w:pStyle w:val="aa"/>
        <w:spacing w:line="360" w:lineRule="auto"/>
        <w:ind w:firstLineChars="0" w:firstLine="0"/>
        <w:jc w:val="both"/>
        <w:rPr>
          <w:rFonts w:eastAsia="標楷體"/>
        </w:rPr>
      </w:pPr>
    </w:p>
    <w:p w14:paraId="10606FBC" w14:textId="42B8D2EC" w:rsidR="00F11620" w:rsidRPr="00CA2921" w:rsidRDefault="002F1CDA" w:rsidP="00CA2921">
      <w:pPr>
        <w:pStyle w:val="a3"/>
        <w:numPr>
          <w:ilvl w:val="0"/>
          <w:numId w:val="8"/>
        </w:numPr>
        <w:spacing w:line="360" w:lineRule="auto"/>
        <w:ind w:leftChars="0"/>
        <w:jc w:val="both"/>
        <w:rPr>
          <w:rFonts w:eastAsia="標楷體"/>
          <w:b/>
          <w:bCs/>
          <w:vanish/>
          <w:sz w:val="24"/>
          <w:szCs w:val="24"/>
          <w:specVanish/>
        </w:rPr>
      </w:pPr>
      <w:r w:rsidRPr="00CA2921">
        <w:rPr>
          <w:rFonts w:eastAsia="標楷體"/>
          <w:b/>
          <w:bCs/>
          <w:sz w:val="24"/>
          <w:szCs w:val="24"/>
        </w:rPr>
        <w:lastRenderedPageBreak/>
        <w:t xml:space="preserve"> </w:t>
      </w:r>
      <w:r w:rsidR="00F11620" w:rsidRPr="00CA2921">
        <w:rPr>
          <w:rFonts w:eastAsia="標楷體"/>
          <w:b/>
          <w:bCs/>
          <w:sz w:val="24"/>
          <w:szCs w:val="24"/>
        </w:rPr>
        <w:t>探索性資料分析</w:t>
      </w:r>
    </w:p>
    <w:p w14:paraId="1F259943" w14:textId="77777777" w:rsidR="002F1CDA" w:rsidRPr="00CA2921" w:rsidRDefault="00F965D3" w:rsidP="00CA2921">
      <w:pPr>
        <w:pStyle w:val="a3"/>
        <w:numPr>
          <w:ilvl w:val="0"/>
          <w:numId w:val="4"/>
        </w:numPr>
        <w:spacing w:line="360" w:lineRule="auto"/>
        <w:ind w:leftChars="0"/>
        <w:jc w:val="both"/>
        <w:rPr>
          <w:rFonts w:eastAsia="標楷體"/>
          <w:sz w:val="24"/>
          <w:szCs w:val="24"/>
        </w:rPr>
      </w:pPr>
      <w:r w:rsidRPr="00CA2921">
        <w:rPr>
          <w:rFonts w:eastAsia="標楷體"/>
          <w:sz w:val="24"/>
          <w:szCs w:val="24"/>
        </w:rPr>
        <w:t xml:space="preserve"> </w:t>
      </w:r>
    </w:p>
    <w:p w14:paraId="3F96803E" w14:textId="3952236B" w:rsidR="00F11620" w:rsidRPr="00CA2921" w:rsidRDefault="00F11620" w:rsidP="00CA2921">
      <w:pPr>
        <w:pStyle w:val="aa"/>
        <w:numPr>
          <w:ilvl w:val="0"/>
          <w:numId w:val="10"/>
        </w:numPr>
        <w:spacing w:line="360" w:lineRule="auto"/>
        <w:ind w:firstLineChars="0"/>
        <w:jc w:val="both"/>
        <w:rPr>
          <w:rFonts w:eastAsia="標楷體"/>
          <w:b/>
        </w:rPr>
      </w:pPr>
      <w:r w:rsidRPr="00CA2921">
        <w:rPr>
          <w:rFonts w:eastAsia="標楷體"/>
          <w:b/>
        </w:rPr>
        <w:t>文字雲</w:t>
      </w:r>
    </w:p>
    <w:p w14:paraId="25BC125B" w14:textId="5391E290" w:rsidR="006E6609" w:rsidRPr="00CA2921" w:rsidRDefault="00F11620" w:rsidP="00CA2921">
      <w:pPr>
        <w:spacing w:line="360" w:lineRule="auto"/>
        <w:jc w:val="both"/>
        <w:rPr>
          <w:rFonts w:eastAsia="標楷體"/>
          <w:sz w:val="24"/>
          <w:szCs w:val="24"/>
        </w:rPr>
      </w:pPr>
      <w:r w:rsidRPr="00CA2921">
        <w:rPr>
          <w:rFonts w:eastAsia="標楷體"/>
          <w:sz w:val="24"/>
          <w:szCs w:val="24"/>
        </w:rPr>
        <w:tab/>
      </w:r>
      <w:r w:rsidRPr="00CA2921">
        <w:rPr>
          <w:rFonts w:eastAsia="標楷體"/>
          <w:sz w:val="24"/>
          <w:szCs w:val="24"/>
        </w:rPr>
        <w:t>依照字出現頻率畫出文字雲，觀察整本書提到的</w:t>
      </w:r>
      <w:r w:rsidR="006E6609" w:rsidRPr="00CA2921">
        <w:rPr>
          <w:rFonts w:eastAsia="標楷體"/>
          <w:sz w:val="24"/>
          <w:szCs w:val="24"/>
        </w:rPr>
        <w:t>重點，可以看到</w:t>
      </w:r>
      <w:r w:rsidR="006E6609" w:rsidRPr="00CA2921">
        <w:rPr>
          <w:rFonts w:eastAsia="標楷體"/>
          <w:sz w:val="24"/>
          <w:szCs w:val="24"/>
        </w:rPr>
        <w:t>risk,investors,returns,market…</w:t>
      </w:r>
      <w:r w:rsidR="006E6609" w:rsidRPr="00CA2921">
        <w:rPr>
          <w:rFonts w:eastAsia="標楷體"/>
          <w:sz w:val="24"/>
          <w:szCs w:val="24"/>
        </w:rPr>
        <w:t>等字</w:t>
      </w:r>
      <w:r w:rsidR="00AC37B0" w:rsidRPr="00CA2921">
        <w:rPr>
          <w:rFonts w:eastAsia="標楷體"/>
          <w:sz w:val="24"/>
          <w:szCs w:val="24"/>
        </w:rPr>
        <w:t>大量</w:t>
      </w:r>
      <w:r w:rsidR="006E6609" w:rsidRPr="00CA2921">
        <w:rPr>
          <w:rFonts w:eastAsia="標楷體"/>
          <w:sz w:val="24"/>
          <w:szCs w:val="24"/>
        </w:rPr>
        <w:t>出現，</w:t>
      </w:r>
      <w:r w:rsidR="00AC37B0" w:rsidRPr="00CA2921">
        <w:rPr>
          <w:rFonts w:eastAsia="標楷體"/>
          <w:sz w:val="24"/>
          <w:szCs w:val="24"/>
        </w:rPr>
        <w:t>推測本書</w:t>
      </w:r>
      <w:r w:rsidR="006E6609" w:rsidRPr="00CA2921">
        <w:rPr>
          <w:rFonts w:eastAsia="標楷體"/>
          <w:sz w:val="24"/>
          <w:szCs w:val="24"/>
        </w:rPr>
        <w:t>內容涵蓋風險</w:t>
      </w:r>
      <w:r w:rsidR="00AC37B0" w:rsidRPr="00CA2921">
        <w:rPr>
          <w:rFonts w:eastAsia="標楷體"/>
          <w:sz w:val="24"/>
          <w:szCs w:val="24"/>
        </w:rPr>
        <w:t>的解釋、投資人對於報酬、市場的理解及看法等內容。</w:t>
      </w:r>
    </w:p>
    <w:p w14:paraId="2FBA1853" w14:textId="77777777" w:rsidR="00AC37B0" w:rsidRPr="00CA2921" w:rsidRDefault="00AC37B0" w:rsidP="00CA2921">
      <w:pPr>
        <w:spacing w:line="360" w:lineRule="auto"/>
        <w:jc w:val="both"/>
        <w:rPr>
          <w:rFonts w:eastAsia="標楷體"/>
          <w:vanish/>
          <w:sz w:val="24"/>
          <w:szCs w:val="24"/>
          <w:specVanish/>
        </w:rPr>
      </w:pPr>
    </w:p>
    <w:p w14:paraId="0D82ED2C" w14:textId="52E02F4B" w:rsidR="00AC37B0" w:rsidRPr="00CA2921" w:rsidRDefault="006E6609" w:rsidP="00CA2921">
      <w:pPr>
        <w:pStyle w:val="aa"/>
        <w:spacing w:line="360" w:lineRule="auto"/>
        <w:ind w:firstLine="220"/>
        <w:jc w:val="center"/>
        <w:rPr>
          <w:rFonts w:eastAsia="標楷體"/>
        </w:rPr>
      </w:pPr>
      <w:r w:rsidRPr="00CA2921">
        <w:rPr>
          <w:rFonts w:eastAsia="標楷體"/>
          <w:noProof/>
        </w:rPr>
        <w:drawing>
          <wp:inline distT="0" distB="0" distL="0" distR="0" wp14:anchorId="2A32E0C3" wp14:editId="19E3F9D9">
            <wp:extent cx="4396740" cy="2584018"/>
            <wp:effectExtent l="0" t="0" r="3810" b="6985"/>
            <wp:docPr id="4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E4926096-ECFD-41CC-B799-1AD18FD6F0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E4926096-ECFD-41CC-B799-1AD18FD6F0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8591" cy="261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7ED4" w14:textId="6A801D23" w:rsidR="00AC37B0" w:rsidRPr="00CA2921" w:rsidRDefault="00AC37B0" w:rsidP="00CA2921">
      <w:pPr>
        <w:pStyle w:val="a3"/>
        <w:numPr>
          <w:ilvl w:val="0"/>
          <w:numId w:val="10"/>
        </w:numPr>
        <w:spacing w:line="360" w:lineRule="auto"/>
        <w:ind w:leftChars="0"/>
        <w:jc w:val="both"/>
        <w:rPr>
          <w:rFonts w:eastAsia="標楷體"/>
          <w:b/>
          <w:bCs/>
          <w:sz w:val="24"/>
          <w:szCs w:val="24"/>
        </w:rPr>
      </w:pPr>
      <w:r w:rsidRPr="00CA2921">
        <w:rPr>
          <w:rFonts w:eastAsia="標楷體"/>
          <w:b/>
          <w:bCs/>
          <w:sz w:val="24"/>
          <w:szCs w:val="24"/>
        </w:rPr>
        <w:t>熱門字在各章節出現頻率</w:t>
      </w:r>
    </w:p>
    <w:p w14:paraId="0DC7C558" w14:textId="551F6E64" w:rsidR="00AC37B0" w:rsidRPr="00CA2921" w:rsidRDefault="00AC37B0" w:rsidP="00CA2921">
      <w:pPr>
        <w:spacing w:line="360" w:lineRule="auto"/>
        <w:jc w:val="both"/>
        <w:rPr>
          <w:rFonts w:eastAsia="標楷體"/>
          <w:sz w:val="24"/>
          <w:szCs w:val="24"/>
        </w:rPr>
      </w:pPr>
      <w:r w:rsidRPr="00CA2921">
        <w:rPr>
          <w:rFonts w:eastAsia="標楷體"/>
          <w:sz w:val="24"/>
          <w:szCs w:val="24"/>
        </w:rPr>
        <w:tab/>
      </w:r>
      <w:r w:rsidRPr="00CA2921">
        <w:rPr>
          <w:rFonts w:eastAsia="標楷體"/>
          <w:sz w:val="24"/>
          <w:szCs w:val="24"/>
        </w:rPr>
        <w:t>由下圖可見，從文字雲中發現的熱門字，在各章節中出現的頻率，</w:t>
      </w:r>
      <w:r w:rsidRPr="00CA2921">
        <w:rPr>
          <w:rFonts w:eastAsia="標楷體"/>
          <w:sz w:val="24"/>
          <w:szCs w:val="24"/>
        </w:rPr>
        <w:t>price</w:t>
      </w:r>
      <w:r w:rsidRPr="00CA2921">
        <w:rPr>
          <w:rFonts w:eastAsia="標楷體"/>
          <w:sz w:val="24"/>
          <w:szCs w:val="24"/>
        </w:rPr>
        <w:t>集中在第四章，</w:t>
      </w:r>
      <w:r w:rsidRPr="00CA2921">
        <w:rPr>
          <w:rFonts w:eastAsia="標楷體"/>
          <w:sz w:val="24"/>
          <w:szCs w:val="24"/>
        </w:rPr>
        <w:t>Investment</w:t>
      </w:r>
      <w:r w:rsidRPr="00CA2921">
        <w:rPr>
          <w:rFonts w:eastAsia="標楷體"/>
          <w:sz w:val="24"/>
          <w:szCs w:val="24"/>
        </w:rPr>
        <w:t>集中在第五章，</w:t>
      </w:r>
      <w:r w:rsidRPr="00CA2921">
        <w:rPr>
          <w:rFonts w:eastAsia="標楷體"/>
          <w:sz w:val="24"/>
          <w:szCs w:val="24"/>
        </w:rPr>
        <w:t>risk</w:t>
      </w:r>
      <w:r w:rsidRPr="00CA2921">
        <w:rPr>
          <w:rFonts w:eastAsia="標楷體"/>
          <w:sz w:val="24"/>
          <w:szCs w:val="24"/>
        </w:rPr>
        <w:t>集中在第五至第七章，</w:t>
      </w:r>
      <w:r w:rsidRPr="00CA2921">
        <w:rPr>
          <w:rFonts w:eastAsia="標楷體"/>
          <w:sz w:val="24"/>
          <w:szCs w:val="24"/>
        </w:rPr>
        <w:t>marker</w:t>
      </w:r>
      <w:r w:rsidRPr="00CA2921">
        <w:rPr>
          <w:rFonts w:eastAsia="標楷體"/>
          <w:sz w:val="24"/>
          <w:szCs w:val="24"/>
        </w:rPr>
        <w:t>集中在第二、第十九章，可由此初探各章節談論的內容大致為何。</w:t>
      </w:r>
    </w:p>
    <w:p w14:paraId="58C95996" w14:textId="7B795820" w:rsidR="00F11620" w:rsidRPr="00CA2921" w:rsidRDefault="00AC37B0" w:rsidP="00CA2921">
      <w:pPr>
        <w:spacing w:line="360" w:lineRule="auto"/>
        <w:jc w:val="center"/>
        <w:rPr>
          <w:rFonts w:eastAsia="標楷體"/>
          <w:sz w:val="24"/>
          <w:szCs w:val="24"/>
        </w:rPr>
      </w:pPr>
      <w:r w:rsidRPr="00CA2921">
        <w:rPr>
          <w:rFonts w:eastAsia="標楷體"/>
          <w:noProof/>
          <w:sz w:val="24"/>
          <w:szCs w:val="24"/>
        </w:rPr>
        <w:drawing>
          <wp:inline distT="0" distB="0" distL="0" distR="0" wp14:anchorId="11A147CF" wp14:editId="0278D099">
            <wp:extent cx="5822318" cy="2761615"/>
            <wp:effectExtent l="0" t="0" r="6985" b="635"/>
            <wp:docPr id="3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DA6723A4-EAA0-49D7-BDAE-73C0D90703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DA6723A4-EAA0-49D7-BDAE-73C0D90703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r="8892"/>
                    <a:stretch/>
                  </pic:blipFill>
                  <pic:spPr>
                    <a:xfrm>
                      <a:off x="0" y="0"/>
                      <a:ext cx="5904527" cy="280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C0C1" w14:textId="77777777" w:rsidR="00262AA4" w:rsidRPr="00CA2921" w:rsidRDefault="00262AA4" w:rsidP="00CA2921">
      <w:pPr>
        <w:pStyle w:val="aa"/>
        <w:spacing w:line="360" w:lineRule="auto"/>
        <w:ind w:firstLine="220"/>
        <w:jc w:val="both"/>
        <w:rPr>
          <w:rFonts w:eastAsia="標楷體"/>
        </w:rPr>
      </w:pPr>
    </w:p>
    <w:p w14:paraId="794F29C9" w14:textId="578F1765" w:rsidR="00AC37B0" w:rsidRPr="00CA2921" w:rsidRDefault="00AC37B0" w:rsidP="00CA2921">
      <w:pPr>
        <w:pStyle w:val="a3"/>
        <w:numPr>
          <w:ilvl w:val="0"/>
          <w:numId w:val="10"/>
        </w:numPr>
        <w:spacing w:line="360" w:lineRule="auto"/>
        <w:ind w:leftChars="0"/>
        <w:jc w:val="both"/>
        <w:rPr>
          <w:rFonts w:eastAsia="標楷體"/>
          <w:b/>
          <w:bCs/>
          <w:sz w:val="24"/>
          <w:szCs w:val="24"/>
        </w:rPr>
      </w:pPr>
      <w:r w:rsidRPr="00CA2921">
        <w:rPr>
          <w:rFonts w:eastAsia="標楷體"/>
          <w:b/>
          <w:bCs/>
          <w:sz w:val="24"/>
          <w:szCs w:val="24"/>
        </w:rPr>
        <w:t>二元語法</w:t>
      </w:r>
      <w:r w:rsidRPr="00CA2921">
        <w:rPr>
          <w:rFonts w:eastAsia="標楷體"/>
          <w:b/>
          <w:bCs/>
          <w:sz w:val="24"/>
          <w:szCs w:val="24"/>
        </w:rPr>
        <w:t>(bigram)</w:t>
      </w:r>
      <w:r w:rsidRPr="00CA2921">
        <w:rPr>
          <w:rFonts w:eastAsia="標楷體"/>
          <w:b/>
          <w:bCs/>
          <w:sz w:val="24"/>
          <w:szCs w:val="24"/>
        </w:rPr>
        <w:t>分析</w:t>
      </w:r>
    </w:p>
    <w:p w14:paraId="35EFEED9" w14:textId="3EF13418" w:rsidR="00C121B5" w:rsidRPr="00CA2921" w:rsidRDefault="002F1CDA" w:rsidP="00CA2921">
      <w:pPr>
        <w:spacing w:line="360" w:lineRule="auto"/>
        <w:ind w:firstLine="480"/>
        <w:jc w:val="both"/>
        <w:rPr>
          <w:rFonts w:eastAsia="標楷體"/>
          <w:sz w:val="24"/>
          <w:szCs w:val="24"/>
        </w:rPr>
      </w:pPr>
      <w:r w:rsidRPr="00CA2921">
        <w:rPr>
          <w:rFonts w:eastAsia="標楷體"/>
          <w:sz w:val="24"/>
          <w:szCs w:val="24"/>
        </w:rPr>
        <w:t>我們將分析的字數擴增為二元語法，連續觀察兩個字聯合出現的字數，捕捉更完整的語意，</w:t>
      </w:r>
      <w:r w:rsidR="00C121B5" w:rsidRPr="00CA2921">
        <w:rPr>
          <w:rFonts w:eastAsia="標楷體"/>
          <w:sz w:val="24"/>
          <w:szCs w:val="24"/>
        </w:rPr>
        <w:t>如下</w:t>
      </w:r>
      <w:r w:rsidR="00C121B5" w:rsidRPr="00CA2921">
        <w:rPr>
          <w:rFonts w:eastAsia="標楷體"/>
          <w:sz w:val="24"/>
          <w:szCs w:val="24"/>
        </w:rPr>
        <w:lastRenderedPageBreak/>
        <w:t>圖可見，前面觀察到的</w:t>
      </w:r>
      <w:r w:rsidR="00C121B5" w:rsidRPr="00CA2921">
        <w:rPr>
          <w:rFonts w:eastAsia="標楷體"/>
          <w:sz w:val="24"/>
          <w:szCs w:val="24"/>
        </w:rPr>
        <w:t>risk</w:t>
      </w:r>
      <w:r w:rsidR="00C121B5" w:rsidRPr="00CA2921">
        <w:rPr>
          <w:rFonts w:eastAsia="標楷體"/>
          <w:sz w:val="24"/>
          <w:szCs w:val="24"/>
        </w:rPr>
        <w:t>與</w:t>
      </w:r>
      <w:r w:rsidR="00C121B5" w:rsidRPr="00CA2921">
        <w:rPr>
          <w:rFonts w:eastAsia="標楷體"/>
          <w:sz w:val="24"/>
          <w:szCs w:val="24"/>
        </w:rPr>
        <w:t>bear</w:t>
      </w:r>
      <w:r w:rsidR="00C121B5" w:rsidRPr="00CA2921">
        <w:rPr>
          <w:rFonts w:eastAsia="標楷體"/>
          <w:sz w:val="24"/>
          <w:szCs w:val="24"/>
        </w:rPr>
        <w:t>、</w:t>
      </w:r>
      <w:r w:rsidR="00C121B5" w:rsidRPr="00CA2921">
        <w:rPr>
          <w:rFonts w:eastAsia="標楷體"/>
          <w:sz w:val="24"/>
          <w:szCs w:val="24"/>
        </w:rPr>
        <w:t>premiums</w:t>
      </w:r>
      <w:r w:rsidR="00C121B5" w:rsidRPr="00CA2921">
        <w:rPr>
          <w:rFonts w:eastAsia="標楷體"/>
          <w:sz w:val="24"/>
          <w:szCs w:val="24"/>
        </w:rPr>
        <w:t>、</w:t>
      </w:r>
      <w:r w:rsidR="00C121B5" w:rsidRPr="00CA2921">
        <w:rPr>
          <w:rFonts w:eastAsia="標楷體"/>
          <w:sz w:val="24"/>
          <w:szCs w:val="24"/>
        </w:rPr>
        <w:t>averse</w:t>
      </w:r>
      <w:r w:rsidR="00C121B5" w:rsidRPr="00CA2921">
        <w:rPr>
          <w:rFonts w:eastAsia="標楷體"/>
          <w:sz w:val="24"/>
          <w:szCs w:val="24"/>
        </w:rPr>
        <w:t>、</w:t>
      </w:r>
      <w:r w:rsidR="00C121B5" w:rsidRPr="00CA2921">
        <w:rPr>
          <w:rFonts w:eastAsia="標楷體"/>
          <w:sz w:val="24"/>
          <w:szCs w:val="24"/>
        </w:rPr>
        <w:t>control</w:t>
      </w:r>
      <w:r w:rsidR="00C121B5" w:rsidRPr="00CA2921">
        <w:rPr>
          <w:rFonts w:eastAsia="標楷體"/>
          <w:sz w:val="24"/>
          <w:szCs w:val="24"/>
        </w:rPr>
        <w:t>相連，談論重點可能與景氣不好時的熊市、投資人的風險趨避屬性、估計承擔風險所獲得的風險溢酬等內容；再看到</w:t>
      </w:r>
      <w:r w:rsidR="00C121B5" w:rsidRPr="00CA2921">
        <w:rPr>
          <w:rFonts w:eastAsia="標楷體"/>
          <w:sz w:val="24"/>
          <w:szCs w:val="24"/>
        </w:rPr>
        <w:t>market</w:t>
      </w:r>
      <w:r w:rsidR="00C121B5" w:rsidRPr="00CA2921">
        <w:rPr>
          <w:rFonts w:eastAsia="標楷體"/>
          <w:sz w:val="24"/>
          <w:szCs w:val="24"/>
        </w:rPr>
        <w:t>的部分，可看到與</w:t>
      </w:r>
      <w:r w:rsidR="00C121B5" w:rsidRPr="00CA2921">
        <w:rPr>
          <w:rFonts w:eastAsia="標楷體"/>
          <w:sz w:val="24"/>
          <w:szCs w:val="24"/>
        </w:rPr>
        <w:t>capital</w:t>
      </w:r>
      <w:r w:rsidR="00C121B5" w:rsidRPr="00CA2921">
        <w:rPr>
          <w:rFonts w:eastAsia="標楷體"/>
          <w:sz w:val="24"/>
          <w:szCs w:val="24"/>
        </w:rPr>
        <w:t>、</w:t>
      </w:r>
      <w:r w:rsidR="00C121B5" w:rsidRPr="00CA2921">
        <w:rPr>
          <w:rFonts w:eastAsia="標楷體"/>
          <w:sz w:val="24"/>
          <w:szCs w:val="24"/>
        </w:rPr>
        <w:t>efficients</w:t>
      </w:r>
      <w:r w:rsidR="00C121B5" w:rsidRPr="00CA2921">
        <w:rPr>
          <w:rFonts w:eastAsia="標楷體"/>
          <w:sz w:val="24"/>
          <w:szCs w:val="24"/>
        </w:rPr>
        <w:t>、</w:t>
      </w:r>
      <w:r w:rsidR="00C121B5" w:rsidRPr="00CA2921">
        <w:rPr>
          <w:rFonts w:eastAsia="標楷體"/>
          <w:sz w:val="24"/>
          <w:szCs w:val="24"/>
        </w:rPr>
        <w:t>bull</w:t>
      </w:r>
      <w:r w:rsidR="00C121B5" w:rsidRPr="00CA2921">
        <w:rPr>
          <w:rFonts w:eastAsia="標楷體"/>
          <w:sz w:val="24"/>
          <w:szCs w:val="24"/>
        </w:rPr>
        <w:t>、</w:t>
      </w:r>
      <w:r w:rsidR="00C121B5" w:rsidRPr="00CA2921">
        <w:rPr>
          <w:rFonts w:eastAsia="標楷體"/>
          <w:sz w:val="24"/>
          <w:szCs w:val="24"/>
        </w:rPr>
        <w:t>hypothesis</w:t>
      </w:r>
      <w:r w:rsidR="00C121B5" w:rsidRPr="00CA2921">
        <w:rPr>
          <w:rFonts w:eastAsia="標楷體"/>
          <w:sz w:val="24"/>
          <w:szCs w:val="24"/>
        </w:rPr>
        <w:t>等字相連，代表本書可能談論到資本市場上是否符合效率市場假說，在景氣好的牛市、景氣差的熊市時，是否假設有所改變。</w:t>
      </w:r>
    </w:p>
    <w:p w14:paraId="68E45F94" w14:textId="1690045E" w:rsidR="00CA2921" w:rsidRDefault="00C121B5" w:rsidP="00CA2921">
      <w:pPr>
        <w:spacing w:line="360" w:lineRule="auto"/>
        <w:jc w:val="center"/>
        <w:rPr>
          <w:rFonts w:eastAsia="標楷體"/>
          <w:sz w:val="24"/>
          <w:szCs w:val="24"/>
        </w:rPr>
      </w:pPr>
      <w:r w:rsidRPr="00CA2921">
        <w:rPr>
          <w:rFonts w:eastAsia="標楷體"/>
          <w:noProof/>
          <w:sz w:val="24"/>
          <w:szCs w:val="24"/>
        </w:rPr>
        <w:drawing>
          <wp:inline distT="0" distB="0" distL="0" distR="0" wp14:anchorId="53C514F2" wp14:editId="3F5C6798">
            <wp:extent cx="5682965" cy="2743200"/>
            <wp:effectExtent l="0" t="0" r="0" b="0"/>
            <wp:docPr id="1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28CDDC3D-1F9E-44D4-AB2F-E63DAB5045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28CDDC3D-1F9E-44D4-AB2F-E63DAB5045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615" cy="276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3BC1" w14:textId="77777777" w:rsidR="00CA2921" w:rsidRPr="00CA2921" w:rsidRDefault="00CA2921" w:rsidP="00CA2921">
      <w:pPr>
        <w:jc w:val="center"/>
        <w:rPr>
          <w:rFonts w:eastAsia="標楷體" w:hint="eastAsia"/>
          <w:sz w:val="24"/>
          <w:szCs w:val="24"/>
        </w:rPr>
      </w:pPr>
    </w:p>
    <w:p w14:paraId="49129DC1" w14:textId="270E411B" w:rsidR="00C121B5" w:rsidRPr="00CA2921" w:rsidRDefault="00C121B5" w:rsidP="00CA2921">
      <w:pPr>
        <w:pStyle w:val="aa"/>
        <w:numPr>
          <w:ilvl w:val="0"/>
          <w:numId w:val="13"/>
        </w:numPr>
        <w:spacing w:line="360" w:lineRule="auto"/>
        <w:ind w:firstLineChars="0"/>
        <w:jc w:val="both"/>
        <w:rPr>
          <w:rFonts w:eastAsia="標楷體"/>
          <w:b/>
        </w:rPr>
      </w:pPr>
      <w:r w:rsidRPr="00CA2921">
        <w:rPr>
          <w:rFonts w:eastAsia="標楷體"/>
          <w:b/>
        </w:rPr>
        <w:t>情緒分析</w:t>
      </w:r>
      <w:r w:rsidRPr="00CA2921">
        <w:rPr>
          <w:rFonts w:eastAsia="標楷體"/>
          <w:b/>
        </w:rPr>
        <w:t>(Sentiment Analysis)</w:t>
      </w:r>
    </w:p>
    <w:p w14:paraId="2877C408" w14:textId="34B4B7EE" w:rsidR="00C121B5" w:rsidRPr="00CA2921" w:rsidRDefault="00C121B5" w:rsidP="00CA2921">
      <w:pPr>
        <w:spacing w:line="360" w:lineRule="auto"/>
        <w:ind w:firstLine="480"/>
        <w:jc w:val="both"/>
        <w:rPr>
          <w:rFonts w:eastAsia="標楷體"/>
          <w:sz w:val="24"/>
          <w:szCs w:val="24"/>
        </w:rPr>
      </w:pPr>
      <w:r w:rsidRPr="00CA2921">
        <w:rPr>
          <w:rFonts w:eastAsia="標楷體"/>
          <w:sz w:val="24"/>
          <w:szCs w:val="24"/>
        </w:rPr>
        <w:t>因為本研究書籍為財金相關資料，故與一般文章所使用的情緒字典不太相容，可能會出現會錯意的情況發生，像是代表股份的</w:t>
      </w:r>
      <w:r w:rsidRPr="00CA2921">
        <w:rPr>
          <w:rFonts w:eastAsia="標楷體"/>
          <w:sz w:val="24"/>
          <w:szCs w:val="24"/>
        </w:rPr>
        <w:t>share</w:t>
      </w:r>
      <w:r w:rsidRPr="00CA2921">
        <w:rPr>
          <w:rFonts w:eastAsia="標楷體"/>
          <w:sz w:val="24"/>
          <w:szCs w:val="24"/>
        </w:rPr>
        <w:t>跟分享，還有風險對財金來說應該為中性詞而非負面詞，綜和上述，本研究採用</w:t>
      </w:r>
      <w:r w:rsidRPr="00CA2921">
        <w:rPr>
          <w:rFonts w:eastAsia="標楷體"/>
          <w:sz w:val="24"/>
          <w:szCs w:val="24"/>
        </w:rPr>
        <w:t>Loughran and McDonald dictionary of financial sentiment terms (Loughran and McDonald 2011)</w:t>
      </w:r>
      <w:r w:rsidRPr="00CA2921">
        <w:rPr>
          <w:rFonts w:eastAsia="標楷體"/>
          <w:sz w:val="24"/>
          <w:szCs w:val="24"/>
        </w:rPr>
        <w:t>，分為六種情緒</w:t>
      </w:r>
      <w:r w:rsidRPr="00CA2921">
        <w:rPr>
          <w:rFonts w:eastAsia="標楷體"/>
          <w:sz w:val="24"/>
          <w:szCs w:val="24"/>
        </w:rPr>
        <w:t>: “positive”, “negative”, “litigious”, “uncertain”, “constraining”, and “superfluous”</w:t>
      </w:r>
      <w:r w:rsidRPr="00CA2921">
        <w:rPr>
          <w:rFonts w:eastAsia="標楷體"/>
          <w:sz w:val="24"/>
          <w:szCs w:val="24"/>
        </w:rPr>
        <w:t>，代表</w:t>
      </w:r>
      <w:r w:rsidRPr="00CA2921">
        <w:rPr>
          <w:rFonts w:eastAsia="標楷體"/>
          <w:sz w:val="24"/>
          <w:szCs w:val="24"/>
        </w:rPr>
        <w:t>“</w:t>
      </w:r>
      <w:r w:rsidR="00262AA4" w:rsidRPr="00CA2921">
        <w:rPr>
          <w:rFonts w:eastAsia="標楷體"/>
          <w:sz w:val="24"/>
          <w:szCs w:val="24"/>
        </w:rPr>
        <w:t>正面</w:t>
      </w:r>
      <w:r w:rsidRPr="00CA2921">
        <w:rPr>
          <w:rFonts w:eastAsia="標楷體"/>
          <w:sz w:val="24"/>
          <w:szCs w:val="24"/>
        </w:rPr>
        <w:t>”</w:t>
      </w:r>
      <w:r w:rsidRPr="00CA2921">
        <w:rPr>
          <w:rFonts w:eastAsia="標楷體"/>
          <w:sz w:val="24"/>
          <w:szCs w:val="24"/>
        </w:rPr>
        <w:t>、</w:t>
      </w:r>
      <w:r w:rsidRPr="00CA2921">
        <w:rPr>
          <w:rFonts w:eastAsia="標楷體"/>
          <w:sz w:val="24"/>
          <w:szCs w:val="24"/>
        </w:rPr>
        <w:t>“</w:t>
      </w:r>
      <w:r w:rsidR="00262AA4" w:rsidRPr="00CA2921">
        <w:rPr>
          <w:rFonts w:eastAsia="標楷體"/>
          <w:sz w:val="24"/>
          <w:szCs w:val="24"/>
        </w:rPr>
        <w:t>負面</w:t>
      </w:r>
      <w:r w:rsidRPr="00CA2921">
        <w:rPr>
          <w:rFonts w:eastAsia="標楷體"/>
          <w:sz w:val="24"/>
          <w:szCs w:val="24"/>
        </w:rPr>
        <w:t>”</w:t>
      </w:r>
      <w:r w:rsidRPr="00CA2921">
        <w:rPr>
          <w:rFonts w:eastAsia="標楷體"/>
          <w:sz w:val="24"/>
          <w:szCs w:val="24"/>
        </w:rPr>
        <w:t>、</w:t>
      </w:r>
      <w:r w:rsidRPr="00CA2921">
        <w:rPr>
          <w:rFonts w:eastAsia="標楷體"/>
          <w:sz w:val="24"/>
          <w:szCs w:val="24"/>
        </w:rPr>
        <w:t>“</w:t>
      </w:r>
      <w:r w:rsidR="00CE5923" w:rsidRPr="00CA2921">
        <w:rPr>
          <w:rFonts w:eastAsia="標楷體"/>
          <w:sz w:val="24"/>
          <w:szCs w:val="24"/>
        </w:rPr>
        <w:t>爭</w:t>
      </w:r>
      <w:r w:rsidR="00262AA4" w:rsidRPr="00CA2921">
        <w:rPr>
          <w:rFonts w:eastAsia="標楷體"/>
          <w:sz w:val="24"/>
          <w:szCs w:val="24"/>
        </w:rPr>
        <w:t>議</w:t>
      </w:r>
      <w:r w:rsidR="00CE5923" w:rsidRPr="00CA2921">
        <w:rPr>
          <w:rFonts w:eastAsia="標楷體"/>
          <w:sz w:val="24"/>
          <w:szCs w:val="24"/>
        </w:rPr>
        <w:t>的</w:t>
      </w:r>
      <w:r w:rsidRPr="00CA2921">
        <w:rPr>
          <w:rFonts w:eastAsia="標楷體"/>
          <w:sz w:val="24"/>
          <w:szCs w:val="24"/>
        </w:rPr>
        <w:t>”</w:t>
      </w:r>
      <w:r w:rsidRPr="00CA2921">
        <w:rPr>
          <w:rFonts w:eastAsia="標楷體"/>
          <w:sz w:val="24"/>
          <w:szCs w:val="24"/>
        </w:rPr>
        <w:t>、</w:t>
      </w:r>
      <w:r w:rsidRPr="00CA2921">
        <w:rPr>
          <w:rFonts w:eastAsia="標楷體"/>
          <w:sz w:val="24"/>
          <w:szCs w:val="24"/>
        </w:rPr>
        <w:t>“</w:t>
      </w:r>
      <w:r w:rsidRPr="00CA2921">
        <w:rPr>
          <w:rFonts w:eastAsia="標楷體"/>
          <w:sz w:val="24"/>
          <w:szCs w:val="24"/>
        </w:rPr>
        <w:t>不確定</w:t>
      </w:r>
      <w:r w:rsidR="00262AA4" w:rsidRPr="00CA2921">
        <w:rPr>
          <w:rFonts w:eastAsia="標楷體"/>
          <w:sz w:val="24"/>
          <w:szCs w:val="24"/>
        </w:rPr>
        <w:t>性</w:t>
      </w:r>
      <w:r w:rsidRPr="00CA2921">
        <w:rPr>
          <w:rFonts w:eastAsia="標楷體"/>
          <w:sz w:val="24"/>
          <w:szCs w:val="24"/>
        </w:rPr>
        <w:t>”</w:t>
      </w:r>
      <w:r w:rsidRPr="00CA2921">
        <w:rPr>
          <w:rFonts w:eastAsia="標楷體"/>
          <w:sz w:val="24"/>
          <w:szCs w:val="24"/>
        </w:rPr>
        <w:t>、</w:t>
      </w:r>
      <w:r w:rsidRPr="00CA2921">
        <w:rPr>
          <w:rFonts w:eastAsia="標楷體"/>
          <w:sz w:val="24"/>
          <w:szCs w:val="24"/>
        </w:rPr>
        <w:t>“</w:t>
      </w:r>
      <w:r w:rsidRPr="00CA2921">
        <w:rPr>
          <w:rFonts w:eastAsia="標楷體"/>
          <w:sz w:val="24"/>
          <w:szCs w:val="24"/>
        </w:rPr>
        <w:t>約束</w:t>
      </w:r>
      <w:r w:rsidR="00CE5923" w:rsidRPr="00CA2921">
        <w:rPr>
          <w:rFonts w:eastAsia="標楷體"/>
          <w:sz w:val="24"/>
          <w:szCs w:val="24"/>
        </w:rPr>
        <w:t>的</w:t>
      </w:r>
      <w:r w:rsidRPr="00CA2921">
        <w:rPr>
          <w:rFonts w:eastAsia="標楷體"/>
          <w:sz w:val="24"/>
          <w:szCs w:val="24"/>
        </w:rPr>
        <w:t>”</w:t>
      </w:r>
      <w:r w:rsidRPr="00CA2921">
        <w:rPr>
          <w:rFonts w:eastAsia="標楷體"/>
          <w:sz w:val="24"/>
          <w:szCs w:val="24"/>
        </w:rPr>
        <w:t>和</w:t>
      </w:r>
      <w:r w:rsidRPr="00CA2921">
        <w:rPr>
          <w:rFonts w:eastAsia="標楷體"/>
          <w:sz w:val="24"/>
          <w:szCs w:val="24"/>
        </w:rPr>
        <w:t>“</w:t>
      </w:r>
      <w:r w:rsidRPr="00CA2921">
        <w:rPr>
          <w:rFonts w:eastAsia="標楷體"/>
          <w:sz w:val="24"/>
          <w:szCs w:val="24"/>
        </w:rPr>
        <w:t>多餘</w:t>
      </w:r>
      <w:r w:rsidRPr="00CA2921">
        <w:rPr>
          <w:rFonts w:eastAsia="標楷體"/>
          <w:sz w:val="24"/>
          <w:szCs w:val="24"/>
        </w:rPr>
        <w:t>”</w:t>
      </w:r>
      <w:r w:rsidR="00CE5923" w:rsidRPr="00CA2921">
        <w:rPr>
          <w:rFonts w:eastAsia="標楷體"/>
          <w:sz w:val="24"/>
          <w:szCs w:val="24"/>
        </w:rPr>
        <w:t>等六種概念。</w:t>
      </w:r>
    </w:p>
    <w:p w14:paraId="22F84515" w14:textId="042C81CA" w:rsidR="00CE5923" w:rsidRPr="00CA2921" w:rsidRDefault="00CE5923" w:rsidP="00CA2921">
      <w:pPr>
        <w:spacing w:line="360" w:lineRule="auto"/>
        <w:jc w:val="both"/>
        <w:rPr>
          <w:rFonts w:eastAsia="標楷體"/>
          <w:vanish/>
          <w:sz w:val="24"/>
          <w:szCs w:val="24"/>
          <w:specVanish/>
        </w:rPr>
      </w:pPr>
      <w:r w:rsidRPr="00CA2921">
        <w:rPr>
          <w:rFonts w:eastAsia="標楷體"/>
          <w:sz w:val="24"/>
          <w:szCs w:val="24"/>
        </w:rPr>
        <w:t>由下圖可以看到</w:t>
      </w:r>
      <w:r w:rsidR="00262AA4" w:rsidRPr="00CA2921">
        <w:rPr>
          <w:rFonts w:eastAsia="標楷體"/>
          <w:sz w:val="24"/>
          <w:szCs w:val="24"/>
        </w:rPr>
        <w:t>第</w:t>
      </w:r>
      <w:r w:rsidRPr="00CA2921">
        <w:rPr>
          <w:rFonts w:eastAsia="標楷體"/>
          <w:sz w:val="24"/>
          <w:szCs w:val="24"/>
        </w:rPr>
        <w:t>五、六、</w:t>
      </w:r>
      <w:r w:rsidR="00262AA4" w:rsidRPr="00CA2921">
        <w:rPr>
          <w:rFonts w:eastAsia="標楷體"/>
          <w:sz w:val="24"/>
          <w:szCs w:val="24"/>
        </w:rPr>
        <w:t>七章的不確定性及負面傾向最為明顯，另外</w:t>
      </w:r>
    </w:p>
    <w:p w14:paraId="5AC5D979" w14:textId="0506FB30" w:rsidR="00CE5923" w:rsidRPr="00CA2921" w:rsidRDefault="00262AA4" w:rsidP="00CA2921">
      <w:pPr>
        <w:pStyle w:val="aa"/>
        <w:spacing w:line="360" w:lineRule="auto"/>
        <w:ind w:firstLine="220"/>
        <w:jc w:val="both"/>
        <w:rPr>
          <w:rFonts w:eastAsia="標楷體"/>
        </w:rPr>
      </w:pPr>
      <w:r w:rsidRPr="00CA2921">
        <w:rPr>
          <w:rFonts w:eastAsia="標楷體"/>
        </w:rPr>
        <w:t>第十、十七、十八章的負面也很突出。</w:t>
      </w:r>
    </w:p>
    <w:p w14:paraId="05C255A8" w14:textId="56FF1B31" w:rsidR="00CE5923" w:rsidRPr="00CA2921" w:rsidRDefault="00CE5923" w:rsidP="00CA2921">
      <w:pPr>
        <w:spacing w:line="360" w:lineRule="auto"/>
        <w:ind w:firstLine="480"/>
        <w:jc w:val="center"/>
        <w:rPr>
          <w:rFonts w:eastAsia="標楷體"/>
          <w:sz w:val="24"/>
          <w:szCs w:val="24"/>
        </w:rPr>
      </w:pPr>
      <w:r w:rsidRPr="00CA2921">
        <w:rPr>
          <w:rFonts w:eastAsia="標楷體"/>
          <w:noProof/>
          <w:sz w:val="24"/>
          <w:szCs w:val="24"/>
        </w:rPr>
        <w:drawing>
          <wp:inline distT="0" distB="0" distL="0" distR="0" wp14:anchorId="0C955D75" wp14:editId="30A5B694">
            <wp:extent cx="5451174" cy="2492375"/>
            <wp:effectExtent l="0" t="0" r="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074" cy="2515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37EDFE" w14:textId="6F10C106" w:rsidR="00262AA4" w:rsidRPr="00CA2921" w:rsidRDefault="00262AA4" w:rsidP="00CA2921">
      <w:pPr>
        <w:pStyle w:val="a3"/>
        <w:numPr>
          <w:ilvl w:val="0"/>
          <w:numId w:val="14"/>
        </w:numPr>
        <w:spacing w:line="360" w:lineRule="auto"/>
        <w:ind w:leftChars="0"/>
        <w:jc w:val="both"/>
        <w:rPr>
          <w:rFonts w:eastAsia="標楷體"/>
          <w:b/>
          <w:bCs/>
          <w:sz w:val="24"/>
          <w:szCs w:val="24"/>
        </w:rPr>
      </w:pPr>
      <w:r w:rsidRPr="00CA2921">
        <w:rPr>
          <w:rFonts w:eastAsia="標楷體"/>
          <w:b/>
          <w:bCs/>
          <w:sz w:val="24"/>
          <w:szCs w:val="24"/>
        </w:rPr>
        <w:lastRenderedPageBreak/>
        <w:t>主題模型</w:t>
      </w:r>
      <w:r w:rsidRPr="00CA2921">
        <w:rPr>
          <w:rFonts w:eastAsia="標楷體"/>
          <w:b/>
          <w:bCs/>
          <w:sz w:val="24"/>
          <w:szCs w:val="24"/>
        </w:rPr>
        <w:t>(Topic Model)</w:t>
      </w:r>
    </w:p>
    <w:p w14:paraId="13C31300" w14:textId="3A7BC97F" w:rsidR="00262AA4" w:rsidRPr="00CA2921" w:rsidRDefault="00262AA4" w:rsidP="00CA2921">
      <w:pPr>
        <w:pStyle w:val="aa"/>
        <w:spacing w:line="360" w:lineRule="auto"/>
        <w:ind w:firstLine="220"/>
        <w:jc w:val="both"/>
        <w:rPr>
          <w:rFonts w:eastAsia="標楷體"/>
        </w:rPr>
      </w:pPr>
      <w:r w:rsidRPr="00CA2921">
        <w:rPr>
          <w:rFonts w:eastAsia="標楷體"/>
        </w:rPr>
        <w:t>主題模型多由</w:t>
      </w:r>
      <w:r w:rsidRPr="00CA2921">
        <w:rPr>
          <w:rFonts w:eastAsia="標楷體"/>
        </w:rPr>
        <w:t>Latent Dirichelet Allocation</w:t>
      </w:r>
      <w:r w:rsidRPr="00CA2921">
        <w:rPr>
          <w:rFonts w:eastAsia="標楷體"/>
        </w:rPr>
        <w:t>（</w:t>
      </w:r>
      <w:r w:rsidRPr="00CA2921">
        <w:rPr>
          <w:rFonts w:eastAsia="標楷體"/>
        </w:rPr>
        <w:t>LDA</w:t>
      </w:r>
      <w:r w:rsidRPr="00CA2921">
        <w:rPr>
          <w:rFonts w:eastAsia="標楷體"/>
        </w:rPr>
        <w:t>）所建立，</w:t>
      </w:r>
      <w:r w:rsidRPr="00CA2921">
        <w:rPr>
          <w:rFonts w:eastAsia="標楷體"/>
        </w:rPr>
        <w:t>LDA</w:t>
      </w:r>
      <w:r w:rsidRPr="00CA2921">
        <w:rPr>
          <w:rFonts w:eastAsia="標楷體"/>
        </w:rPr>
        <w:t>是一種主題建模演算法（</w:t>
      </w:r>
      <w:r w:rsidRPr="00CA2921">
        <w:rPr>
          <w:rFonts w:eastAsia="標楷體"/>
        </w:rPr>
        <w:t>topic modeling</w:t>
      </w:r>
      <w:r w:rsidRPr="00CA2921">
        <w:rPr>
          <w:rFonts w:eastAsia="標楷體"/>
        </w:rPr>
        <w:t>），廣泛使用於以無監督學習，探索語料庫中的隱含主題（</w:t>
      </w:r>
      <w:r w:rsidRPr="00CA2921">
        <w:rPr>
          <w:rFonts w:eastAsia="標楷體"/>
        </w:rPr>
        <w:t>latent topic</w:t>
      </w:r>
      <w:r w:rsidRPr="00CA2921">
        <w:rPr>
          <w:rFonts w:eastAsia="標楷體"/>
        </w:rPr>
        <w:t>）。需要先給定隱含主題個數，本研究假設個數為</w:t>
      </w:r>
      <w:r w:rsidRPr="00CA2921">
        <w:rPr>
          <w:rFonts w:eastAsia="標楷體"/>
        </w:rPr>
        <w:t>4</w:t>
      </w:r>
      <w:r w:rsidRPr="00CA2921">
        <w:rPr>
          <w:rFonts w:eastAsia="標楷體"/>
        </w:rPr>
        <w:t>，可得下圖，</w:t>
      </w:r>
      <w:r w:rsidRPr="00CA2921">
        <w:rPr>
          <w:rFonts w:eastAsia="標楷體"/>
        </w:rPr>
        <w:t>Topic 1</w:t>
      </w:r>
      <w:r w:rsidRPr="00CA2921">
        <w:rPr>
          <w:rFonts w:eastAsia="標楷體"/>
        </w:rPr>
        <w:t>由投資人相關字詞組成，</w:t>
      </w:r>
      <w:r w:rsidRPr="00CA2921">
        <w:rPr>
          <w:rFonts w:eastAsia="標楷體"/>
        </w:rPr>
        <w:t>Topic 2</w:t>
      </w:r>
      <w:r w:rsidRPr="00CA2921">
        <w:rPr>
          <w:rFonts w:eastAsia="標楷體"/>
        </w:rPr>
        <w:t>由價格、市場等字詞組成，</w:t>
      </w:r>
      <w:r w:rsidRPr="00CA2921">
        <w:rPr>
          <w:rFonts w:eastAsia="標楷體"/>
        </w:rPr>
        <w:t>Topic 3</w:t>
      </w:r>
      <w:r w:rsidRPr="00CA2921">
        <w:rPr>
          <w:rFonts w:eastAsia="標楷體"/>
        </w:rPr>
        <w:t>由未來等字詞組成，</w:t>
      </w:r>
      <w:r w:rsidRPr="00CA2921">
        <w:rPr>
          <w:rFonts w:eastAsia="標楷體"/>
        </w:rPr>
        <w:t>Topic 4</w:t>
      </w:r>
      <w:r w:rsidRPr="00CA2921">
        <w:rPr>
          <w:rFonts w:eastAsia="標楷體"/>
        </w:rPr>
        <w:t>由風險相關字詞組成。</w:t>
      </w:r>
    </w:p>
    <w:p w14:paraId="2624B2FB" w14:textId="39EDDFEF" w:rsidR="00262AA4" w:rsidRPr="00CA2921" w:rsidRDefault="00262AA4" w:rsidP="00CA2921">
      <w:pPr>
        <w:spacing w:line="360" w:lineRule="auto"/>
        <w:jc w:val="both"/>
        <w:rPr>
          <w:rFonts w:eastAsia="標楷體"/>
          <w:sz w:val="24"/>
          <w:szCs w:val="24"/>
        </w:rPr>
      </w:pPr>
      <w:r w:rsidRPr="00CA2921">
        <w:rPr>
          <w:rFonts w:eastAsia="標楷體"/>
          <w:noProof/>
          <w:sz w:val="24"/>
          <w:szCs w:val="24"/>
          <w:highlight w:val="yellow"/>
        </w:rPr>
        <w:drawing>
          <wp:inline distT="0" distB="0" distL="0" distR="0" wp14:anchorId="7AA63363" wp14:editId="6192EFE3">
            <wp:extent cx="6645910" cy="3371850"/>
            <wp:effectExtent l="0" t="0" r="2540" b="0"/>
            <wp:docPr id="5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ABBDA65A-2922-4071-B455-22F089ACA9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ABBDA65A-2922-4071-B455-22F089ACA9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FD5A" w14:textId="11A46989" w:rsidR="003A47C8" w:rsidRPr="00CA2921" w:rsidRDefault="00262AA4" w:rsidP="00CA2921">
      <w:pPr>
        <w:spacing w:line="360" w:lineRule="auto"/>
        <w:ind w:firstLine="480"/>
        <w:jc w:val="both"/>
        <w:rPr>
          <w:rFonts w:eastAsia="標楷體"/>
          <w:sz w:val="24"/>
          <w:szCs w:val="24"/>
        </w:rPr>
      </w:pPr>
      <w:r w:rsidRPr="00CA2921">
        <w:rPr>
          <w:rFonts w:eastAsia="標楷體"/>
          <w:sz w:val="24"/>
          <w:szCs w:val="24"/>
        </w:rPr>
        <w:t>接著我們以</w:t>
      </w:r>
      <w:r w:rsidR="003A47C8" w:rsidRPr="00CA2921">
        <w:rPr>
          <w:rFonts w:eastAsia="標楷體"/>
          <w:sz w:val="24"/>
          <w:szCs w:val="24"/>
        </w:rPr>
        <w:t>主題模型中的</w:t>
      </w:r>
      <m:oMath>
        <m:r>
          <w:rPr>
            <w:rFonts w:ascii="Cambria Math" w:eastAsia="標楷體" w:hAnsi="Cambria Math"/>
            <w:sz w:val="24"/>
            <w:szCs w:val="24"/>
          </w:rPr>
          <m:t>γ</m:t>
        </m:r>
      </m:oMath>
      <w:r w:rsidR="003A47C8" w:rsidRPr="00CA2921">
        <w:rPr>
          <w:rFonts w:eastAsia="標楷體"/>
          <w:sz w:val="24"/>
          <w:szCs w:val="24"/>
        </w:rPr>
        <w:t>進行進一步分析，</w:t>
      </w:r>
      <m:oMath>
        <m:r>
          <w:rPr>
            <w:rFonts w:ascii="Cambria Math" w:eastAsia="標楷體" w:hAnsi="Cambria Math"/>
            <w:sz w:val="24"/>
            <w:szCs w:val="24"/>
          </w:rPr>
          <m:t>γ</m:t>
        </m:r>
      </m:oMath>
      <w:r w:rsidR="003A47C8" w:rsidRPr="00CA2921">
        <w:rPr>
          <w:rFonts w:eastAsia="標楷體"/>
          <w:sz w:val="24"/>
          <w:szCs w:val="24"/>
        </w:rPr>
        <w:t>可視為各文件屬於各主題的機率呈現</w:t>
      </w:r>
      <w:r w:rsidR="003A47C8" w:rsidRPr="00CA2921">
        <w:rPr>
          <w:rFonts w:eastAsia="標楷體"/>
          <w:sz w:val="24"/>
          <w:szCs w:val="24"/>
        </w:rPr>
        <w:t>(</w:t>
      </w:r>
      <w:r w:rsidRPr="00CA2921">
        <w:rPr>
          <w:rFonts w:eastAsia="標楷體"/>
          <w:sz w:val="24"/>
          <w:szCs w:val="24"/>
        </w:rPr>
        <w:t>per-document-per-topic probabilities</w:t>
      </w:r>
      <w:r w:rsidR="003A47C8" w:rsidRPr="00CA2921">
        <w:rPr>
          <w:rFonts w:eastAsia="標楷體"/>
          <w:sz w:val="24"/>
          <w:szCs w:val="24"/>
        </w:rPr>
        <w:t>)</w:t>
      </w:r>
      <w:r w:rsidR="003A47C8" w:rsidRPr="00CA2921">
        <w:rPr>
          <w:rFonts w:eastAsia="標楷體"/>
          <w:sz w:val="24"/>
          <w:szCs w:val="24"/>
        </w:rPr>
        <w:t>，此處我們將本書的</w:t>
      </w:r>
      <w:r w:rsidR="003A47C8" w:rsidRPr="00CA2921">
        <w:rPr>
          <w:rFonts w:eastAsia="標楷體"/>
          <w:sz w:val="24"/>
          <w:szCs w:val="24"/>
        </w:rPr>
        <w:t>21</w:t>
      </w:r>
      <w:r w:rsidR="003A47C8" w:rsidRPr="00CA2921">
        <w:rPr>
          <w:rFonts w:eastAsia="標楷體"/>
          <w:sz w:val="24"/>
          <w:szCs w:val="24"/>
        </w:rPr>
        <w:t>個章節視作</w:t>
      </w:r>
      <w:r w:rsidR="003A47C8" w:rsidRPr="00CA2921">
        <w:rPr>
          <w:rFonts w:eastAsia="標楷體"/>
          <w:sz w:val="24"/>
          <w:szCs w:val="24"/>
        </w:rPr>
        <w:t>21</w:t>
      </w:r>
      <w:r w:rsidR="003A47C8" w:rsidRPr="00CA2921">
        <w:rPr>
          <w:rFonts w:eastAsia="標楷體"/>
          <w:sz w:val="24"/>
          <w:szCs w:val="24"/>
        </w:rPr>
        <w:t>個文件，透過</w:t>
      </w:r>
      <m:oMath>
        <m:r>
          <w:rPr>
            <w:rFonts w:ascii="Cambria Math" w:eastAsia="標楷體" w:hAnsi="Cambria Math"/>
            <w:sz w:val="24"/>
            <w:szCs w:val="24"/>
          </w:rPr>
          <m:t>γ</m:t>
        </m:r>
      </m:oMath>
      <w:r w:rsidR="003A47C8" w:rsidRPr="00CA2921">
        <w:rPr>
          <w:rFonts w:eastAsia="標楷體"/>
          <w:sz w:val="24"/>
          <w:szCs w:val="24"/>
        </w:rPr>
        <w:t>觀察其分類結果，進一步推測本書各章節之間的相關性。</w:t>
      </w:r>
      <w:r w:rsidR="00341B41" w:rsidRPr="00CA2921">
        <w:rPr>
          <w:rFonts w:eastAsia="標楷體"/>
          <w:sz w:val="24"/>
          <w:szCs w:val="24"/>
        </w:rPr>
        <w:t>由各章節最高的</w:t>
      </w:r>
      <m:oMath>
        <m:r>
          <w:rPr>
            <w:rFonts w:ascii="Cambria Math" w:eastAsia="標楷體" w:hAnsi="Cambria Math"/>
            <w:sz w:val="24"/>
            <w:szCs w:val="24"/>
          </w:rPr>
          <m:t>γ</m:t>
        </m:r>
      </m:oMath>
      <w:r w:rsidR="00341B41" w:rsidRPr="00CA2921">
        <w:rPr>
          <w:rFonts w:eastAsia="標楷體"/>
          <w:sz w:val="24"/>
          <w:szCs w:val="24"/>
        </w:rPr>
        <w:t>值進行分群，可得下表：</w:t>
      </w:r>
    </w:p>
    <w:p w14:paraId="6B715FA5" w14:textId="77777777" w:rsidR="00341B41" w:rsidRPr="00CA2921" w:rsidRDefault="00341B41" w:rsidP="00CA2921">
      <w:pPr>
        <w:spacing w:line="360" w:lineRule="auto"/>
        <w:jc w:val="both"/>
        <w:rPr>
          <w:rFonts w:eastAsia="標楷體"/>
          <w:sz w:val="24"/>
          <w:szCs w:val="24"/>
        </w:rPr>
      </w:pPr>
    </w:p>
    <w:tbl>
      <w:tblPr>
        <w:tblW w:w="10516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891"/>
        <w:gridCol w:w="646"/>
        <w:gridCol w:w="1051"/>
        <w:gridCol w:w="891"/>
        <w:gridCol w:w="646"/>
        <w:gridCol w:w="1051"/>
        <w:gridCol w:w="891"/>
        <w:gridCol w:w="646"/>
        <w:gridCol w:w="1051"/>
        <w:gridCol w:w="891"/>
        <w:gridCol w:w="646"/>
        <w:gridCol w:w="1215"/>
      </w:tblGrid>
      <w:tr w:rsidR="003A47C8" w:rsidRPr="00CA2921" w14:paraId="05DA75CD" w14:textId="77777777" w:rsidTr="00CA2921">
        <w:trPr>
          <w:trHeight w:val="599"/>
          <w:jc w:val="center"/>
        </w:trPr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F2F2F2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51DEABE9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Chapter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6675E8CD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Topic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5470F489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gamma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2F2F2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0C621379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Chapter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2991CB6C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Topic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5935A621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gamma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2F2F2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7A332D28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Chapter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18584A53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Topic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0E28101F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gamma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2F2F2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31FF310E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Chapter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2609BDFB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Topic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2F2F2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5EC9FC21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gamma</w:t>
            </w:r>
          </w:p>
        </w:tc>
      </w:tr>
      <w:tr w:rsidR="003A47C8" w:rsidRPr="00CA2921" w14:paraId="220C7C6F" w14:textId="77777777" w:rsidTr="00CA2921">
        <w:trPr>
          <w:trHeight w:val="599"/>
          <w:jc w:val="center"/>
        </w:trPr>
        <w:tc>
          <w:tcPr>
            <w:tcW w:w="0" w:type="auto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28E5FDF5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1A4C7A98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0307E3DA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0.55345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60BCD25F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46DF7ED9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071230BD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0.561636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5FE47755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5AC2EC51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02F0C39C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0.641344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698CE587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5D4E4C2D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1FCD4CEA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0.525942</w:t>
            </w:r>
          </w:p>
        </w:tc>
      </w:tr>
      <w:tr w:rsidR="003A47C8" w:rsidRPr="00CA2921" w14:paraId="79483500" w14:textId="77777777" w:rsidTr="00CA2921">
        <w:trPr>
          <w:trHeight w:val="599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540E767B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49E42373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5030D9A7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0.582932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7D1AC490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06F3D3E8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53152E0B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0.642615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6E942FC3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45F94EE4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08544ED5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0.681553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2560F83A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141FA16A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1C8018E8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0.562431</w:t>
            </w:r>
          </w:p>
        </w:tc>
      </w:tr>
      <w:tr w:rsidR="003A47C8" w:rsidRPr="00CA2921" w14:paraId="37E84629" w14:textId="77777777" w:rsidTr="00CA2921">
        <w:trPr>
          <w:trHeight w:val="599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62262E18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6DC33A8A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75A9A894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0.487787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08B53E10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2C1AAEE0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16B390A8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0.681504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01C1493D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6F235238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39161CDE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0.626847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205E380F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59994EE5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697490EA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0.503331</w:t>
            </w:r>
          </w:p>
        </w:tc>
      </w:tr>
      <w:tr w:rsidR="003A47C8" w:rsidRPr="00CA2921" w14:paraId="510C7577" w14:textId="77777777" w:rsidTr="00CA2921">
        <w:trPr>
          <w:trHeight w:val="599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64D874F9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5F0C6BBE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7A8E3874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0.532463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3D18B194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776142EB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69512E80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0.49014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6A71CB86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2A99CA85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68FB06F0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0.347718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01460EFE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77B9C5AA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2CE10F15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0.37548</w:t>
            </w:r>
          </w:p>
        </w:tc>
      </w:tr>
      <w:tr w:rsidR="003A47C8" w:rsidRPr="00CA2921" w14:paraId="1BEE70E5" w14:textId="77777777" w:rsidTr="00CA2921">
        <w:trPr>
          <w:trHeight w:val="599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66033217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23A590B9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21ADC00F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0.351523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21ADB16E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1F7C825C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06A1BC25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0.506552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05BB9E2D" w14:textId="77777777" w:rsidR="003A47C8" w:rsidRPr="00CA2921" w:rsidRDefault="003A47C8" w:rsidP="00CA2921">
            <w:pPr>
              <w:spacing w:line="360" w:lineRule="auto"/>
              <w:ind w:firstLine="480"/>
              <w:jc w:val="center"/>
              <w:rPr>
                <w:rFonts w:eastAsia="標楷體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09AFE9CF" w14:textId="77777777" w:rsidR="003A47C8" w:rsidRPr="00CA2921" w:rsidRDefault="003A47C8" w:rsidP="00CA2921">
            <w:pPr>
              <w:spacing w:line="360" w:lineRule="auto"/>
              <w:ind w:firstLine="480"/>
              <w:jc w:val="center"/>
              <w:rPr>
                <w:rFonts w:eastAsia="標楷體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3CA96C49" w14:textId="77777777" w:rsidR="003A47C8" w:rsidRPr="00CA2921" w:rsidRDefault="003A47C8" w:rsidP="00CA2921">
            <w:pPr>
              <w:spacing w:line="360" w:lineRule="auto"/>
              <w:ind w:firstLine="480"/>
              <w:jc w:val="center"/>
              <w:rPr>
                <w:rFonts w:eastAsia="標楷體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4AAC0E4D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45AD7B63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2B634F85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0.576281</w:t>
            </w:r>
          </w:p>
        </w:tc>
      </w:tr>
      <w:tr w:rsidR="003A47C8" w:rsidRPr="00CA2921" w14:paraId="5D17A646" w14:textId="77777777" w:rsidTr="00CA2921">
        <w:trPr>
          <w:trHeight w:val="599"/>
          <w:jc w:val="center"/>
        </w:trPr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256DB0EC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7C291C42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502DF79A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0.442804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0E80B0E1" w14:textId="77777777" w:rsidR="003A47C8" w:rsidRPr="00CA2921" w:rsidRDefault="003A47C8" w:rsidP="00CA2921">
            <w:pPr>
              <w:spacing w:line="360" w:lineRule="auto"/>
              <w:ind w:firstLine="480"/>
              <w:jc w:val="center"/>
              <w:rPr>
                <w:rFonts w:eastAsia="標楷體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7A0E6AB9" w14:textId="77777777" w:rsidR="003A47C8" w:rsidRPr="00CA2921" w:rsidRDefault="003A47C8" w:rsidP="00CA2921">
            <w:pPr>
              <w:spacing w:line="360" w:lineRule="auto"/>
              <w:ind w:firstLine="480"/>
              <w:jc w:val="center"/>
              <w:rPr>
                <w:rFonts w:eastAsia="標楷體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162123E2" w14:textId="77777777" w:rsidR="003A47C8" w:rsidRPr="00CA2921" w:rsidRDefault="003A47C8" w:rsidP="00CA2921">
            <w:pPr>
              <w:spacing w:line="360" w:lineRule="auto"/>
              <w:ind w:firstLine="480"/>
              <w:jc w:val="center"/>
              <w:rPr>
                <w:rFonts w:eastAsia="標楷體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106A6581" w14:textId="77777777" w:rsidR="003A47C8" w:rsidRPr="00CA2921" w:rsidRDefault="003A47C8" w:rsidP="00CA2921">
            <w:pPr>
              <w:spacing w:line="360" w:lineRule="auto"/>
              <w:ind w:firstLine="480"/>
              <w:jc w:val="center"/>
              <w:rPr>
                <w:rFonts w:eastAsia="標楷體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5CC4B584" w14:textId="77777777" w:rsidR="003A47C8" w:rsidRPr="00CA2921" w:rsidRDefault="003A47C8" w:rsidP="00CA2921">
            <w:pPr>
              <w:spacing w:line="360" w:lineRule="auto"/>
              <w:ind w:firstLine="480"/>
              <w:jc w:val="center"/>
              <w:rPr>
                <w:rFonts w:eastAsia="標楷體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017476E1" w14:textId="77777777" w:rsidR="003A47C8" w:rsidRPr="00CA2921" w:rsidRDefault="003A47C8" w:rsidP="00CA2921">
            <w:pPr>
              <w:spacing w:line="360" w:lineRule="auto"/>
              <w:ind w:firstLine="480"/>
              <w:jc w:val="center"/>
              <w:rPr>
                <w:rFonts w:eastAsia="標楷體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6C0134C2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0551D7F7" w14:textId="77777777" w:rsidR="003A47C8" w:rsidRPr="00CA2921" w:rsidRDefault="003A47C8" w:rsidP="00CA2921">
            <w:pPr>
              <w:spacing w:line="360" w:lineRule="auto"/>
              <w:jc w:val="center"/>
              <w:rPr>
                <w:rFonts w:eastAsia="標楷體"/>
                <w:sz w:val="24"/>
                <w:szCs w:val="24"/>
              </w:rPr>
            </w:pPr>
            <w:r w:rsidRPr="00CA2921">
              <w:rPr>
                <w:rFonts w:eastAsia="標楷體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  <w:hideMark/>
          </w:tcPr>
          <w:p w14:paraId="2FD6C386" w14:textId="77777777" w:rsidR="003A47C8" w:rsidRPr="00CA2921" w:rsidRDefault="003A47C8" w:rsidP="00CA2921">
            <w:pPr>
              <w:pStyle w:val="aa"/>
              <w:spacing w:line="360" w:lineRule="auto"/>
              <w:ind w:firstLine="220"/>
              <w:jc w:val="center"/>
              <w:rPr>
                <w:rFonts w:eastAsia="標楷體"/>
              </w:rPr>
            </w:pPr>
            <w:r w:rsidRPr="00CA2921">
              <w:rPr>
                <w:rFonts w:eastAsia="標楷體"/>
              </w:rPr>
              <w:t>0.438462</w:t>
            </w:r>
          </w:p>
        </w:tc>
      </w:tr>
    </w:tbl>
    <w:p w14:paraId="249879E9" w14:textId="0950B48C" w:rsidR="003A47C8" w:rsidRPr="00CA2921" w:rsidRDefault="003A47C8" w:rsidP="00CA2921">
      <w:pPr>
        <w:spacing w:line="360" w:lineRule="auto"/>
        <w:ind w:firstLine="480"/>
        <w:jc w:val="both"/>
        <w:rPr>
          <w:rFonts w:eastAsia="標楷體"/>
          <w:sz w:val="24"/>
          <w:szCs w:val="24"/>
        </w:rPr>
      </w:pPr>
    </w:p>
    <w:p w14:paraId="63FE66FA" w14:textId="2DD09771" w:rsidR="000017E1" w:rsidRPr="00CA2921" w:rsidRDefault="000017E1" w:rsidP="00CA2921">
      <w:pPr>
        <w:pStyle w:val="aa"/>
        <w:spacing w:line="360" w:lineRule="auto"/>
        <w:ind w:firstLine="220"/>
        <w:jc w:val="both"/>
        <w:rPr>
          <w:rFonts w:eastAsia="標楷體"/>
        </w:rPr>
      </w:pPr>
      <w:r w:rsidRPr="00CA2921">
        <w:rPr>
          <w:rFonts w:eastAsia="標楷體"/>
        </w:rPr>
        <w:lastRenderedPageBreak/>
        <w:t>將各主題內被分類的章節列出標題，可得下圖，可得以下結論，</w:t>
      </w:r>
      <w:r w:rsidRPr="00CA2921">
        <w:rPr>
          <w:rFonts w:eastAsia="標楷體"/>
        </w:rPr>
        <w:t>Topic 1</w:t>
      </w:r>
      <w:r w:rsidRPr="00CA2921">
        <w:rPr>
          <w:rFonts w:eastAsia="標楷體"/>
        </w:rPr>
        <w:t>與景氣循環相關，並且進行價值投資中重要的一環，反向</w:t>
      </w:r>
      <w:r w:rsidRPr="00CA2921">
        <w:rPr>
          <w:rFonts w:eastAsia="標楷體"/>
        </w:rPr>
        <w:t>(</w:t>
      </w:r>
      <w:r w:rsidRPr="00CA2921">
        <w:rPr>
          <w:rFonts w:eastAsia="標楷體"/>
        </w:rPr>
        <w:t>逆勢</w:t>
      </w:r>
      <w:r w:rsidRPr="00CA2921">
        <w:rPr>
          <w:rFonts w:eastAsia="標楷體"/>
        </w:rPr>
        <w:t>)</w:t>
      </w:r>
      <w:r w:rsidRPr="00CA2921">
        <w:rPr>
          <w:rFonts w:eastAsia="標楷體"/>
        </w:rPr>
        <w:t>投資，</w:t>
      </w:r>
      <w:r w:rsidRPr="00CA2921">
        <w:rPr>
          <w:rFonts w:eastAsia="標楷體"/>
        </w:rPr>
        <w:t>Topic 2</w:t>
      </w:r>
      <w:r w:rsidRPr="00CA2921">
        <w:rPr>
          <w:rFonts w:eastAsia="標楷體"/>
        </w:rPr>
        <w:t>與價格有關，談論標的價值與價格的關係，好標的如果買貴了也是一筆不好的交易，</w:t>
      </w:r>
      <w:r w:rsidRPr="00CA2921">
        <w:rPr>
          <w:rFonts w:eastAsia="標楷體"/>
        </w:rPr>
        <w:t>Topic 3</w:t>
      </w:r>
      <w:r w:rsidRPr="00CA2921">
        <w:rPr>
          <w:rFonts w:eastAsia="標楷體"/>
        </w:rPr>
        <w:t>談論不確定性，講到預測、運氣、機率等因素存在，因此需要採取防禦型投資策略，最後</w:t>
      </w:r>
      <w:r w:rsidRPr="00CA2921">
        <w:rPr>
          <w:rFonts w:eastAsia="標楷體"/>
        </w:rPr>
        <w:t>Topic 4</w:t>
      </w:r>
      <w:r w:rsidRPr="00CA2921">
        <w:rPr>
          <w:rFonts w:eastAsia="標楷體"/>
        </w:rPr>
        <w:t>談論風險等內容。</w:t>
      </w:r>
    </w:p>
    <w:p w14:paraId="2865EACA" w14:textId="77777777" w:rsidR="00CF4A83" w:rsidRDefault="000017E1" w:rsidP="00CF4A83">
      <w:pPr>
        <w:spacing w:line="360" w:lineRule="auto"/>
        <w:ind w:firstLine="480"/>
        <w:jc w:val="both"/>
        <w:rPr>
          <w:rFonts w:eastAsia="標楷體"/>
          <w:b/>
        </w:rPr>
      </w:pPr>
      <w:r w:rsidRPr="00CA2921">
        <w:rPr>
          <w:rFonts w:eastAsia="標楷體"/>
          <w:noProof/>
          <w:sz w:val="24"/>
          <w:szCs w:val="24"/>
        </w:rPr>
        <w:drawing>
          <wp:inline distT="0" distB="0" distL="0" distR="0" wp14:anchorId="4856F851" wp14:editId="3F1B557E">
            <wp:extent cx="6046111" cy="2833720"/>
            <wp:effectExtent l="0" t="0" r="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293" cy="2843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222D9E" w14:textId="0C6C0E1B" w:rsidR="000017E1" w:rsidRPr="00CF4A83" w:rsidRDefault="000017E1" w:rsidP="00CF4A83">
      <w:pPr>
        <w:pStyle w:val="a3"/>
        <w:numPr>
          <w:ilvl w:val="0"/>
          <w:numId w:val="14"/>
        </w:numPr>
        <w:spacing w:line="360" w:lineRule="auto"/>
        <w:ind w:leftChars="0"/>
        <w:jc w:val="both"/>
        <w:rPr>
          <w:rFonts w:eastAsia="標楷體"/>
          <w:sz w:val="24"/>
          <w:szCs w:val="24"/>
        </w:rPr>
      </w:pPr>
      <w:r w:rsidRPr="00CF4A83">
        <w:rPr>
          <w:rFonts w:eastAsia="標楷體"/>
          <w:b/>
        </w:rPr>
        <w:t>與其他投資策略書籍進行比較</w:t>
      </w:r>
    </w:p>
    <w:p w14:paraId="0A22C3A0" w14:textId="5D5C8AC6" w:rsidR="00B645F4" w:rsidRPr="00CA2921" w:rsidRDefault="000017E1" w:rsidP="00CA2921">
      <w:pPr>
        <w:spacing w:line="360" w:lineRule="auto"/>
        <w:ind w:firstLine="480"/>
        <w:jc w:val="both"/>
        <w:rPr>
          <w:rFonts w:eastAsia="標楷體"/>
          <w:sz w:val="24"/>
          <w:szCs w:val="24"/>
        </w:rPr>
      </w:pPr>
      <w:r w:rsidRPr="00CA2921">
        <w:rPr>
          <w:rFonts w:eastAsia="標楷體"/>
          <w:sz w:val="24"/>
          <w:szCs w:val="24"/>
        </w:rPr>
        <w:t>為了凸顯價值投資與其他投資策略的不同之處，本研究採用另一本談論技術分析的書籍，由</w:t>
      </w:r>
      <w:r w:rsidRPr="00CA2921">
        <w:rPr>
          <w:rFonts w:eastAsia="標楷體"/>
          <w:sz w:val="24"/>
          <w:szCs w:val="24"/>
        </w:rPr>
        <w:t>Robert.D.Edwards</w:t>
      </w:r>
      <w:r w:rsidRPr="00CA2921">
        <w:rPr>
          <w:rFonts w:eastAsia="標楷體"/>
          <w:sz w:val="24"/>
          <w:szCs w:val="24"/>
        </w:rPr>
        <w:t>所著</w:t>
      </w:r>
      <w:r w:rsidRPr="00CA2921">
        <w:rPr>
          <w:rFonts w:eastAsia="標楷體"/>
          <w:sz w:val="24"/>
          <w:szCs w:val="24"/>
        </w:rPr>
        <w:t>,” Technical Analysis of Stock Trend ”</w:t>
      </w:r>
      <w:r w:rsidRPr="00CA2921">
        <w:rPr>
          <w:rFonts w:eastAsia="標楷體"/>
          <w:sz w:val="24"/>
          <w:szCs w:val="24"/>
        </w:rPr>
        <w:t>，技術分析多用於短期內價格</w:t>
      </w:r>
      <w:r w:rsidR="00B645F4" w:rsidRPr="00CA2921">
        <w:rPr>
          <w:rFonts w:eastAsia="標楷體"/>
          <w:sz w:val="24"/>
          <w:szCs w:val="24"/>
        </w:rPr>
        <w:t>的波動、趨勢的推測，與中長期策略的價值投資有明顯不同，先以文字雲觀察，如下圖；可看到出現</w:t>
      </w:r>
      <w:r w:rsidR="00B645F4" w:rsidRPr="00CA2921">
        <w:rPr>
          <w:rFonts w:eastAsia="標楷體"/>
          <w:sz w:val="24"/>
          <w:szCs w:val="24"/>
        </w:rPr>
        <w:t>trend</w:t>
      </w:r>
      <w:r w:rsidR="00B645F4" w:rsidRPr="00CA2921">
        <w:rPr>
          <w:rFonts w:eastAsia="標楷體"/>
          <w:sz w:val="24"/>
          <w:szCs w:val="24"/>
        </w:rPr>
        <w:t>、</w:t>
      </w:r>
      <w:r w:rsidR="00B645F4" w:rsidRPr="00CA2921">
        <w:rPr>
          <w:rFonts w:eastAsia="標楷體"/>
          <w:sz w:val="24"/>
          <w:szCs w:val="24"/>
        </w:rPr>
        <w:t>chart</w:t>
      </w:r>
      <w:r w:rsidR="00B645F4" w:rsidRPr="00CA2921">
        <w:rPr>
          <w:rFonts w:eastAsia="標楷體"/>
          <w:sz w:val="24"/>
          <w:szCs w:val="24"/>
        </w:rPr>
        <w:t>、</w:t>
      </w:r>
      <w:r w:rsidR="00B645F4" w:rsidRPr="00CA2921">
        <w:rPr>
          <w:rFonts w:eastAsia="標楷體"/>
          <w:sz w:val="24"/>
          <w:szCs w:val="24"/>
        </w:rPr>
        <w:t>pattern</w:t>
      </w:r>
      <w:r w:rsidR="00B645F4" w:rsidRPr="00CA2921">
        <w:rPr>
          <w:rFonts w:eastAsia="標楷體"/>
          <w:sz w:val="24"/>
          <w:szCs w:val="24"/>
        </w:rPr>
        <w:t>、</w:t>
      </w:r>
      <w:r w:rsidR="00B645F4" w:rsidRPr="00CA2921">
        <w:rPr>
          <w:rFonts w:eastAsia="標楷體"/>
          <w:sz w:val="24"/>
          <w:szCs w:val="24"/>
        </w:rPr>
        <w:t>volume</w:t>
      </w:r>
      <w:r w:rsidR="00B645F4" w:rsidRPr="00CA2921">
        <w:rPr>
          <w:rFonts w:eastAsia="標楷體"/>
          <w:sz w:val="24"/>
          <w:szCs w:val="24"/>
        </w:rPr>
        <w:t>、</w:t>
      </w:r>
      <w:r w:rsidR="00B645F4" w:rsidRPr="00CA2921">
        <w:rPr>
          <w:rFonts w:eastAsia="標楷體"/>
          <w:sz w:val="24"/>
          <w:szCs w:val="24"/>
        </w:rPr>
        <w:t>reversal</w:t>
      </w:r>
      <w:r w:rsidR="00B645F4" w:rsidRPr="00CA2921">
        <w:rPr>
          <w:rFonts w:eastAsia="標楷體"/>
          <w:sz w:val="24"/>
          <w:szCs w:val="24"/>
        </w:rPr>
        <w:t>等字詞出現，明顯與上述不同。</w:t>
      </w:r>
    </w:p>
    <w:p w14:paraId="01697C32" w14:textId="064395A7" w:rsidR="00B645F4" w:rsidRPr="00CA2921" w:rsidRDefault="00B645F4" w:rsidP="00CF4A83">
      <w:pPr>
        <w:pStyle w:val="aa"/>
        <w:spacing w:line="360" w:lineRule="auto"/>
        <w:ind w:firstLine="220"/>
        <w:jc w:val="center"/>
        <w:rPr>
          <w:rFonts w:eastAsia="標楷體"/>
        </w:rPr>
      </w:pPr>
      <w:r w:rsidRPr="00CA2921">
        <w:rPr>
          <w:rFonts w:eastAsia="標楷體"/>
          <w:noProof/>
        </w:rPr>
        <w:drawing>
          <wp:inline distT="0" distB="0" distL="0" distR="0" wp14:anchorId="52CD20F3" wp14:editId="34C6BB3F">
            <wp:extent cx="5388249" cy="3371215"/>
            <wp:effectExtent l="0" t="0" r="3175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006" cy="33910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D0D5E6" w14:textId="2F217618" w:rsidR="00B8488E" w:rsidRPr="00CA2921" w:rsidRDefault="00B8488E" w:rsidP="00CA2921">
      <w:pPr>
        <w:spacing w:line="360" w:lineRule="auto"/>
        <w:ind w:firstLine="480"/>
        <w:jc w:val="both"/>
        <w:rPr>
          <w:rFonts w:eastAsia="標楷體"/>
          <w:sz w:val="24"/>
          <w:szCs w:val="24"/>
        </w:rPr>
      </w:pPr>
      <w:r w:rsidRPr="00CA2921">
        <w:rPr>
          <w:rFonts w:eastAsia="標楷體"/>
          <w:sz w:val="24"/>
          <w:szCs w:val="24"/>
        </w:rPr>
        <w:lastRenderedPageBreak/>
        <w:t>由二元語法也可發現，出現的字詞組合與上述明顯不同，談論</w:t>
      </w:r>
      <w:r w:rsidRPr="00CA2921">
        <w:rPr>
          <w:rFonts w:eastAsia="標楷體"/>
          <w:sz w:val="24"/>
          <w:szCs w:val="24"/>
        </w:rPr>
        <w:t>day reversal patterns reversal</w:t>
      </w:r>
      <w:r w:rsidRPr="00CA2921">
        <w:rPr>
          <w:rFonts w:eastAsia="標楷體"/>
          <w:sz w:val="24"/>
          <w:szCs w:val="24"/>
        </w:rPr>
        <w:t>等，還有</w:t>
      </w:r>
      <w:r w:rsidRPr="00CA2921">
        <w:rPr>
          <w:rFonts w:eastAsia="標楷體"/>
          <w:sz w:val="24"/>
          <w:szCs w:val="24"/>
        </w:rPr>
        <w:t>daily chart</w:t>
      </w:r>
      <w:r w:rsidRPr="00CA2921">
        <w:rPr>
          <w:rFonts w:eastAsia="標楷體"/>
          <w:sz w:val="24"/>
          <w:szCs w:val="24"/>
        </w:rPr>
        <w:t>、</w:t>
      </w:r>
      <w:r w:rsidRPr="00CA2921">
        <w:rPr>
          <w:rFonts w:eastAsia="標楷體"/>
          <w:sz w:val="24"/>
          <w:szCs w:val="24"/>
        </w:rPr>
        <w:t>monthly charts</w:t>
      </w:r>
      <w:r w:rsidRPr="00CA2921">
        <w:rPr>
          <w:rFonts w:eastAsia="標楷體"/>
          <w:sz w:val="24"/>
          <w:szCs w:val="24"/>
        </w:rPr>
        <w:t>等，都在談論短期價格的模式、反轉。</w:t>
      </w:r>
    </w:p>
    <w:p w14:paraId="2B283714" w14:textId="7304EB7E" w:rsidR="00B8488E" w:rsidRDefault="00B8488E" w:rsidP="004A0DEA">
      <w:pPr>
        <w:pStyle w:val="aa"/>
        <w:spacing w:line="360" w:lineRule="auto"/>
        <w:ind w:firstLine="220"/>
        <w:jc w:val="center"/>
        <w:rPr>
          <w:rFonts w:eastAsia="標楷體"/>
        </w:rPr>
      </w:pPr>
      <w:r w:rsidRPr="00CA2921">
        <w:rPr>
          <w:rFonts w:eastAsia="標楷體"/>
          <w:noProof/>
        </w:rPr>
        <w:drawing>
          <wp:inline distT="0" distB="0" distL="0" distR="0" wp14:anchorId="0490E2E2" wp14:editId="48F8B1D0">
            <wp:extent cx="6222760" cy="3668485"/>
            <wp:effectExtent l="0" t="0" r="6985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809" cy="3708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CB3A9C" w14:textId="65609A40" w:rsidR="00F875E0" w:rsidRPr="00F875E0" w:rsidRDefault="00F875E0" w:rsidP="00F875E0">
      <w:pPr>
        <w:pStyle w:val="aa"/>
        <w:spacing w:line="360" w:lineRule="auto"/>
        <w:ind w:firstLine="240"/>
        <w:rPr>
          <w:rFonts w:eastAsia="標楷體" w:hint="eastAsia"/>
          <w:sz w:val="24"/>
          <w:szCs w:val="24"/>
        </w:rPr>
      </w:pPr>
      <w:r>
        <w:rPr>
          <w:rFonts w:eastAsia="標楷體"/>
          <w:sz w:val="24"/>
          <w:szCs w:val="24"/>
        </w:rPr>
        <w:tab/>
      </w:r>
      <w:r>
        <w:rPr>
          <w:rFonts w:eastAsia="標楷體" w:hint="eastAsia"/>
          <w:sz w:val="24"/>
          <w:szCs w:val="24"/>
        </w:rPr>
        <w:t>這邊列出兩本書的</w:t>
      </w:r>
      <w:r>
        <w:rPr>
          <w:rFonts w:eastAsia="標楷體" w:hint="eastAsia"/>
          <w:sz w:val="24"/>
          <w:szCs w:val="24"/>
        </w:rPr>
        <w:t>TF-IDF</w:t>
      </w:r>
      <w:r>
        <w:rPr>
          <w:rFonts w:eastAsia="標楷體" w:hint="eastAsia"/>
          <w:sz w:val="24"/>
          <w:szCs w:val="24"/>
        </w:rPr>
        <w:t>，可以看到兩者有顯著的不同。</w:t>
      </w:r>
    </w:p>
    <w:p w14:paraId="01FCA4AD" w14:textId="5E0C8633" w:rsidR="00F875E0" w:rsidRPr="00CA2921" w:rsidRDefault="00F875E0" w:rsidP="004A0DEA">
      <w:pPr>
        <w:pStyle w:val="aa"/>
        <w:spacing w:line="360" w:lineRule="auto"/>
        <w:ind w:firstLine="220"/>
        <w:jc w:val="center"/>
        <w:rPr>
          <w:rFonts w:eastAsia="標楷體" w:hint="eastAsia"/>
        </w:rPr>
      </w:pPr>
      <w:r>
        <w:rPr>
          <w:rFonts w:eastAsia="標楷體"/>
          <w:noProof/>
        </w:rPr>
        <w:drawing>
          <wp:inline distT="0" distB="0" distL="0" distR="0" wp14:anchorId="76DACA89" wp14:editId="03AC1DB8">
            <wp:extent cx="5687126" cy="3614057"/>
            <wp:effectExtent l="0" t="0" r="8890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731" cy="3625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D2F40C" w14:textId="42B2EC67" w:rsidR="00B8488E" w:rsidRPr="00CA2921" w:rsidRDefault="00B8488E" w:rsidP="00CA2921">
      <w:pPr>
        <w:spacing w:line="360" w:lineRule="auto"/>
        <w:ind w:firstLine="480"/>
        <w:jc w:val="both"/>
        <w:rPr>
          <w:rFonts w:eastAsia="標楷體"/>
          <w:sz w:val="24"/>
          <w:szCs w:val="24"/>
        </w:rPr>
      </w:pPr>
      <w:r w:rsidRPr="00CA2921">
        <w:rPr>
          <w:rFonts w:eastAsia="標楷體"/>
          <w:sz w:val="24"/>
          <w:szCs w:val="24"/>
        </w:rPr>
        <w:t>最後同樣將各章節視作文件，將兩本書的資料混合，以主題模型進行分群，雖然我們已知由兩本書組成，但在此我們假設主題個數有</w:t>
      </w:r>
      <w:r w:rsidRPr="00CA2921">
        <w:rPr>
          <w:rFonts w:eastAsia="標楷體"/>
          <w:sz w:val="24"/>
          <w:szCs w:val="24"/>
        </w:rPr>
        <w:t>10</w:t>
      </w:r>
      <w:r w:rsidRPr="00CA2921">
        <w:rPr>
          <w:rFonts w:eastAsia="標楷體"/>
          <w:sz w:val="24"/>
          <w:szCs w:val="24"/>
        </w:rPr>
        <w:t>個，得到下圖，可明顯發現，為技術分析書籍的章節時，其</w:t>
      </w:r>
      <m:oMath>
        <m:r>
          <w:rPr>
            <w:rFonts w:ascii="Cambria Math" w:eastAsia="標楷體" w:hAnsi="Cambria Math"/>
            <w:sz w:val="24"/>
            <w:szCs w:val="24"/>
          </w:rPr>
          <m:t>γ</m:t>
        </m:r>
      </m:oMath>
      <w:r w:rsidRPr="00CA2921">
        <w:rPr>
          <w:rFonts w:eastAsia="標楷體"/>
          <w:sz w:val="24"/>
          <w:szCs w:val="24"/>
        </w:rPr>
        <w:t>皆在</w:t>
      </w:r>
      <w:r w:rsidRPr="00CA2921">
        <w:rPr>
          <w:rFonts w:eastAsia="標楷體"/>
          <w:sz w:val="24"/>
          <w:szCs w:val="24"/>
        </w:rPr>
        <w:t>Topic 1</w:t>
      </w:r>
      <w:r w:rsidRPr="00CA2921">
        <w:rPr>
          <w:rFonts w:eastAsia="標楷體"/>
          <w:sz w:val="24"/>
          <w:szCs w:val="24"/>
        </w:rPr>
        <w:t>、</w:t>
      </w:r>
      <w:r w:rsidRPr="00CA2921">
        <w:rPr>
          <w:rFonts w:eastAsia="標楷體"/>
          <w:sz w:val="24"/>
          <w:szCs w:val="24"/>
        </w:rPr>
        <w:t>7</w:t>
      </w:r>
      <w:r w:rsidR="0078177D" w:rsidRPr="00CA2921">
        <w:rPr>
          <w:rFonts w:eastAsia="標楷體"/>
          <w:sz w:val="24"/>
          <w:szCs w:val="24"/>
        </w:rPr>
        <w:t>、</w:t>
      </w:r>
      <w:r w:rsidR="0078177D" w:rsidRPr="00CA2921">
        <w:rPr>
          <w:rFonts w:eastAsia="標楷體"/>
          <w:sz w:val="24"/>
          <w:szCs w:val="24"/>
        </w:rPr>
        <w:t>10</w:t>
      </w:r>
      <w:r w:rsidR="0078177D" w:rsidRPr="00CA2921">
        <w:rPr>
          <w:rFonts w:eastAsia="標楷體"/>
          <w:sz w:val="24"/>
          <w:szCs w:val="24"/>
        </w:rPr>
        <w:t>，這三個主題中最顯著，而價值投資書籍的章節則在其他主題。</w:t>
      </w:r>
    </w:p>
    <w:p w14:paraId="5B36BC23" w14:textId="77777777" w:rsidR="0078177D" w:rsidRPr="00CA2921" w:rsidRDefault="0078177D" w:rsidP="00CA2921">
      <w:pPr>
        <w:spacing w:line="360" w:lineRule="auto"/>
        <w:ind w:firstLine="480"/>
        <w:jc w:val="both"/>
        <w:rPr>
          <w:rFonts w:eastAsia="標楷體"/>
          <w:vanish/>
          <w:sz w:val="24"/>
          <w:szCs w:val="24"/>
          <w:specVanish/>
        </w:rPr>
      </w:pPr>
    </w:p>
    <w:p w14:paraId="34C1F8D9" w14:textId="70B10179" w:rsidR="00B8488E" w:rsidRPr="00CA2921" w:rsidRDefault="00B8488E" w:rsidP="004A0DEA">
      <w:pPr>
        <w:spacing w:line="360" w:lineRule="auto"/>
        <w:ind w:firstLine="480"/>
        <w:jc w:val="center"/>
        <w:rPr>
          <w:rFonts w:eastAsia="標楷體"/>
          <w:sz w:val="24"/>
          <w:szCs w:val="24"/>
        </w:rPr>
      </w:pPr>
      <w:r w:rsidRPr="00CA2921">
        <w:rPr>
          <w:rFonts w:eastAsia="標楷體"/>
          <w:noProof/>
          <w:sz w:val="24"/>
          <w:szCs w:val="24"/>
        </w:rPr>
        <w:drawing>
          <wp:inline distT="0" distB="0" distL="0" distR="0" wp14:anchorId="739C3A5E" wp14:editId="2A809C6B">
            <wp:extent cx="5965371" cy="295783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331" cy="2978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926CCD" w14:textId="4362B280" w:rsidR="0078177D" w:rsidRPr="00CA2921" w:rsidRDefault="0078177D" w:rsidP="00CA2921">
      <w:pPr>
        <w:pStyle w:val="a8"/>
        <w:spacing w:line="360" w:lineRule="auto"/>
        <w:ind w:firstLine="480"/>
        <w:jc w:val="both"/>
        <w:rPr>
          <w:rFonts w:eastAsia="標楷體"/>
        </w:rPr>
      </w:pPr>
      <w:r w:rsidRPr="00CA2921">
        <w:rPr>
          <w:rFonts w:eastAsia="標楷體"/>
        </w:rPr>
        <w:t>最後將主題模型以</w:t>
      </w:r>
      <w:r w:rsidRPr="00CA2921">
        <w:rPr>
          <w:rFonts w:eastAsia="標楷體"/>
        </w:rPr>
        <w:t>SVM</w:t>
      </w:r>
      <w:r w:rsidRPr="00CA2921">
        <w:rPr>
          <w:rFonts w:eastAsia="標楷體"/>
        </w:rPr>
        <w:t>模型分類，兩書共有</w:t>
      </w:r>
      <w:r w:rsidRPr="00CA2921">
        <w:rPr>
          <w:rFonts w:eastAsia="標楷體"/>
        </w:rPr>
        <w:t>38</w:t>
      </w:r>
      <w:r w:rsidRPr="00CA2921">
        <w:rPr>
          <w:rFonts w:eastAsia="標楷體"/>
        </w:rPr>
        <w:t>個章節，抽樣</w:t>
      </w:r>
      <w:r w:rsidRPr="00CA2921">
        <w:rPr>
          <w:rFonts w:eastAsia="標楷體"/>
        </w:rPr>
        <w:t>26</w:t>
      </w:r>
      <w:r w:rsidRPr="00CA2921">
        <w:rPr>
          <w:rFonts w:eastAsia="標楷體"/>
        </w:rPr>
        <w:t>個章節為訓練集建立模型，其他章節為測試集，測試模型表現，可得混淆矩陣如下，僅有一個章節分錯，代表</w:t>
      </w:r>
      <w:r w:rsidRPr="00CA2921">
        <w:rPr>
          <w:rFonts w:eastAsia="標楷體"/>
        </w:rPr>
        <w:t>Topic</w:t>
      </w:r>
      <w:r w:rsidRPr="00CA2921">
        <w:rPr>
          <w:rFonts w:eastAsia="標楷體"/>
        </w:rPr>
        <w:t>模型分群的資訊捕捉良好。</w:t>
      </w:r>
    </w:p>
    <w:p w14:paraId="6F95A363" w14:textId="1F4F4D66" w:rsidR="000B7189" w:rsidRPr="00CA2921" w:rsidRDefault="0078177D" w:rsidP="004A0DEA">
      <w:pPr>
        <w:spacing w:line="360" w:lineRule="auto"/>
        <w:ind w:firstLine="480"/>
        <w:jc w:val="center"/>
        <w:rPr>
          <w:rFonts w:eastAsia="標楷體" w:hint="eastAsia"/>
          <w:sz w:val="24"/>
          <w:szCs w:val="24"/>
        </w:rPr>
      </w:pPr>
      <w:r w:rsidRPr="00CA2921">
        <w:rPr>
          <w:rFonts w:eastAsia="標楷體"/>
          <w:noProof/>
          <w:sz w:val="24"/>
          <w:szCs w:val="24"/>
        </w:rPr>
        <w:drawing>
          <wp:inline distT="0" distB="0" distL="0" distR="0" wp14:anchorId="0595850D" wp14:editId="1A953C96">
            <wp:extent cx="4078605" cy="780415"/>
            <wp:effectExtent l="0" t="0" r="0" b="6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605" cy="780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41398B" w14:textId="470569A1" w:rsidR="000B7189" w:rsidRPr="004A0DEA" w:rsidRDefault="000B7189" w:rsidP="00CA2921">
      <w:pPr>
        <w:pStyle w:val="a3"/>
        <w:numPr>
          <w:ilvl w:val="0"/>
          <w:numId w:val="14"/>
        </w:numPr>
        <w:spacing w:line="360" w:lineRule="auto"/>
        <w:ind w:leftChars="0"/>
        <w:jc w:val="both"/>
        <w:rPr>
          <w:rFonts w:eastAsia="標楷體"/>
          <w:b/>
          <w:bCs/>
          <w:sz w:val="24"/>
          <w:szCs w:val="24"/>
        </w:rPr>
      </w:pPr>
      <w:r w:rsidRPr="004A0DEA">
        <w:rPr>
          <w:rFonts w:eastAsia="標楷體"/>
          <w:b/>
          <w:bCs/>
          <w:sz w:val="24"/>
          <w:szCs w:val="24"/>
        </w:rPr>
        <w:t>結論</w:t>
      </w:r>
    </w:p>
    <w:p w14:paraId="24C21492" w14:textId="77777777" w:rsidR="000B7189" w:rsidRPr="00CA2921" w:rsidRDefault="000B7189" w:rsidP="00CA2921">
      <w:pPr>
        <w:spacing w:line="360" w:lineRule="auto"/>
        <w:ind w:firstLine="480"/>
        <w:jc w:val="both"/>
        <w:rPr>
          <w:rFonts w:eastAsia="標楷體"/>
          <w:vanish/>
          <w:sz w:val="24"/>
          <w:szCs w:val="24"/>
          <w:specVanish/>
        </w:rPr>
      </w:pPr>
      <w:r w:rsidRPr="00CA2921">
        <w:rPr>
          <w:rFonts w:eastAsia="標楷體"/>
          <w:sz w:val="24"/>
          <w:szCs w:val="24"/>
        </w:rPr>
        <w:t>我們可藉由文字探勘分析，系統性、快速地了解整本書的內容，藉由</w:t>
      </w:r>
      <w:r w:rsidRPr="00CA2921">
        <w:rPr>
          <w:rFonts w:eastAsia="標楷體"/>
          <w:sz w:val="24"/>
          <w:szCs w:val="24"/>
        </w:rPr>
        <w:t>Topic</w:t>
      </w:r>
      <w:r w:rsidRPr="00CA2921">
        <w:rPr>
          <w:rFonts w:eastAsia="標楷體"/>
          <w:sz w:val="24"/>
          <w:szCs w:val="24"/>
        </w:rPr>
        <w:t>模型或是</w:t>
      </w:r>
      <w:r w:rsidRPr="00CA2921">
        <w:rPr>
          <w:rFonts w:eastAsia="標楷體"/>
          <w:sz w:val="24"/>
          <w:szCs w:val="24"/>
        </w:rPr>
        <w:t>TF-IDF</w:t>
      </w:r>
      <w:r w:rsidRPr="00CA2921">
        <w:rPr>
          <w:rFonts w:eastAsia="標楷體"/>
          <w:sz w:val="24"/>
          <w:szCs w:val="24"/>
        </w:rPr>
        <w:t>字詞的統計結果，我們可以很快地掌握各文件、</w:t>
      </w:r>
    </w:p>
    <w:p w14:paraId="35B21C2E" w14:textId="6645D597" w:rsidR="000B7189" w:rsidRPr="00CA2921" w:rsidRDefault="000B7189" w:rsidP="00CA2921">
      <w:pPr>
        <w:spacing w:line="360" w:lineRule="auto"/>
        <w:jc w:val="both"/>
        <w:rPr>
          <w:rFonts w:eastAsia="標楷體"/>
          <w:sz w:val="24"/>
          <w:szCs w:val="24"/>
        </w:rPr>
      </w:pPr>
      <w:r w:rsidRPr="00CA2921">
        <w:rPr>
          <w:rFonts w:eastAsia="標楷體"/>
          <w:sz w:val="24"/>
          <w:szCs w:val="24"/>
        </w:rPr>
        <w:t xml:space="preserve"> </w:t>
      </w:r>
      <w:r w:rsidR="00F875E0">
        <w:rPr>
          <w:rFonts w:eastAsia="標楷體" w:hint="eastAsia"/>
          <w:sz w:val="24"/>
          <w:szCs w:val="24"/>
        </w:rPr>
        <w:t>各章節的內容，並且了解彼此之間的相關性。</w:t>
      </w:r>
    </w:p>
    <w:sectPr w:rsidR="000B7189" w:rsidRPr="00CA2921" w:rsidSect="00A839D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38904E" w14:textId="77777777" w:rsidR="006B49C3" w:rsidRDefault="006B49C3" w:rsidP="00CE5923">
      <w:r>
        <w:separator/>
      </w:r>
    </w:p>
  </w:endnote>
  <w:endnote w:type="continuationSeparator" w:id="0">
    <w:p w14:paraId="31C50468" w14:textId="77777777" w:rsidR="006B49C3" w:rsidRDefault="006B49C3" w:rsidP="00CE59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54852" w14:textId="77777777" w:rsidR="006B49C3" w:rsidRDefault="006B49C3" w:rsidP="00CE5923">
      <w:r>
        <w:separator/>
      </w:r>
    </w:p>
  </w:footnote>
  <w:footnote w:type="continuationSeparator" w:id="0">
    <w:p w14:paraId="15EF3859" w14:textId="77777777" w:rsidR="006B49C3" w:rsidRDefault="006B49C3" w:rsidP="00CE59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91C5D"/>
    <w:multiLevelType w:val="hybridMultilevel"/>
    <w:tmpl w:val="501A6E14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F066D33"/>
    <w:multiLevelType w:val="hybridMultilevel"/>
    <w:tmpl w:val="2B2A5A3A"/>
    <w:lvl w:ilvl="0" w:tplc="EBFCA6D8">
      <w:start w:val="4"/>
      <w:numFmt w:val="ideographDigit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8B02DDF"/>
    <w:multiLevelType w:val="hybridMultilevel"/>
    <w:tmpl w:val="5C8A9CC6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BEA74C9"/>
    <w:multiLevelType w:val="hybridMultilevel"/>
    <w:tmpl w:val="046035B4"/>
    <w:lvl w:ilvl="0" w:tplc="FDA06C32">
      <w:start w:val="1"/>
      <w:numFmt w:val="ideographDigit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CFB62DF"/>
    <w:multiLevelType w:val="hybridMultilevel"/>
    <w:tmpl w:val="B0A63F7A"/>
    <w:lvl w:ilvl="0" w:tplc="04090015">
      <w:start w:val="2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18B5E33"/>
    <w:multiLevelType w:val="hybridMultilevel"/>
    <w:tmpl w:val="57560166"/>
    <w:lvl w:ilvl="0" w:tplc="FDA06C32">
      <w:start w:val="1"/>
      <w:numFmt w:val="ideographDigit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1B929C9"/>
    <w:multiLevelType w:val="hybridMultilevel"/>
    <w:tmpl w:val="E980756E"/>
    <w:lvl w:ilvl="0" w:tplc="FDA06C32">
      <w:start w:val="1"/>
      <w:numFmt w:val="ideographDigital"/>
      <w:lvlText w:val="%1."/>
      <w:lvlJc w:val="left"/>
      <w:pPr>
        <w:ind w:left="480" w:hanging="480"/>
      </w:pPr>
      <w:rPr>
        <w:rFonts w:hint="eastAsia"/>
      </w:rPr>
    </w:lvl>
    <w:lvl w:ilvl="1" w:tplc="4E6AC272">
      <w:start w:val="1"/>
      <w:numFmt w:val="taiwaneseCountingThousand"/>
      <w:lvlText w:val="%2、"/>
      <w:lvlJc w:val="left"/>
      <w:pPr>
        <w:ind w:left="96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2590A12"/>
    <w:multiLevelType w:val="hybridMultilevel"/>
    <w:tmpl w:val="FAD8CBEE"/>
    <w:lvl w:ilvl="0" w:tplc="FDA06C32">
      <w:start w:val="1"/>
      <w:numFmt w:val="ideographDigit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65250BB"/>
    <w:multiLevelType w:val="hybridMultilevel"/>
    <w:tmpl w:val="B0DA42C0"/>
    <w:lvl w:ilvl="0" w:tplc="137E0F64">
      <w:start w:val="5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C487A0F"/>
    <w:multiLevelType w:val="hybridMultilevel"/>
    <w:tmpl w:val="CD42D928"/>
    <w:lvl w:ilvl="0" w:tplc="FDA06C32">
      <w:start w:val="1"/>
      <w:numFmt w:val="ideographDigit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6040526B"/>
    <w:multiLevelType w:val="hybridMultilevel"/>
    <w:tmpl w:val="4F307086"/>
    <w:lvl w:ilvl="0" w:tplc="FDA06C32">
      <w:start w:val="1"/>
      <w:numFmt w:val="ideographDigit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6D84A73"/>
    <w:multiLevelType w:val="hybridMultilevel"/>
    <w:tmpl w:val="A06E43BE"/>
    <w:lvl w:ilvl="0" w:tplc="04090013">
      <w:start w:val="1"/>
      <w:numFmt w:val="upperRoman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71CA3524"/>
    <w:multiLevelType w:val="hybridMultilevel"/>
    <w:tmpl w:val="CD5483E6"/>
    <w:lvl w:ilvl="0" w:tplc="C0CE34E6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789F4757"/>
    <w:multiLevelType w:val="hybridMultilevel"/>
    <w:tmpl w:val="212AA7D0"/>
    <w:lvl w:ilvl="0" w:tplc="FDA06C32">
      <w:start w:val="1"/>
      <w:numFmt w:val="ideographDigital"/>
      <w:lvlText w:val="%1."/>
      <w:lvlJc w:val="left"/>
      <w:pPr>
        <w:ind w:left="70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180" w:hanging="480"/>
      </w:pPr>
    </w:lvl>
    <w:lvl w:ilvl="2" w:tplc="0409001B" w:tentative="1">
      <w:start w:val="1"/>
      <w:numFmt w:val="lowerRoman"/>
      <w:lvlText w:val="%3."/>
      <w:lvlJc w:val="right"/>
      <w:pPr>
        <w:ind w:left="1660" w:hanging="480"/>
      </w:pPr>
    </w:lvl>
    <w:lvl w:ilvl="3" w:tplc="0409000F" w:tentative="1">
      <w:start w:val="1"/>
      <w:numFmt w:val="decimal"/>
      <w:lvlText w:val="%4."/>
      <w:lvlJc w:val="left"/>
      <w:pPr>
        <w:ind w:left="21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20" w:hanging="480"/>
      </w:pPr>
    </w:lvl>
    <w:lvl w:ilvl="5" w:tplc="0409001B" w:tentative="1">
      <w:start w:val="1"/>
      <w:numFmt w:val="lowerRoman"/>
      <w:lvlText w:val="%6."/>
      <w:lvlJc w:val="right"/>
      <w:pPr>
        <w:ind w:left="3100" w:hanging="480"/>
      </w:pPr>
    </w:lvl>
    <w:lvl w:ilvl="6" w:tplc="0409000F" w:tentative="1">
      <w:start w:val="1"/>
      <w:numFmt w:val="decimal"/>
      <w:lvlText w:val="%7."/>
      <w:lvlJc w:val="left"/>
      <w:pPr>
        <w:ind w:left="35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60" w:hanging="480"/>
      </w:pPr>
    </w:lvl>
    <w:lvl w:ilvl="8" w:tplc="0409001B" w:tentative="1">
      <w:start w:val="1"/>
      <w:numFmt w:val="lowerRoman"/>
      <w:lvlText w:val="%9."/>
      <w:lvlJc w:val="right"/>
      <w:pPr>
        <w:ind w:left="4540" w:hanging="480"/>
      </w:pPr>
    </w:lvl>
  </w:abstractNum>
  <w:num w:numId="1">
    <w:abstractNumId w:val="3"/>
  </w:num>
  <w:num w:numId="2">
    <w:abstractNumId w:val="11"/>
  </w:num>
  <w:num w:numId="3">
    <w:abstractNumId w:val="9"/>
  </w:num>
  <w:num w:numId="4">
    <w:abstractNumId w:val="2"/>
  </w:num>
  <w:num w:numId="5">
    <w:abstractNumId w:val="6"/>
  </w:num>
  <w:num w:numId="6">
    <w:abstractNumId w:val="10"/>
  </w:num>
  <w:num w:numId="7">
    <w:abstractNumId w:val="5"/>
  </w:num>
  <w:num w:numId="8">
    <w:abstractNumId w:val="4"/>
  </w:num>
  <w:num w:numId="9">
    <w:abstractNumId w:val="0"/>
  </w:num>
  <w:num w:numId="10">
    <w:abstractNumId w:val="12"/>
  </w:num>
  <w:num w:numId="11">
    <w:abstractNumId w:val="13"/>
  </w:num>
  <w:num w:numId="12">
    <w:abstractNumId w:val="7"/>
  </w:num>
  <w:num w:numId="13">
    <w:abstractNumId w:val="1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80"/>
  <w:drawingGridHorizontalSpacing w:val="11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9D4"/>
    <w:rsid w:val="000017E1"/>
    <w:rsid w:val="000B7189"/>
    <w:rsid w:val="00133A83"/>
    <w:rsid w:val="00262AA4"/>
    <w:rsid w:val="002F1CDA"/>
    <w:rsid w:val="00341B41"/>
    <w:rsid w:val="003A47C8"/>
    <w:rsid w:val="004013D3"/>
    <w:rsid w:val="0048218A"/>
    <w:rsid w:val="004A0DEA"/>
    <w:rsid w:val="00561BAC"/>
    <w:rsid w:val="006B49C3"/>
    <w:rsid w:val="006E6609"/>
    <w:rsid w:val="0078177D"/>
    <w:rsid w:val="007E785B"/>
    <w:rsid w:val="008556B9"/>
    <w:rsid w:val="00931CB9"/>
    <w:rsid w:val="009453AE"/>
    <w:rsid w:val="00A02D08"/>
    <w:rsid w:val="00A839D4"/>
    <w:rsid w:val="00AC37B0"/>
    <w:rsid w:val="00B645F4"/>
    <w:rsid w:val="00B8488E"/>
    <w:rsid w:val="00B92E9A"/>
    <w:rsid w:val="00C121B5"/>
    <w:rsid w:val="00CA2921"/>
    <w:rsid w:val="00CE5923"/>
    <w:rsid w:val="00CF4A83"/>
    <w:rsid w:val="00DE1B70"/>
    <w:rsid w:val="00ED4967"/>
    <w:rsid w:val="00F11620"/>
    <w:rsid w:val="00F875E0"/>
    <w:rsid w:val="00F96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11F49"/>
  <w15:chartTrackingRefBased/>
  <w15:docId w15:val="{49CCA608-26DD-45F5-80C7-BE1230EFE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kern w:val="2"/>
        <w:sz w:val="22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37B0"/>
    <w:pPr>
      <w:ind w:leftChars="200" w:left="480"/>
    </w:pPr>
  </w:style>
  <w:style w:type="paragraph" w:styleId="a4">
    <w:name w:val="footnote text"/>
    <w:basedOn w:val="a"/>
    <w:link w:val="a5"/>
    <w:uiPriority w:val="99"/>
    <w:semiHidden/>
    <w:unhideWhenUsed/>
    <w:rsid w:val="00CE5923"/>
    <w:pPr>
      <w:snapToGrid w:val="0"/>
    </w:pPr>
    <w:rPr>
      <w:sz w:val="20"/>
      <w:szCs w:val="20"/>
    </w:rPr>
  </w:style>
  <w:style w:type="character" w:customStyle="1" w:styleId="a5">
    <w:name w:val="註腳文字 字元"/>
    <w:basedOn w:val="a0"/>
    <w:link w:val="a4"/>
    <w:uiPriority w:val="99"/>
    <w:semiHidden/>
    <w:rsid w:val="00CE5923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CE5923"/>
    <w:rPr>
      <w:vertAlign w:val="superscript"/>
    </w:rPr>
  </w:style>
  <w:style w:type="character" w:styleId="a7">
    <w:name w:val="Placeholder Text"/>
    <w:basedOn w:val="a0"/>
    <w:uiPriority w:val="99"/>
    <w:semiHidden/>
    <w:rsid w:val="00262AA4"/>
    <w:rPr>
      <w:color w:val="808080"/>
    </w:rPr>
  </w:style>
  <w:style w:type="paragraph" w:styleId="2">
    <w:name w:val="List 2"/>
    <w:basedOn w:val="a"/>
    <w:uiPriority w:val="99"/>
    <w:unhideWhenUsed/>
    <w:rsid w:val="000B7189"/>
    <w:pPr>
      <w:ind w:leftChars="400" w:left="100" w:hangingChars="200" w:hanging="200"/>
      <w:contextualSpacing/>
    </w:pPr>
  </w:style>
  <w:style w:type="paragraph" w:styleId="a8">
    <w:name w:val="Body Text"/>
    <w:basedOn w:val="a"/>
    <w:link w:val="a9"/>
    <w:uiPriority w:val="99"/>
    <w:unhideWhenUsed/>
    <w:rsid w:val="000B7189"/>
    <w:pPr>
      <w:spacing w:after="120"/>
    </w:pPr>
  </w:style>
  <w:style w:type="character" w:customStyle="1" w:styleId="a9">
    <w:name w:val="本文 字元"/>
    <w:basedOn w:val="a0"/>
    <w:link w:val="a8"/>
    <w:uiPriority w:val="99"/>
    <w:rsid w:val="000B7189"/>
  </w:style>
  <w:style w:type="paragraph" w:styleId="aa">
    <w:name w:val="Body Text First Indent"/>
    <w:basedOn w:val="a8"/>
    <w:link w:val="ab"/>
    <w:uiPriority w:val="99"/>
    <w:unhideWhenUsed/>
    <w:rsid w:val="000B7189"/>
    <w:pPr>
      <w:ind w:firstLineChars="100" w:firstLine="210"/>
    </w:pPr>
  </w:style>
  <w:style w:type="character" w:customStyle="1" w:styleId="ab">
    <w:name w:val="本文第一層縮排 字元"/>
    <w:basedOn w:val="a9"/>
    <w:link w:val="aa"/>
    <w:uiPriority w:val="99"/>
    <w:rsid w:val="000B71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4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704287-1B8B-4B51-9352-D5B9B8F4B4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7</Pages>
  <Words>464</Words>
  <Characters>2645</Characters>
  <Application>Microsoft Office Word</Application>
  <DocSecurity>0</DocSecurity>
  <Lines>22</Lines>
  <Paragraphs>6</Paragraphs>
  <ScaleCrop>false</ScaleCrop>
  <Company/>
  <LinksUpToDate>false</LinksUpToDate>
  <CharactersWithSpaces>3103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冠維 賴</dc:creator>
  <cp:keywords/>
  <dc:description/>
  <cp:lastModifiedBy>冠維 賴</cp:lastModifiedBy>
  <cp:revision>28</cp:revision>
  <dcterms:created xsi:type="dcterms:W3CDTF">2021-06-14T12:25:00Z</dcterms:created>
  <dcterms:modified xsi:type="dcterms:W3CDTF">2021-06-14T14:28:00Z</dcterms:modified>
</cp:coreProperties>
</file>