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A275" w14:textId="279BD35E" w:rsidR="006666B3" w:rsidRPr="0037631C" w:rsidRDefault="006666B3" w:rsidP="00252DF2">
      <w:pPr>
        <w:spacing w:line="276" w:lineRule="auto"/>
        <w:rPr>
          <w:rFonts w:ascii="Times New Roman" w:eastAsia="標楷體" w:hAnsi="Times New Roman" w:cs="Times New Roman"/>
          <w:bCs/>
          <w:szCs w:val="24"/>
        </w:rPr>
      </w:pPr>
      <w:r w:rsidRPr="0037631C">
        <w:rPr>
          <w:rFonts w:ascii="Times New Roman" w:eastAsia="標楷體" w:hAnsi="Times New Roman" w:cs="Times New Roman"/>
          <w:b/>
          <w:szCs w:val="24"/>
        </w:rPr>
        <w:t xml:space="preserve">Name of student: </w:t>
      </w:r>
      <w:r w:rsidR="006D2456" w:rsidRPr="0037631C">
        <w:rPr>
          <w:rFonts w:ascii="Times New Roman" w:eastAsia="標楷體" w:hAnsi="Times New Roman" w:cs="Times New Roman"/>
          <w:bCs/>
          <w:szCs w:val="24"/>
        </w:rPr>
        <w:t>賴冠維</w:t>
      </w:r>
      <w:r w:rsidR="006D2456" w:rsidRPr="0037631C">
        <w:rPr>
          <w:rFonts w:ascii="Times New Roman" w:eastAsia="標楷體" w:hAnsi="Times New Roman" w:cs="Times New Roman"/>
          <w:bCs/>
          <w:szCs w:val="24"/>
        </w:rPr>
        <w:tab/>
      </w:r>
    </w:p>
    <w:p w14:paraId="313A4D81" w14:textId="72D30937" w:rsidR="006666B3" w:rsidRPr="0037631C" w:rsidRDefault="006666B3" w:rsidP="00252DF2">
      <w:pPr>
        <w:spacing w:line="276" w:lineRule="auto"/>
        <w:rPr>
          <w:rFonts w:ascii="Times New Roman" w:eastAsia="標楷體" w:hAnsi="Times New Roman" w:cs="Times New Roman"/>
          <w:b/>
          <w:szCs w:val="24"/>
        </w:rPr>
      </w:pPr>
      <w:r w:rsidRPr="0037631C">
        <w:rPr>
          <w:rFonts w:ascii="Times New Roman" w:eastAsia="標楷體" w:hAnsi="Times New Roman" w:cs="Times New Roman"/>
          <w:b/>
          <w:szCs w:val="24"/>
        </w:rPr>
        <w:t>Student ID:</w:t>
      </w:r>
      <w:r w:rsidR="006D2456" w:rsidRPr="0037631C">
        <w:rPr>
          <w:rFonts w:ascii="Times New Roman" w:eastAsia="標楷體" w:hAnsi="Times New Roman" w:cs="Times New Roman"/>
          <w:b/>
          <w:szCs w:val="24"/>
        </w:rPr>
        <w:t xml:space="preserve"> 108071601</w:t>
      </w:r>
    </w:p>
    <w:p w14:paraId="00416512" w14:textId="41A35C8A" w:rsidR="00AA74D0" w:rsidRPr="0037631C" w:rsidRDefault="006666B3" w:rsidP="00252DF2">
      <w:pPr>
        <w:pStyle w:val="a7"/>
        <w:numPr>
          <w:ilvl w:val="0"/>
          <w:numId w:val="1"/>
        </w:numPr>
        <w:rPr>
          <w:rFonts w:ascii="Times New Roman" w:eastAsia="標楷體" w:hAnsi="Times New Roman" w:cs="Times New Roman"/>
          <w:bCs/>
          <w:sz w:val="24"/>
          <w:szCs w:val="24"/>
        </w:rPr>
      </w:pPr>
      <w:r w:rsidRPr="0037631C">
        <w:rPr>
          <w:rFonts w:ascii="Times New Roman" w:eastAsia="標楷體" w:hAnsi="Times New Roman" w:cs="Times New Roman"/>
          <w:b/>
          <w:sz w:val="24"/>
          <w:szCs w:val="24"/>
        </w:rPr>
        <w:t xml:space="preserve">Title of the paper: </w:t>
      </w:r>
      <w:r w:rsidR="006D2456" w:rsidRPr="0037631C">
        <w:rPr>
          <w:rFonts w:ascii="Times New Roman" w:eastAsia="標楷體" w:hAnsi="Times New Roman" w:cs="Times New Roman"/>
          <w:bCs/>
          <w:sz w:val="24"/>
          <w:szCs w:val="24"/>
        </w:rPr>
        <w:t>Commitment versus Flexibility and Sticky Prices:</w:t>
      </w:r>
      <w:r w:rsidR="006D2456" w:rsidRPr="0037631C">
        <w:rPr>
          <w:rFonts w:ascii="Times New Roman" w:eastAsia="標楷體" w:hAnsi="Times New Roman" w:cs="Times New Roman" w:hint="eastAsia"/>
          <w:bCs/>
          <w:sz w:val="24"/>
          <w:szCs w:val="24"/>
        </w:rPr>
        <w:t xml:space="preserve"> </w:t>
      </w:r>
      <w:r w:rsidR="006D2456" w:rsidRPr="0037631C">
        <w:rPr>
          <w:rFonts w:ascii="Times New Roman" w:eastAsia="標楷體" w:hAnsi="Times New Roman" w:cs="Times New Roman"/>
          <w:bCs/>
          <w:sz w:val="24"/>
          <w:szCs w:val="24"/>
        </w:rPr>
        <w:t>Evidence from Life Insurance</w:t>
      </w:r>
    </w:p>
    <w:p w14:paraId="22875229" w14:textId="22F27FBE" w:rsidR="006D2456" w:rsidRPr="0037631C" w:rsidRDefault="006666B3" w:rsidP="00252DF2">
      <w:pPr>
        <w:pStyle w:val="a7"/>
        <w:numPr>
          <w:ilvl w:val="1"/>
          <w:numId w:val="1"/>
        </w:numPr>
        <w:ind w:left="1080"/>
        <w:rPr>
          <w:rFonts w:ascii="Times New Roman" w:eastAsia="標楷體" w:hAnsi="Times New Roman" w:cs="Times New Roman" w:hint="eastAsia"/>
          <w:sz w:val="24"/>
          <w:szCs w:val="24"/>
        </w:rPr>
      </w:pPr>
      <w:r w:rsidRPr="0037631C">
        <w:rPr>
          <w:rFonts w:ascii="Times New Roman" w:eastAsia="標楷體" w:hAnsi="Times New Roman" w:cs="Times New Roman"/>
          <w:sz w:val="24"/>
          <w:szCs w:val="24"/>
        </w:rPr>
        <w:t>Main research question</w:t>
      </w:r>
    </w:p>
    <w:p w14:paraId="3C6678E8" w14:textId="77777777" w:rsidR="006D2456" w:rsidRPr="0037631C" w:rsidRDefault="006D2456" w:rsidP="00252DF2">
      <w:pPr>
        <w:pStyle w:val="a7"/>
        <w:numPr>
          <w:ilvl w:val="0"/>
          <w:numId w:val="3"/>
        </w:numPr>
        <w:ind w:leftChars="500" w:left="1680"/>
        <w:rPr>
          <w:rFonts w:ascii="Times New Roman" w:hAnsi="Times New Roman" w:cs="Times New Roman"/>
          <w:sz w:val="24"/>
          <w:szCs w:val="24"/>
        </w:rPr>
      </w:pPr>
      <w:r w:rsidRPr="0037631C">
        <w:rPr>
          <w:rFonts w:ascii="Times New Roman" w:hAnsi="Times New Roman" w:cs="Times New Roman"/>
          <w:sz w:val="24"/>
          <w:szCs w:val="24"/>
        </w:rPr>
        <w:t xml:space="preserve">Pricing </w:t>
      </w:r>
      <w:proofErr w:type="spellStart"/>
      <w:r w:rsidRPr="0037631C">
        <w:rPr>
          <w:rFonts w:ascii="Times New Roman" w:hAnsi="Times New Roman" w:cs="Times New Roman"/>
          <w:sz w:val="24"/>
          <w:szCs w:val="24"/>
        </w:rPr>
        <w:t>behavior</w:t>
      </w:r>
      <w:proofErr w:type="spellEnd"/>
      <w:r w:rsidRPr="0037631C">
        <w:rPr>
          <w:rFonts w:ascii="Times New Roman" w:hAnsi="Times New Roman" w:cs="Times New Roman"/>
          <w:sz w:val="24"/>
          <w:szCs w:val="24"/>
        </w:rPr>
        <w:t xml:space="preserve"> of long-term financial services </w:t>
      </w:r>
      <w:proofErr w:type="gramStart"/>
      <w:r w:rsidRPr="0037631C">
        <w:rPr>
          <w:rFonts w:ascii="Times New Roman" w:hAnsi="Times New Roman" w:cs="Times New Roman"/>
          <w:sz w:val="24"/>
          <w:szCs w:val="24"/>
        </w:rPr>
        <w:t>underexplored</w:t>
      </w:r>
      <w:proofErr w:type="gramEnd"/>
      <w:r w:rsidRPr="0037631C">
        <w:rPr>
          <w:rFonts w:ascii="Times New Roman" w:hAnsi="Times New Roman" w:cs="Times New Roman"/>
          <w:sz w:val="24"/>
          <w:szCs w:val="24"/>
        </w:rPr>
        <w:t xml:space="preserve"> </w:t>
      </w:r>
    </w:p>
    <w:p w14:paraId="48BE0095" w14:textId="77777777" w:rsidR="006D2456" w:rsidRPr="0037631C" w:rsidRDefault="006D2456" w:rsidP="00252DF2">
      <w:pPr>
        <w:pStyle w:val="a7"/>
        <w:numPr>
          <w:ilvl w:val="0"/>
          <w:numId w:val="3"/>
        </w:numPr>
        <w:ind w:leftChars="500" w:left="1680"/>
        <w:rPr>
          <w:rFonts w:ascii="Times New Roman" w:hAnsi="Times New Roman" w:cs="Times New Roman"/>
          <w:sz w:val="24"/>
          <w:szCs w:val="24"/>
        </w:rPr>
      </w:pPr>
      <w:r w:rsidRPr="0037631C">
        <w:rPr>
          <w:rFonts w:ascii="Times New Roman" w:hAnsi="Times New Roman" w:cs="Times New Roman"/>
          <w:sz w:val="24"/>
          <w:szCs w:val="24"/>
        </w:rPr>
        <w:t xml:space="preserve">Price dynamics crucial for understanding effects of macro </w:t>
      </w:r>
      <w:proofErr w:type="gramStart"/>
      <w:r w:rsidRPr="0037631C">
        <w:rPr>
          <w:rFonts w:ascii="Times New Roman" w:hAnsi="Times New Roman" w:cs="Times New Roman"/>
          <w:sz w:val="24"/>
          <w:szCs w:val="24"/>
        </w:rPr>
        <w:t>policies</w:t>
      </w:r>
      <w:proofErr w:type="gramEnd"/>
      <w:r w:rsidRPr="0037631C">
        <w:rPr>
          <w:rFonts w:ascii="Times New Roman" w:hAnsi="Times New Roman" w:cs="Times New Roman"/>
          <w:sz w:val="24"/>
          <w:szCs w:val="24"/>
        </w:rPr>
        <w:t xml:space="preserve"> </w:t>
      </w:r>
    </w:p>
    <w:p w14:paraId="59E16821" w14:textId="1A9B9EE5" w:rsidR="006D2456" w:rsidRPr="0037631C" w:rsidRDefault="006D2456" w:rsidP="00252DF2">
      <w:pPr>
        <w:pStyle w:val="a7"/>
        <w:numPr>
          <w:ilvl w:val="0"/>
          <w:numId w:val="3"/>
        </w:numPr>
        <w:ind w:leftChars="500" w:left="1680"/>
        <w:rPr>
          <w:rFonts w:ascii="Times New Roman" w:eastAsia="標楷體" w:hAnsi="Times New Roman" w:cs="Times New Roman" w:hint="eastAsia"/>
          <w:sz w:val="24"/>
          <w:szCs w:val="24"/>
        </w:rPr>
      </w:pPr>
      <w:r w:rsidRPr="0037631C">
        <w:rPr>
          <w:rFonts w:ascii="Times New Roman" w:hAnsi="Times New Roman" w:cs="Times New Roman"/>
          <w:sz w:val="24"/>
          <w:szCs w:val="24"/>
        </w:rPr>
        <w:t xml:space="preserve">How financial shocks transmit to households through insurance </w:t>
      </w:r>
      <w:proofErr w:type="gramStart"/>
      <w:r w:rsidRPr="0037631C">
        <w:rPr>
          <w:rFonts w:ascii="Times New Roman" w:hAnsi="Times New Roman" w:cs="Times New Roman"/>
          <w:sz w:val="24"/>
          <w:szCs w:val="24"/>
        </w:rPr>
        <w:t>prices</w:t>
      </w:r>
      <w:proofErr w:type="gramEnd"/>
    </w:p>
    <w:p w14:paraId="5EF12C7E" w14:textId="1DEF0C70" w:rsidR="006D2456" w:rsidRPr="0037631C" w:rsidRDefault="006666B3" w:rsidP="00252DF2">
      <w:pPr>
        <w:pStyle w:val="a7"/>
        <w:numPr>
          <w:ilvl w:val="1"/>
          <w:numId w:val="1"/>
        </w:numPr>
        <w:ind w:left="1080"/>
        <w:rPr>
          <w:rFonts w:ascii="Times New Roman" w:eastAsia="標楷體" w:hAnsi="Times New Roman" w:cs="Times New Roman" w:hint="eastAsia"/>
          <w:sz w:val="24"/>
          <w:szCs w:val="24"/>
        </w:rPr>
      </w:pPr>
      <w:r w:rsidRPr="0037631C">
        <w:rPr>
          <w:rFonts w:ascii="Times New Roman" w:eastAsia="標楷體" w:hAnsi="Times New Roman" w:cs="Times New Roman"/>
          <w:sz w:val="24"/>
          <w:szCs w:val="24"/>
        </w:rPr>
        <w:t>Motivation</w:t>
      </w:r>
    </w:p>
    <w:p w14:paraId="06B3F0F1" w14:textId="56132736" w:rsidR="006D2456" w:rsidRPr="0037631C" w:rsidRDefault="006D2456" w:rsidP="00252DF2">
      <w:pPr>
        <w:pStyle w:val="a7"/>
        <w:numPr>
          <w:ilvl w:val="0"/>
          <w:numId w:val="2"/>
        </w:numPr>
        <w:rPr>
          <w:rFonts w:ascii="Times New Roman" w:eastAsia="標楷體" w:hAnsi="Times New Roman" w:cs="Times New Roman"/>
          <w:sz w:val="24"/>
          <w:szCs w:val="24"/>
        </w:rPr>
      </w:pPr>
      <w:r w:rsidRPr="0037631C">
        <w:rPr>
          <w:rFonts w:ascii="Times New Roman" w:eastAsia="標楷體" w:hAnsi="Times New Roman" w:cs="Times New Roman"/>
          <w:sz w:val="24"/>
          <w:szCs w:val="24"/>
        </w:rPr>
        <w:t xml:space="preserve">Life insurance premiums </w:t>
      </w:r>
      <w:r w:rsidRPr="0037631C">
        <w:rPr>
          <w:rFonts w:ascii="Times New Roman" w:eastAsia="標楷體" w:hAnsi="Times New Roman" w:cs="Times New Roman"/>
          <w:sz w:val="24"/>
          <w:szCs w:val="24"/>
        </w:rPr>
        <w:t>is so</w:t>
      </w:r>
      <w:r w:rsidRPr="0037631C">
        <w:rPr>
          <w:rFonts w:ascii="Times New Roman" w:eastAsia="標楷體" w:hAnsi="Times New Roman" w:cs="Times New Roman"/>
          <w:sz w:val="24"/>
          <w:szCs w:val="24"/>
        </w:rPr>
        <w:t xml:space="preserve"> rigid </w:t>
      </w:r>
      <w:r w:rsidRPr="0037631C">
        <w:rPr>
          <w:rFonts w:ascii="Times New Roman" w:eastAsia="標楷體" w:hAnsi="Times New Roman" w:cs="Times New Roman"/>
          <w:sz w:val="24"/>
          <w:szCs w:val="24"/>
        </w:rPr>
        <w:t>that rarely change in years.</w:t>
      </w:r>
    </w:p>
    <w:p w14:paraId="402EF4D0" w14:textId="747199BE" w:rsidR="006D2456" w:rsidRPr="0037631C" w:rsidRDefault="006D2456" w:rsidP="00252DF2">
      <w:pPr>
        <w:pStyle w:val="a7"/>
        <w:numPr>
          <w:ilvl w:val="0"/>
          <w:numId w:val="2"/>
        </w:numPr>
        <w:rPr>
          <w:rFonts w:ascii="Times New Roman" w:hAnsi="Times New Roman" w:cs="Times New Roman"/>
          <w:sz w:val="24"/>
          <w:szCs w:val="24"/>
        </w:rPr>
      </w:pPr>
      <w:r w:rsidRPr="0037631C">
        <w:rPr>
          <w:rFonts w:ascii="Times New Roman" w:hAnsi="Times New Roman" w:cs="Times New Roman"/>
          <w:sz w:val="24"/>
          <w:szCs w:val="24"/>
        </w:rPr>
        <w:t>P</w:t>
      </w:r>
      <w:r w:rsidRPr="0037631C">
        <w:rPr>
          <w:rFonts w:ascii="Times New Roman" w:hAnsi="Times New Roman" w:cs="Times New Roman"/>
          <w:sz w:val="24"/>
          <w:szCs w:val="24"/>
        </w:rPr>
        <w:t xml:space="preserve">remium adjustments </w:t>
      </w:r>
      <w:r w:rsidRPr="0037631C">
        <w:rPr>
          <w:rFonts w:ascii="Times New Roman" w:hAnsi="Times New Roman" w:cs="Times New Roman"/>
          <w:sz w:val="24"/>
          <w:szCs w:val="24"/>
        </w:rPr>
        <w:t xml:space="preserve">are </w:t>
      </w:r>
      <w:proofErr w:type="gramStart"/>
      <w:r w:rsidRPr="0037631C">
        <w:rPr>
          <w:rFonts w:ascii="Times New Roman" w:hAnsi="Times New Roman" w:cs="Times New Roman"/>
          <w:sz w:val="24"/>
          <w:szCs w:val="24"/>
        </w:rPr>
        <w:t>sizable</w:t>
      </w:r>
      <w:proofErr w:type="gramEnd"/>
      <w:r w:rsidRPr="0037631C">
        <w:rPr>
          <w:rFonts w:ascii="Times New Roman" w:hAnsi="Times New Roman" w:cs="Times New Roman"/>
          <w:sz w:val="24"/>
          <w:szCs w:val="24"/>
        </w:rPr>
        <w:t xml:space="preserve"> and the p</w:t>
      </w:r>
      <w:r w:rsidRPr="0037631C">
        <w:rPr>
          <w:rFonts w:ascii="Times New Roman" w:hAnsi="Times New Roman" w:cs="Times New Roman"/>
          <w:sz w:val="24"/>
          <w:szCs w:val="24"/>
        </w:rPr>
        <w:t>olicyholder</w:t>
      </w:r>
      <w:r w:rsidRPr="0037631C">
        <w:rPr>
          <w:rFonts w:ascii="Times New Roman" w:hAnsi="Times New Roman" w:cs="Times New Roman"/>
          <w:sz w:val="24"/>
          <w:szCs w:val="24"/>
        </w:rPr>
        <w:t xml:space="preserve"> have a tremendous cost to change insurers.</w:t>
      </w:r>
    </w:p>
    <w:p w14:paraId="794ECBE6" w14:textId="5D72F205" w:rsidR="006D2456" w:rsidRPr="0037631C" w:rsidRDefault="006D2456" w:rsidP="00252DF2">
      <w:pPr>
        <w:pStyle w:val="a7"/>
        <w:numPr>
          <w:ilvl w:val="0"/>
          <w:numId w:val="2"/>
        </w:numPr>
        <w:rPr>
          <w:rFonts w:ascii="Times New Roman" w:eastAsia="標楷體" w:hAnsi="Times New Roman" w:cs="Times New Roman" w:hint="eastAsia"/>
          <w:sz w:val="24"/>
          <w:szCs w:val="24"/>
        </w:rPr>
      </w:pPr>
      <w:r w:rsidRPr="0037631C">
        <w:rPr>
          <w:rFonts w:ascii="Times New Roman" w:hAnsi="Times New Roman" w:cs="Times New Roman"/>
          <w:sz w:val="24"/>
          <w:szCs w:val="24"/>
        </w:rPr>
        <w:t xml:space="preserve">Life insurance at </w:t>
      </w:r>
      <w:proofErr w:type="gramStart"/>
      <w:r w:rsidRPr="0037631C">
        <w:rPr>
          <w:rFonts w:ascii="Times New Roman" w:hAnsi="Times New Roman" w:cs="Times New Roman"/>
          <w:sz w:val="24"/>
          <w:szCs w:val="24"/>
        </w:rPr>
        <w:t>far right</w:t>
      </w:r>
      <w:proofErr w:type="gramEnd"/>
      <w:r w:rsidRPr="0037631C">
        <w:rPr>
          <w:rFonts w:ascii="Times New Roman" w:hAnsi="Times New Roman" w:cs="Times New Roman"/>
          <w:sz w:val="24"/>
          <w:szCs w:val="24"/>
        </w:rPr>
        <w:t xml:space="preserve"> tail of the distribution of price changes</w:t>
      </w:r>
    </w:p>
    <w:p w14:paraId="5ED25035" w14:textId="4AEBCAED" w:rsidR="006666B3" w:rsidRPr="0037631C" w:rsidRDefault="006666B3" w:rsidP="00252DF2">
      <w:pPr>
        <w:pStyle w:val="a7"/>
        <w:numPr>
          <w:ilvl w:val="1"/>
          <w:numId w:val="1"/>
        </w:numPr>
        <w:ind w:left="1080"/>
        <w:rPr>
          <w:rFonts w:ascii="Times New Roman" w:eastAsia="標楷體" w:hAnsi="Times New Roman" w:cs="Times New Roman"/>
          <w:sz w:val="24"/>
          <w:szCs w:val="24"/>
        </w:rPr>
      </w:pPr>
      <w:r w:rsidRPr="0037631C">
        <w:rPr>
          <w:rFonts w:ascii="Times New Roman" w:eastAsia="標楷體" w:hAnsi="Times New Roman" w:cs="Times New Roman"/>
          <w:sz w:val="24"/>
          <w:szCs w:val="24"/>
        </w:rPr>
        <w:t>Economic justification</w:t>
      </w:r>
    </w:p>
    <w:p w14:paraId="4FDAC004" w14:textId="77777777" w:rsidR="00252DF2" w:rsidRPr="0037631C" w:rsidRDefault="006D2456" w:rsidP="00252DF2">
      <w:pPr>
        <w:spacing w:line="276" w:lineRule="auto"/>
        <w:ind w:leftChars="300" w:left="720" w:firstLine="480"/>
        <w:rPr>
          <w:rFonts w:ascii="Times New Roman" w:eastAsia="標楷體" w:hAnsi="Times New Roman" w:cs="Times New Roman"/>
          <w:szCs w:val="24"/>
        </w:rPr>
      </w:pPr>
      <w:r w:rsidRPr="0037631C">
        <w:rPr>
          <w:rFonts w:ascii="Times New Roman" w:eastAsia="標楷體" w:hAnsi="Times New Roman" w:cs="Times New Roman"/>
          <w:szCs w:val="24"/>
        </w:rPr>
        <w:t xml:space="preserve">This study found that the volatility of life insurance changes over time, with a monthly variation coefficient of 6.3%, while the average absolute monthly variation is 1.4% of the average. </w:t>
      </w:r>
    </w:p>
    <w:p w14:paraId="643F4B5E" w14:textId="77777777" w:rsidR="00252DF2" w:rsidRPr="0037631C" w:rsidRDefault="006D2456" w:rsidP="00252DF2">
      <w:pPr>
        <w:spacing w:line="276" w:lineRule="auto"/>
        <w:ind w:leftChars="300" w:left="720" w:firstLine="480"/>
        <w:rPr>
          <w:rFonts w:ascii="Times New Roman" w:eastAsia="標楷體" w:hAnsi="Times New Roman" w:cs="Times New Roman"/>
          <w:szCs w:val="24"/>
        </w:rPr>
      </w:pPr>
      <w:r w:rsidRPr="0037631C">
        <w:rPr>
          <w:rFonts w:ascii="Times New Roman" w:eastAsia="標楷體" w:hAnsi="Times New Roman" w:cs="Times New Roman"/>
          <w:szCs w:val="24"/>
        </w:rPr>
        <w:t xml:space="preserve">However, the overall probability of monthly premium changes in the data is only 2.6%, which means that the average premium period is about 39 months, and some products have maintained a constant premium for more than 20 years! </w:t>
      </w:r>
    </w:p>
    <w:p w14:paraId="130F54C2" w14:textId="1D2ACF56" w:rsidR="006D2456" w:rsidRPr="0037631C" w:rsidRDefault="00252DF2" w:rsidP="00252DF2">
      <w:pPr>
        <w:spacing w:line="276" w:lineRule="auto"/>
        <w:ind w:leftChars="300" w:left="720" w:firstLine="480"/>
        <w:rPr>
          <w:rFonts w:ascii="Times New Roman" w:eastAsia="標楷體" w:hAnsi="Times New Roman" w:cs="Times New Roman" w:hint="eastAsia"/>
          <w:szCs w:val="24"/>
        </w:rPr>
      </w:pPr>
      <w:r w:rsidRPr="0037631C">
        <w:rPr>
          <w:rFonts w:ascii="Times New Roman" w:eastAsia="標楷體" w:hAnsi="Times New Roman" w:cs="Times New Roman"/>
          <w:szCs w:val="24"/>
        </w:rPr>
        <w:t>This paper’s</w:t>
      </w:r>
      <w:r w:rsidR="006D2456" w:rsidRPr="0037631C">
        <w:rPr>
          <w:rFonts w:ascii="Times New Roman" w:eastAsia="標楷體" w:hAnsi="Times New Roman" w:cs="Times New Roman"/>
          <w:szCs w:val="24"/>
        </w:rPr>
        <w:t xml:space="preserve"> empirical findings indicate that life insurance companies tend to maintain a stable premium for age. This means that throughout the life cycle, young policyholders may maintain the habit of paying until they are old.</w:t>
      </w:r>
    </w:p>
    <w:p w14:paraId="455BF804" w14:textId="77777777" w:rsidR="006666B3" w:rsidRPr="0037631C" w:rsidRDefault="006666B3" w:rsidP="00252DF2">
      <w:pPr>
        <w:pStyle w:val="a7"/>
        <w:numPr>
          <w:ilvl w:val="1"/>
          <w:numId w:val="1"/>
        </w:numPr>
        <w:ind w:left="1080"/>
        <w:rPr>
          <w:rFonts w:ascii="Times New Roman" w:eastAsia="標楷體" w:hAnsi="Times New Roman" w:cs="Times New Roman"/>
          <w:sz w:val="24"/>
          <w:szCs w:val="24"/>
        </w:rPr>
      </w:pPr>
      <w:r w:rsidRPr="0037631C">
        <w:rPr>
          <w:rFonts w:ascii="Times New Roman" w:eastAsia="標楷體" w:hAnsi="Times New Roman" w:cs="Times New Roman"/>
          <w:sz w:val="24"/>
          <w:szCs w:val="24"/>
        </w:rPr>
        <w:t>Empirical results</w:t>
      </w:r>
    </w:p>
    <w:p w14:paraId="434915BA" w14:textId="58E3D97D" w:rsidR="00804931" w:rsidRPr="0037631C" w:rsidRDefault="006666B3" w:rsidP="00252DF2">
      <w:pPr>
        <w:pStyle w:val="a7"/>
        <w:numPr>
          <w:ilvl w:val="2"/>
          <w:numId w:val="1"/>
        </w:numPr>
        <w:ind w:left="1800"/>
        <w:rPr>
          <w:rFonts w:ascii="Times New Roman" w:eastAsia="標楷體" w:hAnsi="Times New Roman" w:cs="Times New Roman"/>
          <w:sz w:val="24"/>
          <w:szCs w:val="24"/>
        </w:rPr>
      </w:pPr>
      <w:r w:rsidRPr="0037631C">
        <w:rPr>
          <w:rFonts w:ascii="Times New Roman" w:eastAsia="標楷體" w:hAnsi="Times New Roman" w:cs="Times New Roman"/>
          <w:sz w:val="24"/>
          <w:szCs w:val="24"/>
        </w:rPr>
        <w:t>Sample</w:t>
      </w:r>
      <w:r w:rsidR="001C65A9" w:rsidRPr="0037631C">
        <w:rPr>
          <w:rFonts w:ascii="Times New Roman" w:eastAsia="標楷體" w:hAnsi="Times New Roman" w:cs="Times New Roman"/>
          <w:sz w:val="24"/>
          <w:szCs w:val="24"/>
        </w:rPr>
        <w:t>:</w:t>
      </w:r>
    </w:p>
    <w:p w14:paraId="381B7125" w14:textId="46B4D946" w:rsidR="00252DF2" w:rsidRPr="0037631C" w:rsidRDefault="00252DF2" w:rsidP="00252DF2">
      <w:pPr>
        <w:pStyle w:val="a7"/>
        <w:numPr>
          <w:ilvl w:val="2"/>
          <w:numId w:val="4"/>
        </w:numPr>
        <w:rPr>
          <w:rFonts w:ascii="Times New Roman" w:eastAsia="標楷體" w:hAnsi="Times New Roman" w:cs="Times New Roman"/>
          <w:sz w:val="24"/>
          <w:szCs w:val="24"/>
        </w:rPr>
      </w:pPr>
      <w:r w:rsidRPr="0037631C">
        <w:rPr>
          <w:rFonts w:ascii="Times New Roman" w:eastAsia="標楷體" w:hAnsi="Times New Roman" w:cs="Times New Roman"/>
          <w:sz w:val="24"/>
          <w:szCs w:val="24"/>
        </w:rPr>
        <w:t>T</w:t>
      </w:r>
      <w:r w:rsidRPr="0037631C">
        <w:rPr>
          <w:rFonts w:ascii="Times New Roman" w:eastAsia="標楷體" w:hAnsi="Times New Roman" w:cs="Times New Roman" w:hint="eastAsia"/>
          <w:sz w:val="24"/>
          <w:szCs w:val="24"/>
        </w:rPr>
        <w:t>i</w:t>
      </w:r>
      <w:r w:rsidRPr="0037631C">
        <w:rPr>
          <w:rFonts w:ascii="Times New Roman" w:eastAsia="標楷體" w:hAnsi="Times New Roman" w:cs="Times New Roman"/>
          <w:sz w:val="24"/>
          <w:szCs w:val="24"/>
        </w:rPr>
        <w:t>me Span</w:t>
      </w:r>
      <w:r w:rsidRPr="0037631C">
        <w:rPr>
          <w:rFonts w:ascii="Times New Roman" w:eastAsia="標楷體" w:hAnsi="Times New Roman" w:cs="Times New Roman" w:hint="eastAsia"/>
          <w:sz w:val="24"/>
          <w:szCs w:val="24"/>
        </w:rPr>
        <w:t>：</w:t>
      </w:r>
      <w:r w:rsidRPr="0037631C">
        <w:rPr>
          <w:rFonts w:ascii="Times New Roman" w:eastAsia="標楷體" w:hAnsi="Times New Roman" w:cs="Times New Roman"/>
          <w:sz w:val="24"/>
          <w:szCs w:val="24"/>
        </w:rPr>
        <w:t>May 1990 - October 2013</w:t>
      </w:r>
    </w:p>
    <w:p w14:paraId="230032B7" w14:textId="5CD4D0F0" w:rsidR="00252DF2" w:rsidRPr="0037631C" w:rsidRDefault="00252DF2" w:rsidP="00252DF2">
      <w:pPr>
        <w:pStyle w:val="a7"/>
        <w:numPr>
          <w:ilvl w:val="2"/>
          <w:numId w:val="4"/>
        </w:numPr>
        <w:rPr>
          <w:rFonts w:ascii="Times New Roman" w:eastAsia="標楷體" w:hAnsi="Times New Roman" w:cs="Times New Roman"/>
          <w:sz w:val="24"/>
          <w:szCs w:val="24"/>
        </w:rPr>
      </w:pPr>
      <w:r w:rsidRPr="0037631C">
        <w:rPr>
          <w:rFonts w:ascii="Times New Roman" w:eastAsia="標楷體" w:hAnsi="Times New Roman" w:cs="Times New Roman"/>
          <w:sz w:val="24"/>
          <w:szCs w:val="24"/>
        </w:rPr>
        <w:t>Site</w:t>
      </w:r>
      <w:r w:rsidRPr="0037631C">
        <w:rPr>
          <w:rFonts w:ascii="Times New Roman" w:eastAsia="標楷體" w:hAnsi="Times New Roman" w:cs="Times New Roman" w:hint="eastAsia"/>
          <w:sz w:val="24"/>
          <w:szCs w:val="24"/>
        </w:rPr>
        <w:t>：</w:t>
      </w:r>
      <w:proofErr w:type="spellStart"/>
      <w:r w:rsidRPr="0037631C">
        <w:rPr>
          <w:rFonts w:ascii="Times New Roman" w:eastAsia="標楷體" w:hAnsi="Times New Roman" w:cs="Times New Roman"/>
          <w:sz w:val="24"/>
          <w:szCs w:val="24"/>
        </w:rPr>
        <w:t>Compulife</w:t>
      </w:r>
      <w:proofErr w:type="spellEnd"/>
      <w:r w:rsidRPr="0037631C">
        <w:rPr>
          <w:rFonts w:ascii="Times New Roman" w:eastAsia="標楷體" w:hAnsi="Times New Roman" w:cs="Times New Roman"/>
          <w:sz w:val="24"/>
          <w:szCs w:val="24"/>
        </w:rPr>
        <w:t xml:space="preserve"> Software</w:t>
      </w:r>
      <w:r w:rsidRPr="0037631C">
        <w:rPr>
          <w:rFonts w:ascii="Times New Roman" w:eastAsia="標楷體" w:hAnsi="Times New Roman" w:cs="Times New Roman" w:hint="eastAsia"/>
          <w:sz w:val="24"/>
          <w:szCs w:val="24"/>
        </w:rPr>
        <w:t xml:space="preserve"> 5</w:t>
      </w:r>
      <w:r w:rsidRPr="0037631C">
        <w:rPr>
          <w:rFonts w:ascii="Times New Roman" w:eastAsia="標楷體" w:hAnsi="Times New Roman" w:cs="Times New Roman"/>
          <w:sz w:val="24"/>
          <w:szCs w:val="24"/>
        </w:rPr>
        <w:t xml:space="preserve"> year to 20 year renewable policy</w:t>
      </w:r>
    </w:p>
    <w:p w14:paraId="62C2891E" w14:textId="37EE1825" w:rsidR="00252DF2" w:rsidRPr="0037631C" w:rsidRDefault="00252DF2" w:rsidP="00252DF2">
      <w:pPr>
        <w:pStyle w:val="a7"/>
        <w:ind w:left="2061"/>
        <w:rPr>
          <w:rFonts w:ascii="Times New Roman" w:eastAsia="標楷體" w:hAnsi="Times New Roman" w:cs="Times New Roman" w:hint="eastAsia"/>
          <w:sz w:val="24"/>
          <w:szCs w:val="24"/>
          <w:lang w:val="en-US"/>
        </w:rPr>
      </w:pPr>
      <w:r w:rsidRPr="0037631C">
        <w:rPr>
          <w:rFonts w:ascii="Times New Roman" w:eastAsia="標楷體" w:hAnsi="Times New Roman" w:cs="Times New Roman" w:hint="eastAsia"/>
          <w:sz w:val="24"/>
          <w:szCs w:val="24"/>
        </w:rPr>
        <w:t>(</w:t>
      </w:r>
      <w:r w:rsidRPr="0037631C">
        <w:rPr>
          <w:rFonts w:ascii="Times New Roman" w:eastAsia="標楷體" w:hAnsi="Times New Roman" w:cs="Times New Roman"/>
          <w:sz w:val="24"/>
          <w:szCs w:val="24"/>
        </w:rPr>
        <w:t>Total of 234 companies, with 578 different products</w:t>
      </w:r>
      <w:r w:rsidRPr="0037631C">
        <w:rPr>
          <w:rFonts w:ascii="Times New Roman" w:eastAsia="標楷體" w:hAnsi="Times New Roman" w:cs="Times New Roman" w:hint="eastAsia"/>
          <w:sz w:val="24"/>
          <w:szCs w:val="24"/>
        </w:rPr>
        <w:t>)</w:t>
      </w:r>
    </w:p>
    <w:p w14:paraId="294460E4" w14:textId="67DB6F49" w:rsidR="00813803" w:rsidRPr="0037631C" w:rsidRDefault="006666B3" w:rsidP="00252DF2">
      <w:pPr>
        <w:pStyle w:val="a7"/>
        <w:ind w:left="1800"/>
        <w:rPr>
          <w:rFonts w:ascii="Times New Roman" w:eastAsia="標楷體" w:hAnsi="Times New Roman" w:cs="Times New Roman"/>
          <w:sz w:val="24"/>
          <w:szCs w:val="24"/>
        </w:rPr>
      </w:pPr>
      <w:r w:rsidRPr="0037631C">
        <w:rPr>
          <w:rFonts w:ascii="Times New Roman" w:eastAsia="標楷體" w:hAnsi="Times New Roman" w:cs="Times New Roman"/>
          <w:sz w:val="24"/>
          <w:szCs w:val="24"/>
        </w:rPr>
        <w:t>Methodology</w:t>
      </w:r>
      <w:r w:rsidR="001C65A9" w:rsidRPr="0037631C">
        <w:rPr>
          <w:rFonts w:ascii="Times New Roman" w:eastAsia="標楷體" w:hAnsi="Times New Roman" w:cs="Times New Roman"/>
          <w:sz w:val="24"/>
          <w:szCs w:val="24"/>
        </w:rPr>
        <w:t>:</w:t>
      </w:r>
      <w:r w:rsidR="00813803" w:rsidRPr="0037631C">
        <w:rPr>
          <w:rFonts w:ascii="Times New Roman" w:eastAsia="標楷體" w:hAnsi="Times New Roman" w:cs="Times New Roman"/>
          <w:sz w:val="24"/>
          <w:szCs w:val="24"/>
        </w:rPr>
        <w:t xml:space="preserve"> </w:t>
      </w:r>
    </w:p>
    <w:p w14:paraId="68492380" w14:textId="7100B373"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sz w:val="24"/>
          <w:szCs w:val="24"/>
        </w:rPr>
        <w:drawing>
          <wp:inline distT="0" distB="0" distL="0" distR="0" wp14:anchorId="61F4B14A" wp14:editId="60192F35">
            <wp:extent cx="4525108" cy="240531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717" cy="2450292"/>
                    </a:xfrm>
                    <a:prstGeom prst="rect">
                      <a:avLst/>
                    </a:prstGeom>
                  </pic:spPr>
                </pic:pic>
              </a:graphicData>
            </a:graphic>
          </wp:inline>
        </w:drawing>
      </w:r>
    </w:p>
    <w:p w14:paraId="42F12622" w14:textId="73052F45"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lastRenderedPageBreak/>
        <w:drawing>
          <wp:inline distT="0" distB="0" distL="0" distR="0" wp14:anchorId="34D59A5C" wp14:editId="2B406140">
            <wp:extent cx="4425461" cy="111315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529"/>
                    <a:stretch/>
                  </pic:blipFill>
                  <pic:spPr bwMode="auto">
                    <a:xfrm>
                      <a:off x="0" y="0"/>
                      <a:ext cx="4733145" cy="1190548"/>
                    </a:xfrm>
                    <a:prstGeom prst="rect">
                      <a:avLst/>
                    </a:prstGeom>
                    <a:noFill/>
                    <a:ln>
                      <a:noFill/>
                    </a:ln>
                    <a:extLst>
                      <a:ext uri="{53640926-AAD7-44D8-BBD7-CCE9431645EC}">
                        <a14:shadowObscured xmlns:a14="http://schemas.microsoft.com/office/drawing/2010/main"/>
                      </a:ext>
                    </a:extLst>
                  </pic:spPr>
                </pic:pic>
              </a:graphicData>
            </a:graphic>
          </wp:inline>
        </w:drawing>
      </w:r>
    </w:p>
    <w:p w14:paraId="28F3645A" w14:textId="5FC1A1E2"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71175D46" wp14:editId="6D0B3395">
            <wp:extent cx="4513385" cy="2585557"/>
            <wp:effectExtent l="0" t="0" r="190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633"/>
                    <a:stretch/>
                  </pic:blipFill>
                  <pic:spPr bwMode="auto">
                    <a:xfrm>
                      <a:off x="0" y="0"/>
                      <a:ext cx="4560788" cy="2612712"/>
                    </a:xfrm>
                    <a:prstGeom prst="rect">
                      <a:avLst/>
                    </a:prstGeom>
                    <a:noFill/>
                    <a:ln>
                      <a:noFill/>
                    </a:ln>
                    <a:extLst>
                      <a:ext uri="{53640926-AAD7-44D8-BBD7-CCE9431645EC}">
                        <a14:shadowObscured xmlns:a14="http://schemas.microsoft.com/office/drawing/2010/main"/>
                      </a:ext>
                    </a:extLst>
                  </pic:spPr>
                </pic:pic>
              </a:graphicData>
            </a:graphic>
          </wp:inline>
        </w:drawing>
      </w:r>
    </w:p>
    <w:p w14:paraId="226C4906" w14:textId="35B246A1"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41DE1128" wp14:editId="166EDA1D">
            <wp:extent cx="4672282" cy="697958"/>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712" cy="720579"/>
                    </a:xfrm>
                    <a:prstGeom prst="rect">
                      <a:avLst/>
                    </a:prstGeom>
                    <a:noFill/>
                  </pic:spPr>
                </pic:pic>
              </a:graphicData>
            </a:graphic>
          </wp:inline>
        </w:drawing>
      </w:r>
    </w:p>
    <w:p w14:paraId="134C5BE4" w14:textId="1ED9D889"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10C54232" wp14:editId="0B6AE4D8">
            <wp:extent cx="4586117" cy="1520049"/>
            <wp:effectExtent l="0" t="0" r="508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341" cy="1546308"/>
                    </a:xfrm>
                    <a:prstGeom prst="rect">
                      <a:avLst/>
                    </a:prstGeom>
                    <a:noFill/>
                  </pic:spPr>
                </pic:pic>
              </a:graphicData>
            </a:graphic>
          </wp:inline>
        </w:drawing>
      </w:r>
    </w:p>
    <w:p w14:paraId="2654BDBD" w14:textId="4134E2BD" w:rsidR="00252DF2" w:rsidRPr="0037631C" w:rsidRDefault="00252DF2" w:rsidP="00252DF2">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53CD3559" wp14:editId="64EE32E9">
            <wp:extent cx="4593736" cy="2567871"/>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832" cy="2583576"/>
                    </a:xfrm>
                    <a:prstGeom prst="rect">
                      <a:avLst/>
                    </a:prstGeom>
                    <a:noFill/>
                  </pic:spPr>
                </pic:pic>
              </a:graphicData>
            </a:graphic>
          </wp:inline>
        </w:drawing>
      </w:r>
    </w:p>
    <w:p w14:paraId="24EB4860" w14:textId="2381252B" w:rsidR="00252DF2" w:rsidRPr="0037631C" w:rsidRDefault="00252DF2" w:rsidP="00252DF2">
      <w:pPr>
        <w:pStyle w:val="a7"/>
        <w:ind w:left="0"/>
        <w:jc w:val="center"/>
        <w:rPr>
          <w:rFonts w:ascii="Times New Roman" w:eastAsia="標楷體" w:hAnsi="Times New Roman" w:cs="Times New Roman"/>
          <w:sz w:val="24"/>
          <w:szCs w:val="24"/>
        </w:rPr>
      </w:pPr>
    </w:p>
    <w:p w14:paraId="2C7B95F3" w14:textId="77777777" w:rsidR="00252DF2" w:rsidRPr="0037631C" w:rsidRDefault="00252DF2" w:rsidP="00252DF2">
      <w:pPr>
        <w:pStyle w:val="a7"/>
        <w:ind w:left="0"/>
        <w:jc w:val="center"/>
        <w:rPr>
          <w:rFonts w:ascii="Times New Roman" w:eastAsia="標楷體" w:hAnsi="Times New Roman" w:cs="Times New Roman" w:hint="eastAsia"/>
          <w:sz w:val="24"/>
          <w:szCs w:val="24"/>
        </w:rPr>
      </w:pPr>
    </w:p>
    <w:p w14:paraId="3E0FE05B" w14:textId="1C344F04" w:rsidR="00813803" w:rsidRPr="0037631C" w:rsidRDefault="00813803" w:rsidP="00252DF2">
      <w:pPr>
        <w:pStyle w:val="a7"/>
        <w:numPr>
          <w:ilvl w:val="2"/>
          <w:numId w:val="1"/>
        </w:numPr>
        <w:ind w:left="1800"/>
        <w:rPr>
          <w:rFonts w:ascii="Times New Roman" w:eastAsia="標楷體" w:hAnsi="Times New Roman" w:cs="Times New Roman"/>
          <w:sz w:val="24"/>
          <w:szCs w:val="24"/>
        </w:rPr>
      </w:pPr>
      <w:r w:rsidRPr="0037631C">
        <w:rPr>
          <w:rFonts w:ascii="Times New Roman" w:eastAsia="標楷體" w:hAnsi="Times New Roman" w:cs="Times New Roman"/>
          <w:sz w:val="24"/>
          <w:szCs w:val="24"/>
        </w:rPr>
        <w:lastRenderedPageBreak/>
        <w:t>Main empirical findings</w:t>
      </w:r>
    </w:p>
    <w:p w14:paraId="1DC807B9" w14:textId="22689635" w:rsidR="00252DF2" w:rsidRPr="0037631C" w:rsidRDefault="00252DF2" w:rsidP="0037631C">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6FC65617" wp14:editId="797541C2">
            <wp:extent cx="3206262" cy="2491149"/>
            <wp:effectExtent l="0" t="0" r="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6071" cy="2514310"/>
                    </a:xfrm>
                    <a:prstGeom prst="rect">
                      <a:avLst/>
                    </a:prstGeom>
                    <a:noFill/>
                  </pic:spPr>
                </pic:pic>
              </a:graphicData>
            </a:graphic>
          </wp:inline>
        </w:drawing>
      </w:r>
    </w:p>
    <w:p w14:paraId="215723EE" w14:textId="4238D2BC" w:rsidR="00252DF2" w:rsidRPr="0037631C" w:rsidRDefault="00252DF2" w:rsidP="0037631C">
      <w:pPr>
        <w:pStyle w:val="a7"/>
        <w:ind w:left="0" w:firstLine="480"/>
        <w:rPr>
          <w:rFonts w:ascii="Times New Roman" w:eastAsia="標楷體" w:hAnsi="Times New Roman" w:cs="Times New Roman"/>
          <w:sz w:val="24"/>
          <w:szCs w:val="24"/>
        </w:rPr>
      </w:pPr>
      <w:r w:rsidRPr="0037631C">
        <w:rPr>
          <w:rFonts w:ascii="Times New Roman" w:eastAsia="標楷體" w:hAnsi="Times New Roman" w:cs="Times New Roman"/>
          <w:sz w:val="24"/>
          <w:szCs w:val="24"/>
        </w:rPr>
        <w:t xml:space="preserve">We found that as the data originally </w:t>
      </w:r>
      <w:proofErr w:type="spellStart"/>
      <w:proofErr w:type="gramStart"/>
      <w:r w:rsidRPr="0037631C">
        <w:rPr>
          <w:rFonts w:ascii="Times New Roman" w:eastAsia="標楷體" w:hAnsi="Times New Roman" w:cs="Times New Roman"/>
          <w:sz w:val="24"/>
          <w:szCs w:val="24"/>
        </w:rPr>
        <w:t>observed,</w:t>
      </w:r>
      <w:r w:rsidRPr="0037631C">
        <w:rPr>
          <w:rFonts w:ascii="Times New Roman" w:eastAsia="標楷體" w:hAnsi="Times New Roman" w:cs="Times New Roman"/>
          <w:sz w:val="24"/>
          <w:szCs w:val="24"/>
        </w:rPr>
        <w:t>t</w:t>
      </w:r>
      <w:r w:rsidRPr="0037631C">
        <w:rPr>
          <w:rFonts w:ascii="Times New Roman" w:eastAsia="標楷體" w:hAnsi="Times New Roman" w:cs="Times New Roman"/>
          <w:sz w:val="24"/>
          <w:szCs w:val="24"/>
        </w:rPr>
        <w:t>he</w:t>
      </w:r>
      <w:proofErr w:type="spellEnd"/>
      <w:proofErr w:type="gramEnd"/>
      <w:r w:rsidRPr="0037631C">
        <w:rPr>
          <w:rFonts w:ascii="Times New Roman" w:eastAsia="標楷體" w:hAnsi="Times New Roman" w:cs="Times New Roman"/>
          <w:sz w:val="24"/>
          <w:szCs w:val="24"/>
        </w:rPr>
        <w:t xml:space="preserve"> probability of premium changes is very low, but if there is a change, the magnitude of the change is extremely large</w:t>
      </w:r>
      <w:r w:rsidRPr="0037631C">
        <w:rPr>
          <w:rFonts w:ascii="Times New Roman" w:eastAsia="標楷體" w:hAnsi="Times New Roman" w:cs="Times New Roman" w:hint="eastAsia"/>
          <w:sz w:val="24"/>
          <w:szCs w:val="24"/>
        </w:rPr>
        <w:t>.</w:t>
      </w:r>
    </w:p>
    <w:p w14:paraId="18F9614C" w14:textId="32615122" w:rsidR="00252DF2" w:rsidRPr="0037631C" w:rsidRDefault="00252DF2" w:rsidP="0037631C">
      <w:pPr>
        <w:pStyle w:val="a7"/>
        <w:ind w:left="0"/>
        <w:jc w:val="center"/>
        <w:rPr>
          <w:rFonts w:ascii="Times New Roman" w:eastAsia="標楷體" w:hAnsi="Times New Roman" w:cs="Times New Roman"/>
          <w:sz w:val="24"/>
          <w:szCs w:val="24"/>
        </w:rPr>
      </w:pPr>
      <w:r w:rsidRPr="0037631C">
        <w:rPr>
          <w:rFonts w:ascii="Times New Roman" w:eastAsia="標楷體" w:hAnsi="Times New Roman" w:cs="Times New Roman"/>
          <w:noProof/>
          <w:sz w:val="24"/>
          <w:szCs w:val="24"/>
        </w:rPr>
        <w:drawing>
          <wp:inline distT="0" distB="0" distL="0" distR="0" wp14:anchorId="6CAD0099" wp14:editId="1CB6F853">
            <wp:extent cx="4657041" cy="2757067"/>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654" cy="2775783"/>
                    </a:xfrm>
                    <a:prstGeom prst="rect">
                      <a:avLst/>
                    </a:prstGeom>
                    <a:noFill/>
                  </pic:spPr>
                </pic:pic>
              </a:graphicData>
            </a:graphic>
          </wp:inline>
        </w:drawing>
      </w:r>
    </w:p>
    <w:p w14:paraId="5A725C0B" w14:textId="6997FF2C" w:rsidR="00252DF2" w:rsidRPr="0037631C" w:rsidRDefault="0037631C" w:rsidP="0037631C">
      <w:pPr>
        <w:pStyle w:val="a7"/>
        <w:ind w:left="0" w:firstLine="480"/>
        <w:rPr>
          <w:rFonts w:ascii="Times New Roman" w:eastAsia="標楷體" w:hAnsi="Times New Roman" w:cs="Times New Roman" w:hint="eastAsia"/>
          <w:sz w:val="24"/>
          <w:szCs w:val="24"/>
        </w:rPr>
      </w:pPr>
      <w:r w:rsidRPr="0037631C">
        <w:rPr>
          <w:rFonts w:ascii="Times New Roman" w:eastAsia="標楷體" w:hAnsi="Times New Roman" w:cs="Times New Roman"/>
          <w:sz w:val="24"/>
          <w:szCs w:val="24"/>
        </w:rPr>
        <w:t>We have also found that compared with renewable life insurance, the frequency of changes in the lump-sum annuity is not as rigid as life insurance, and the range of changes is not as drastic as life insurance.</w:t>
      </w:r>
    </w:p>
    <w:p w14:paraId="64CA4E47" w14:textId="072532D6" w:rsidR="00CF5669" w:rsidRPr="0037631C" w:rsidRDefault="00813803" w:rsidP="00252DF2">
      <w:pPr>
        <w:pStyle w:val="a7"/>
        <w:numPr>
          <w:ilvl w:val="1"/>
          <w:numId w:val="1"/>
        </w:numPr>
        <w:ind w:left="1080"/>
        <w:rPr>
          <w:rFonts w:ascii="Times New Roman" w:eastAsia="標楷體" w:hAnsi="Times New Roman" w:cs="Times New Roman"/>
          <w:sz w:val="24"/>
          <w:szCs w:val="24"/>
        </w:rPr>
      </w:pPr>
      <w:r w:rsidRPr="0037631C">
        <w:rPr>
          <w:rFonts w:ascii="Times New Roman" w:eastAsia="標楷體" w:hAnsi="Times New Roman" w:cs="Times New Roman"/>
          <w:sz w:val="24"/>
          <w:szCs w:val="24"/>
        </w:rPr>
        <w:t>Future research</w:t>
      </w:r>
      <w:r w:rsidR="00804931" w:rsidRPr="0037631C">
        <w:rPr>
          <w:rFonts w:ascii="Times New Roman" w:eastAsia="標楷體" w:hAnsi="Times New Roman" w:cs="Times New Roman"/>
          <w:sz w:val="24"/>
          <w:szCs w:val="24"/>
        </w:rPr>
        <w:t>:</w:t>
      </w:r>
    </w:p>
    <w:p w14:paraId="391BF07E" w14:textId="5F3B051B" w:rsidR="0037631C" w:rsidRPr="0037631C" w:rsidRDefault="0037631C" w:rsidP="0037631C">
      <w:pPr>
        <w:ind w:firstLine="360"/>
        <w:rPr>
          <w:rFonts w:ascii="Times New Roman" w:eastAsia="標楷體" w:hAnsi="Times New Roman" w:cs="Times New Roman" w:hint="eastAsia"/>
          <w:szCs w:val="24"/>
        </w:rPr>
      </w:pPr>
      <w:r w:rsidRPr="0037631C">
        <w:rPr>
          <w:rFonts w:ascii="Times New Roman" w:eastAsia="標楷體" w:hAnsi="Times New Roman" w:cs="Times New Roman"/>
          <w:szCs w:val="24"/>
        </w:rPr>
        <w:t>For this kind of theory on the rigidity of life insurance prices, there is still a lack of relevant policy implications. If it can be extended to the policy level, it is expected to have a further impact on American life insurance.</w:t>
      </w:r>
    </w:p>
    <w:p w14:paraId="1FDCF96A" w14:textId="1632F9D2" w:rsidR="006666B3" w:rsidRPr="0037631C" w:rsidRDefault="006666B3" w:rsidP="00252DF2">
      <w:pPr>
        <w:pStyle w:val="a7"/>
        <w:numPr>
          <w:ilvl w:val="0"/>
          <w:numId w:val="1"/>
        </w:numPr>
        <w:ind w:left="360"/>
        <w:rPr>
          <w:rFonts w:ascii="Times New Roman" w:eastAsia="標楷體" w:hAnsi="Times New Roman" w:cs="Times New Roman"/>
          <w:b/>
          <w:sz w:val="24"/>
          <w:szCs w:val="24"/>
        </w:rPr>
      </w:pPr>
      <w:r w:rsidRPr="0037631C">
        <w:rPr>
          <w:rFonts w:ascii="Times New Roman" w:eastAsia="標楷體" w:hAnsi="Times New Roman" w:cs="Times New Roman"/>
          <w:b/>
          <w:sz w:val="24"/>
          <w:szCs w:val="24"/>
        </w:rPr>
        <w:t>Reflection</w:t>
      </w:r>
      <w:r w:rsidR="00CF5669" w:rsidRPr="0037631C">
        <w:rPr>
          <w:rFonts w:ascii="Times New Roman" w:eastAsia="標楷體" w:hAnsi="Times New Roman" w:cs="Times New Roman"/>
          <w:b/>
          <w:sz w:val="24"/>
          <w:szCs w:val="24"/>
        </w:rPr>
        <w:t>:</w:t>
      </w:r>
    </w:p>
    <w:p w14:paraId="045AD516" w14:textId="77777777" w:rsidR="001F016D" w:rsidRPr="001F016D" w:rsidRDefault="001F016D" w:rsidP="001F016D">
      <w:pPr>
        <w:spacing w:line="276" w:lineRule="auto"/>
        <w:rPr>
          <w:rFonts w:ascii="Times New Roman" w:eastAsia="標楷體" w:hAnsi="Times New Roman" w:cs="Times New Roman"/>
          <w:szCs w:val="24"/>
        </w:rPr>
      </w:pPr>
      <w:r w:rsidRPr="001F016D">
        <w:rPr>
          <w:rFonts w:ascii="Times New Roman" w:eastAsia="標楷體" w:hAnsi="Times New Roman" w:cs="Times New Roman"/>
          <w:szCs w:val="24"/>
        </w:rPr>
        <w:t>Regarding this research on the price rigidity of renewable term life insurance in the United States, I have the following thoughts and experiences:</w:t>
      </w:r>
    </w:p>
    <w:p w14:paraId="2BAD68DD" w14:textId="77777777" w:rsidR="001F016D" w:rsidRPr="001F016D" w:rsidRDefault="001F016D" w:rsidP="001F016D">
      <w:pPr>
        <w:spacing w:line="276" w:lineRule="auto"/>
        <w:rPr>
          <w:rFonts w:ascii="Times New Roman" w:eastAsia="標楷體" w:hAnsi="Times New Roman" w:cs="Times New Roman"/>
          <w:szCs w:val="24"/>
        </w:rPr>
      </w:pPr>
      <w:r w:rsidRPr="001F016D">
        <w:rPr>
          <w:rFonts w:ascii="Times New Roman" w:eastAsia="標楷體" w:hAnsi="Times New Roman" w:cs="Times New Roman"/>
          <w:szCs w:val="24"/>
        </w:rPr>
        <w:t xml:space="preserve">    Regarding the data discovery part, the author found that all the premiums paid by the policyholders were calculated, and the pure premiums payable by the policyholders during the accumulation period can also be understood. The resulting fluctuation range is very sharp. As far as I understand, the life insurance </w:t>
      </w:r>
      <w:r w:rsidRPr="001F016D">
        <w:rPr>
          <w:rFonts w:ascii="Times New Roman" w:eastAsia="標楷體" w:hAnsi="Times New Roman" w:cs="Times New Roman"/>
          <w:szCs w:val="24"/>
        </w:rPr>
        <w:lastRenderedPageBreak/>
        <w:t xml:space="preserve">company is in the pure </w:t>
      </w:r>
      <w:proofErr w:type="gramStart"/>
      <w:r w:rsidRPr="001F016D">
        <w:rPr>
          <w:rFonts w:ascii="Times New Roman" w:eastAsia="標楷體" w:hAnsi="Times New Roman" w:cs="Times New Roman"/>
          <w:szCs w:val="24"/>
        </w:rPr>
        <w:t>The</w:t>
      </w:r>
      <w:proofErr w:type="gramEnd"/>
      <w:r w:rsidRPr="001F016D">
        <w:rPr>
          <w:rFonts w:ascii="Times New Roman" w:eastAsia="標楷體" w:hAnsi="Times New Roman" w:cs="Times New Roman"/>
          <w:szCs w:val="24"/>
        </w:rPr>
        <w:t xml:space="preserve"> premium is also charged with additional fees, and it is regarded as the same risk-bearing group according to the holder of the policy, and the death rate of the group is estimated according to the policyholder group. If the life insurance company originally sold this policy, it would use guaranteed renewal When the actuaries estimate the premium, they have considered the possibility of the insured’s physical condition changing when the contract is renewed. Otherwise, the insurance company will also sell non-guaranteed renewal policies.</w:t>
      </w:r>
    </w:p>
    <w:p w14:paraId="7C0E91FE" w14:textId="254C6354" w:rsidR="001F016D" w:rsidRPr="001F016D" w:rsidRDefault="001F016D" w:rsidP="001F016D">
      <w:pPr>
        <w:spacing w:line="276" w:lineRule="auto"/>
        <w:rPr>
          <w:rFonts w:ascii="Times New Roman" w:eastAsia="標楷體" w:hAnsi="Times New Roman" w:cs="Times New Roman" w:hint="eastAsia"/>
          <w:szCs w:val="24"/>
        </w:rPr>
      </w:pPr>
      <w:r w:rsidRPr="001F016D">
        <w:rPr>
          <w:rFonts w:ascii="Times New Roman" w:eastAsia="標楷體" w:hAnsi="Times New Roman" w:cs="Times New Roman"/>
          <w:szCs w:val="24"/>
        </w:rPr>
        <w:t xml:space="preserve">    And why the premium changes are so rigid, the reason may come from, normally if the premium is calculated based on the mortality rate, the older the person, the higher the premium should be paid, but this is not in line with the situation of our work income, so it is very big Most life insurance adopts leveled premiums. The premiums paid when you are young are paid in advance, while the premiums paid when you are older are </w:t>
      </w:r>
      <w:proofErr w:type="gramStart"/>
      <w:r w:rsidRPr="001F016D">
        <w:rPr>
          <w:rFonts w:ascii="Times New Roman" w:eastAsia="標楷體" w:hAnsi="Times New Roman" w:cs="Times New Roman"/>
          <w:szCs w:val="24"/>
        </w:rPr>
        <w:t>actually less</w:t>
      </w:r>
      <w:proofErr w:type="gramEnd"/>
      <w:r w:rsidRPr="001F016D">
        <w:rPr>
          <w:rFonts w:ascii="Times New Roman" w:eastAsia="標楷體" w:hAnsi="Times New Roman" w:cs="Times New Roman"/>
          <w:szCs w:val="24"/>
        </w:rPr>
        <w:t xml:space="preserve"> than the pure premiums, which may lead to rigidity in the premiums.</w:t>
      </w:r>
    </w:p>
    <w:p w14:paraId="566903DE" w14:textId="318436D9" w:rsidR="006D2456" w:rsidRPr="0037631C" w:rsidRDefault="001F016D" w:rsidP="001F016D">
      <w:pPr>
        <w:spacing w:line="276" w:lineRule="auto"/>
        <w:rPr>
          <w:rFonts w:ascii="Times New Roman" w:eastAsia="標楷體" w:hAnsi="Times New Roman" w:cs="Times New Roman" w:hint="eastAsia"/>
          <w:szCs w:val="24"/>
        </w:rPr>
      </w:pPr>
      <w:r w:rsidRPr="001F016D">
        <w:rPr>
          <w:rFonts w:ascii="Times New Roman" w:eastAsia="標楷體" w:hAnsi="Times New Roman" w:cs="Times New Roman"/>
          <w:szCs w:val="24"/>
        </w:rPr>
        <w:t xml:space="preserve">    As for the mortality rate, the author uses the mortality rate announced by the government to calculate the mortality rate. When estimating the mortality rate, the life insurance company estimates the mortality rate based on the insured’s physical condition and health examination data. Therefore, the mortality rate is normal. It is said that it should be lower than the overall, and the final discounted interest rate should be long-term rather than short-term. Each life insurance policy is </w:t>
      </w:r>
      <w:proofErr w:type="gramStart"/>
      <w:r w:rsidRPr="001F016D">
        <w:rPr>
          <w:rFonts w:ascii="Times New Roman" w:eastAsia="標楷體" w:hAnsi="Times New Roman" w:cs="Times New Roman"/>
          <w:szCs w:val="24"/>
        </w:rPr>
        <w:t>similar to</w:t>
      </w:r>
      <w:proofErr w:type="gramEnd"/>
      <w:r w:rsidRPr="001F016D">
        <w:rPr>
          <w:rFonts w:ascii="Times New Roman" w:eastAsia="標楷體" w:hAnsi="Times New Roman" w:cs="Times New Roman"/>
          <w:szCs w:val="24"/>
        </w:rPr>
        <w:t xml:space="preserve"> a forward contract. Depending on the conditions of both parties, each policy is different, not the same as general financial </w:t>
      </w:r>
      <w:proofErr w:type="gramStart"/>
      <w:r w:rsidRPr="001F016D">
        <w:rPr>
          <w:rFonts w:ascii="Times New Roman" w:eastAsia="標楷體" w:hAnsi="Times New Roman" w:cs="Times New Roman"/>
          <w:szCs w:val="24"/>
        </w:rPr>
        <w:t>The</w:t>
      </w:r>
      <w:proofErr w:type="gramEnd"/>
      <w:r w:rsidRPr="001F016D">
        <w:rPr>
          <w:rFonts w:ascii="Times New Roman" w:eastAsia="標楷體" w:hAnsi="Times New Roman" w:cs="Times New Roman"/>
          <w:szCs w:val="24"/>
        </w:rPr>
        <w:t xml:space="preserve"> commodity is a standardized product, and only needs to consider the death of the insured, the withdrawal, or the return of the accumulated maturity, and it is not appropriate to discount the short-term interest rate.</w:t>
      </w:r>
    </w:p>
    <w:sectPr w:rsidR="006D2456" w:rsidRPr="0037631C" w:rsidSect="006D245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F41A" w14:textId="77777777" w:rsidR="00A37090" w:rsidRDefault="00A37090" w:rsidP="006666B3">
      <w:r>
        <w:separator/>
      </w:r>
    </w:p>
  </w:endnote>
  <w:endnote w:type="continuationSeparator" w:id="0">
    <w:p w14:paraId="1E7D72AC" w14:textId="77777777" w:rsidR="00A37090" w:rsidRDefault="00A37090" w:rsidP="0066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0AEE" w14:textId="77777777" w:rsidR="00A37090" w:rsidRDefault="00A37090" w:rsidP="006666B3">
      <w:r>
        <w:separator/>
      </w:r>
    </w:p>
  </w:footnote>
  <w:footnote w:type="continuationSeparator" w:id="0">
    <w:p w14:paraId="76841C14" w14:textId="77777777" w:rsidR="00A37090" w:rsidRDefault="00A37090" w:rsidP="00666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54F"/>
    <w:multiLevelType w:val="hybridMultilevel"/>
    <w:tmpl w:val="CBBC8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A264772">
      <w:start w:val="1"/>
      <w:numFmt w:val="bullet"/>
      <w:lvlText w:val=""/>
      <w:lvlJc w:val="left"/>
      <w:pPr>
        <w:ind w:left="2061" w:hanging="360"/>
      </w:pPr>
      <w:rPr>
        <w:rFonts w:ascii="Wingdings" w:hAnsi="Wingdings" w:hint="default"/>
        <w:lang w:val="en-US"/>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9B551E8"/>
    <w:multiLevelType w:val="hybridMultilevel"/>
    <w:tmpl w:val="15DE6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061" w:hanging="360"/>
      </w:pPr>
      <w:rPr>
        <w:rFonts w:ascii="Symbol" w:hAnsi="Symbol" w:hint="default"/>
        <w:lang w:val="en-US"/>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BB54478"/>
    <w:multiLevelType w:val="hybridMultilevel"/>
    <w:tmpl w:val="0276DF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1993CBA"/>
    <w:multiLevelType w:val="hybridMultilevel"/>
    <w:tmpl w:val="EAF431C8"/>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6CD9"/>
    <w:rsid w:val="00034BBD"/>
    <w:rsid w:val="00047CEC"/>
    <w:rsid w:val="000553D0"/>
    <w:rsid w:val="00130EEF"/>
    <w:rsid w:val="001571D5"/>
    <w:rsid w:val="001C65A9"/>
    <w:rsid w:val="001F016D"/>
    <w:rsid w:val="00224EE3"/>
    <w:rsid w:val="00252DF2"/>
    <w:rsid w:val="002A7419"/>
    <w:rsid w:val="00361293"/>
    <w:rsid w:val="0037631C"/>
    <w:rsid w:val="00437464"/>
    <w:rsid w:val="00525F08"/>
    <w:rsid w:val="00527186"/>
    <w:rsid w:val="00554B3A"/>
    <w:rsid w:val="00564360"/>
    <w:rsid w:val="00586A6E"/>
    <w:rsid w:val="005F62CC"/>
    <w:rsid w:val="00606EF0"/>
    <w:rsid w:val="00661461"/>
    <w:rsid w:val="006666B3"/>
    <w:rsid w:val="006D2456"/>
    <w:rsid w:val="0080393A"/>
    <w:rsid w:val="00804931"/>
    <w:rsid w:val="008077D1"/>
    <w:rsid w:val="00813803"/>
    <w:rsid w:val="00845EEE"/>
    <w:rsid w:val="0084624C"/>
    <w:rsid w:val="008B037E"/>
    <w:rsid w:val="008F6CD9"/>
    <w:rsid w:val="009C72E7"/>
    <w:rsid w:val="00A037C1"/>
    <w:rsid w:val="00A26C5B"/>
    <w:rsid w:val="00A37090"/>
    <w:rsid w:val="00A86A97"/>
    <w:rsid w:val="00AA74D0"/>
    <w:rsid w:val="00B23E0F"/>
    <w:rsid w:val="00BC5D45"/>
    <w:rsid w:val="00C663E9"/>
    <w:rsid w:val="00CB1E24"/>
    <w:rsid w:val="00CF5669"/>
    <w:rsid w:val="00DA7139"/>
    <w:rsid w:val="00E35A1C"/>
    <w:rsid w:val="00EC51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220F"/>
  <w15:chartTrackingRefBased/>
  <w15:docId w15:val="{B5895BEA-7E7E-48EB-A3C4-555D8943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66B3"/>
    <w:pPr>
      <w:tabs>
        <w:tab w:val="center" w:pos="4153"/>
        <w:tab w:val="right" w:pos="8306"/>
      </w:tabs>
      <w:snapToGrid w:val="0"/>
    </w:pPr>
    <w:rPr>
      <w:sz w:val="20"/>
      <w:szCs w:val="20"/>
    </w:rPr>
  </w:style>
  <w:style w:type="character" w:customStyle="1" w:styleId="a4">
    <w:name w:val="頁首 字元"/>
    <w:basedOn w:val="a0"/>
    <w:link w:val="a3"/>
    <w:uiPriority w:val="99"/>
    <w:rsid w:val="006666B3"/>
    <w:rPr>
      <w:sz w:val="20"/>
      <w:szCs w:val="20"/>
    </w:rPr>
  </w:style>
  <w:style w:type="paragraph" w:styleId="a5">
    <w:name w:val="footer"/>
    <w:basedOn w:val="a"/>
    <w:link w:val="a6"/>
    <w:uiPriority w:val="99"/>
    <w:unhideWhenUsed/>
    <w:rsid w:val="006666B3"/>
    <w:pPr>
      <w:tabs>
        <w:tab w:val="center" w:pos="4153"/>
        <w:tab w:val="right" w:pos="8306"/>
      </w:tabs>
      <w:snapToGrid w:val="0"/>
    </w:pPr>
    <w:rPr>
      <w:sz w:val="20"/>
      <w:szCs w:val="20"/>
    </w:rPr>
  </w:style>
  <w:style w:type="character" w:customStyle="1" w:styleId="a6">
    <w:name w:val="頁尾 字元"/>
    <w:basedOn w:val="a0"/>
    <w:link w:val="a5"/>
    <w:uiPriority w:val="99"/>
    <w:rsid w:val="006666B3"/>
    <w:rPr>
      <w:sz w:val="20"/>
      <w:szCs w:val="20"/>
    </w:rPr>
  </w:style>
  <w:style w:type="paragraph" w:styleId="a7">
    <w:name w:val="List Paragraph"/>
    <w:basedOn w:val="a"/>
    <w:uiPriority w:val="34"/>
    <w:qFormat/>
    <w:rsid w:val="006666B3"/>
    <w:pPr>
      <w:widowControl/>
      <w:spacing w:after="200" w:line="276" w:lineRule="auto"/>
      <w:ind w:left="720"/>
      <w:contextualSpacing/>
    </w:pPr>
    <w:rPr>
      <w:kern w:val="0"/>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0666">
      <w:bodyDiv w:val="1"/>
      <w:marLeft w:val="0"/>
      <w:marRight w:val="0"/>
      <w:marTop w:val="0"/>
      <w:marBottom w:val="0"/>
      <w:divBdr>
        <w:top w:val="none" w:sz="0" w:space="0" w:color="auto"/>
        <w:left w:val="none" w:sz="0" w:space="0" w:color="auto"/>
        <w:bottom w:val="none" w:sz="0" w:space="0" w:color="auto"/>
        <w:right w:val="none" w:sz="0" w:space="0" w:color="auto"/>
      </w:divBdr>
    </w:div>
    <w:div w:id="883757992">
      <w:bodyDiv w:val="1"/>
      <w:marLeft w:val="0"/>
      <w:marRight w:val="0"/>
      <w:marTop w:val="0"/>
      <w:marBottom w:val="0"/>
      <w:divBdr>
        <w:top w:val="none" w:sz="0" w:space="0" w:color="auto"/>
        <w:left w:val="none" w:sz="0" w:space="0" w:color="auto"/>
        <w:bottom w:val="none" w:sz="0" w:space="0" w:color="auto"/>
        <w:right w:val="none" w:sz="0" w:space="0" w:color="auto"/>
      </w:divBdr>
      <w:divsChild>
        <w:div w:id="993799516">
          <w:marLeft w:val="0"/>
          <w:marRight w:val="0"/>
          <w:marTop w:val="0"/>
          <w:marBottom w:val="0"/>
          <w:divBdr>
            <w:top w:val="none" w:sz="0" w:space="0" w:color="auto"/>
            <w:left w:val="none" w:sz="0" w:space="0" w:color="auto"/>
            <w:bottom w:val="none" w:sz="0" w:space="0" w:color="auto"/>
            <w:right w:val="none" w:sz="0" w:space="0" w:color="auto"/>
          </w:divBdr>
          <w:divsChild>
            <w:div w:id="986933413">
              <w:marLeft w:val="0"/>
              <w:marRight w:val="0"/>
              <w:marTop w:val="0"/>
              <w:marBottom w:val="0"/>
              <w:divBdr>
                <w:top w:val="none" w:sz="0" w:space="0" w:color="auto"/>
                <w:left w:val="none" w:sz="0" w:space="0" w:color="auto"/>
                <w:bottom w:val="none" w:sz="0" w:space="0" w:color="auto"/>
                <w:right w:val="none" w:sz="0" w:space="0" w:color="auto"/>
              </w:divBdr>
              <w:divsChild>
                <w:div w:id="846748393">
                  <w:marLeft w:val="0"/>
                  <w:marRight w:val="0"/>
                  <w:marTop w:val="0"/>
                  <w:marBottom w:val="0"/>
                  <w:divBdr>
                    <w:top w:val="none" w:sz="0" w:space="0" w:color="auto"/>
                    <w:left w:val="none" w:sz="0" w:space="0" w:color="auto"/>
                    <w:bottom w:val="none" w:sz="0" w:space="0" w:color="auto"/>
                    <w:right w:val="none" w:sz="0" w:space="0" w:color="auto"/>
                  </w:divBdr>
                  <w:divsChild>
                    <w:div w:id="1529951767">
                      <w:marLeft w:val="0"/>
                      <w:marRight w:val="0"/>
                      <w:marTop w:val="0"/>
                      <w:marBottom w:val="0"/>
                      <w:divBdr>
                        <w:top w:val="none" w:sz="0" w:space="0" w:color="auto"/>
                        <w:left w:val="none" w:sz="0" w:space="0" w:color="auto"/>
                        <w:bottom w:val="none" w:sz="0" w:space="0" w:color="auto"/>
                        <w:right w:val="none" w:sz="0" w:space="0" w:color="auto"/>
                      </w:divBdr>
                      <w:divsChild>
                        <w:div w:id="1246499359">
                          <w:marLeft w:val="0"/>
                          <w:marRight w:val="0"/>
                          <w:marTop w:val="0"/>
                          <w:marBottom w:val="0"/>
                          <w:divBdr>
                            <w:top w:val="none" w:sz="0" w:space="0" w:color="auto"/>
                            <w:left w:val="none" w:sz="0" w:space="0" w:color="auto"/>
                            <w:bottom w:val="none" w:sz="0" w:space="0" w:color="auto"/>
                            <w:right w:val="none" w:sz="0" w:space="0" w:color="auto"/>
                          </w:divBdr>
                        </w:div>
                        <w:div w:id="2087140559">
                          <w:marLeft w:val="0"/>
                          <w:marRight w:val="0"/>
                          <w:marTop w:val="0"/>
                          <w:marBottom w:val="0"/>
                          <w:divBdr>
                            <w:top w:val="none" w:sz="0" w:space="0" w:color="auto"/>
                            <w:left w:val="none" w:sz="0" w:space="0" w:color="auto"/>
                            <w:bottom w:val="none" w:sz="0" w:space="0" w:color="auto"/>
                            <w:right w:val="none" w:sz="0" w:space="0" w:color="auto"/>
                          </w:divBdr>
                          <w:divsChild>
                            <w:div w:id="1526478641">
                              <w:marLeft w:val="0"/>
                              <w:marRight w:val="165"/>
                              <w:marTop w:val="150"/>
                              <w:marBottom w:val="0"/>
                              <w:divBdr>
                                <w:top w:val="none" w:sz="0" w:space="0" w:color="auto"/>
                                <w:left w:val="none" w:sz="0" w:space="0" w:color="auto"/>
                                <w:bottom w:val="none" w:sz="0" w:space="0" w:color="auto"/>
                                <w:right w:val="none" w:sz="0" w:space="0" w:color="auto"/>
                              </w:divBdr>
                              <w:divsChild>
                                <w:div w:id="1536426947">
                                  <w:marLeft w:val="0"/>
                                  <w:marRight w:val="0"/>
                                  <w:marTop w:val="0"/>
                                  <w:marBottom w:val="0"/>
                                  <w:divBdr>
                                    <w:top w:val="none" w:sz="0" w:space="0" w:color="auto"/>
                                    <w:left w:val="none" w:sz="0" w:space="0" w:color="auto"/>
                                    <w:bottom w:val="none" w:sz="0" w:space="0" w:color="auto"/>
                                    <w:right w:val="none" w:sz="0" w:space="0" w:color="auto"/>
                                  </w:divBdr>
                                  <w:divsChild>
                                    <w:div w:id="10575557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E445-A953-44CD-9DB9-768E035A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冠廷 駱</dc:creator>
  <cp:keywords/>
  <dc:description/>
  <cp:lastModifiedBy>冠維 賴</cp:lastModifiedBy>
  <cp:revision>8</cp:revision>
  <dcterms:created xsi:type="dcterms:W3CDTF">2020-01-10T17:00:00Z</dcterms:created>
  <dcterms:modified xsi:type="dcterms:W3CDTF">2021-04-18T06:57:00Z</dcterms:modified>
</cp:coreProperties>
</file>