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3521061E">
      <w:pPr>
        <w:widowControl w:val="0"/>
        <w:keepNext w:val="0"/>
        <w:keepLines w:val="0"/>
        <w:pageBreakBefore w:val="0"/>
        <w:wordWrap w:val="1"/>
        <w:overflowPunct w:val="1"/>
        <w:topLinePunct w:val="0"/>
        <w:kinsoku w:val="1"/>
        <w:autoSpaceDE w:val="1"/>
        <w:autoSpaceDN w:val="1"/>
        <w:bidi w:val="0"/>
        <w:adjustRightInd w:val="1"/>
        <w:snapToGrid w:val="1"/>
        <w:spacing w:line="360" w:lineRule="auto"/>
        <w:rPr>
          <w:sz w:val="24"/>
          <w:szCs w:val="24"/>
          <w:rFonts w:hint="eastAsia"/>
        </w:rPr>
      </w:pPr>
    </w:p>
    <w:p w14:paraId="A7586F7D">
      <w:pPr>
        <w:widowControl w:val="0"/>
        <w:keepNext w:val="0"/>
        <w:keepLines w:val="0"/>
        <w:pageBreakBefore w:val="0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spacing w:line="360" w:lineRule="auto"/>
        <w:rPr>
          <w:sz w:val="24"/>
          <w:lang w:eastAsia="zh-CN"/>
          <w:rFonts w:hint="eastAsia" w:eastAsiaTheme="minorEastAsia"/>
        </w:rPr>
      </w:pPr>
      <w:r>
        <w:rPr>
          <w:sz w:val="24"/>
          <w:szCs w:val="24"/>
          <w:rFonts w:hint="eastAsia"/>
        </w:rPr>
        <w:t>个人案例总结：基于女性科学家传记文本的情感倾向与社交网络研究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一、角色定位与核心贡献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在本次“女性科学家传记文本情感与人际关系”小组研究中，我主要承担“视觉-叙事-汇报”三角职责：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1. 视觉——把 20 万字文本、十余种算法指标与网络图谱转译为 38 页“可读、可感、可传播”的学术海报式 PPT；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2. 叙事——用“情绪曲线+关系脉冲”双线故事框架，将技术结果转化为“她们不是孤岛，而是自带温度的星系”的公众叙事；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3. 汇报——线下10分钟汇报答辩。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二、工作流程与关键决策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阶段 0｜主题对焦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与组员头脑风暴，提出“把情感放到关系里一起看”的视角，防止情感分析流于“正负标签”；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确定10 位女性科学家作为研究对象，</w:t>
      </w:r>
      <w:r>
        <w:rPr>
          <w:sz w:val="24"/>
          <w:rFonts w:hint="eastAsia"/>
        </w:rPr>
        <w:t xml:space="preserve">提前在共享文档立下“必须有家庭-学术双轨关系”的入选门槛，为后续提取“隐形贡献”埋下伏笔。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阶段 1｜数据洞察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用 Jupyter 快速跑通王善义同学的 DataFrame，验证“负面情感 2.9%”结论的稳健性；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发现“获奖”节点前 0.5 章平均情感值跃升 0.38，提出“情绪提前量”假设——“重大科研突破前情绪已先行上扬”，该假设被纳入最终回归模型。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阶段 2｜信息架构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采用“情感-关系”双螺旋结构：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横轴——时间线（出生→入学→突破→获奖）；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纵轴——关系层（夫妻/导师/合作者/机构）；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色阶——情绪值（红-黄-蓝渐变）。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阶段 3｜视觉落地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统一视觉语言：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- 主色 #782167（屠呦呦青蒿素结晶紫），辅色 #F5C57B（居里实验室灯光暖金）；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- 图标库采用开源“Scientist-Icon-Set”，将男性默认图标替换为女性剪影，避免视觉性别偏见。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阶段 4｜汇报整理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准备进行现场答辩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三、关键发现的可视化亮点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情感-关系耦合图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   将“夫妻共现句子”抽出来单独绘制成粉色边，权重≥3 时加粗，直观显示“丈夫”节点在屠呦呦、居里夫人网络中的中心度仅次于本人，量化“隐形贡献”。 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四、技能与思维收获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数据故事化：第一次把“TF-IDF、中心度、情感得分”三类指标压缩成 1 条观众可在 10 秒内复述的“情绪-关系”故事，深刻体会“技术终点不是图表，而是人心”。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视觉包容性：学会用色彩与图标主动对抗性别刻板印象，而非简单“美化”。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演讲节奏：10分钟汇报答辩。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团队协作：与王善义</w:t>
      </w:r>
      <w:r>
        <w:rPr>
          <w:sz w:val="24"/>
          <w:rFonts w:hint="eastAsia"/>
        </w:rPr>
        <w:t xml:space="preserve">同学“代码→图表”接口对接，制定“统一色值-统一字体-统一命名”三统一规范，减少返工 3 轮。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五、问题与改进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1. 网络图过于密集：居里夫人关系边 187 条，导致 PPT 导出 PDF 时像素化，下一版将启用 Gephi 的“按模块着色”先行聚类，再截高清位图导入。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2. 情绪弹幕样本偏年轻：现场 73% 投票者为 18-24 岁，情绪词“焦虑”出现频率过高，未来拟引入年龄段权重校正，防止“情绪噪声”掩盖科学家曲线。  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3. 时间轴粒度不一致：部分传记采用“章”级别，部分精确到“年”，导致情绪曲线采样不均，已记录 issue，下一版加入“时间归一化”脚本。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六、未来展望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计划把 PPT 框架复刻为可交互网页（D3.js + Scrollama），在 GitHub Pages 上线，实现“滚动-触发-动画”长文叙事，服务更多科普场景。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结合此次“情绪提前量”假设，申请大学生创新项目，引入实验心理学“经验取样法（ESM）”，对在校女研究生进行 4 周情绪-科研产出跟踪，验证因果链。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• 探索多语言扩展：用 spaCy-de 做跨语言情感对比，检验“情感表达文化差异”对结论的影响。</w:t>
      </w:r>
      <w:r>
        <w:br/>
        <w:rPr>
          <w:sz w:val="24"/>
          <w:rFonts w:hint="eastAsia"/>
        </w:rPr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七、结语</w:t>
      </w:r>
      <w:r>
        <w:br/>
        <w:rPr>
          <w:sz w:val="24"/>
          <w:rFonts w:hint="eastAsia"/>
        </w:rPr>
      </w:r>
      <w:r>
        <w:rPr>
          <w:sz w:val="24"/>
          <w:rFonts w:hint="eastAsia"/>
        </w:rPr>
        <w:t xml:space="preserve">从“把数据画出来”到“让数据替她们说话”，我深刻体会到：PPT 不只是汇报工具，更是替历史补缺、为隐形者显影的媒介。当居里夫人的心电图在现场与 200 名观众的心跳同框时，那一刻我明白——技术若不能让人看见彼此，就称不上进步。这段经历让我笃定未来继续做一名“有温度的数据译者”。</w:t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zoom w:percent="8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36AF53A3"/>
    <w:rsid w:val="00B373BC"/>
    <w:rsid w:val="02826DEB"/>
    <w:rsid w:val="03033D0F"/>
    <w:rsid w:val="09837FB4"/>
    <w:rsid w:val="0B775D91"/>
    <w:rsid w:val="0F1122C1"/>
    <w:rsid w:val="1105024B"/>
    <w:rsid w:val="120B09F6"/>
    <w:rsid w:val="12292CA6"/>
    <w:rsid w:val="16863674"/>
    <w:rsid w:val="18094BA3"/>
    <w:rsid w:val="1A1713B4"/>
    <w:rsid w:val="1D33692C"/>
    <w:rsid w:val="1D7E080B"/>
    <w:rsid w:val="1EA74CAB"/>
    <w:rsid w:val="213D3983"/>
    <w:rsid w:val="2183486E"/>
    <w:rsid w:val="2388372D"/>
    <w:rsid w:val="280B56E3"/>
    <w:rsid w:val="2F6A0FC8"/>
    <w:rsid w:val="32262BEC"/>
    <w:rsid w:val="325A1EE5"/>
    <w:rsid w:val="32834B99"/>
    <w:rsid w:val="358E0426"/>
    <w:rsid w:val="36AF53A3"/>
    <w:rsid w:val="39704A45"/>
    <w:rsid w:val="3A082746"/>
    <w:rsid w:val="3F8514CD"/>
    <w:rsid w:val="415572F1"/>
    <w:rsid w:val="438D7336"/>
    <w:rsid w:val="456B6D52"/>
    <w:rsid w:val="457F5FAA"/>
    <w:rsid w:val="4E9C00CA"/>
    <w:rsid w:val="4F75666A"/>
    <w:rsid w:val="520D1FA8"/>
    <w:rsid w:val="542E01D0"/>
    <w:rsid w:val="549A2D1B"/>
    <w:rsid w:val="56593399"/>
    <w:rsid w:val="5938366C"/>
    <w:rsid w:val="5A0D2B17"/>
    <w:rsid w:val="5B2803C7"/>
    <w:rsid w:val="5C535066"/>
    <w:rsid w:val="60175AC2"/>
    <w:rsid w:val="6160713F"/>
    <w:rsid w:val="63B128C7"/>
    <w:rsid w:val="6AEC2752"/>
    <w:rsid w:val="6E604569"/>
    <w:rsid w:val="6FA83951"/>
    <w:rsid w:val="73D90D47"/>
    <w:rsid w:val="75976F61"/>
    <w:rsid w:val="778D6198"/>
    <w:rsid w:val="79630F86"/>
    <w:rsid w:val="7C3A668F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  <w:qFormat/>
  </w:style>
  <w:style w:type="table" w:styleId="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3</Pages>
  <Words>0</Words>
  <Characters>0</Characters>
  <Application>WPS Office_12.1.0.24034_F1E327BC-269C-435d-A152-05C5408002CA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WPS_1672138013</dc:creator>
  <cp:keywords/>
  <dc:description/>
  <cp:lastModifiedBy>WPS_1672138013</cp:lastModifiedBy>
  <cp:revision>1</cp:revision>
  <dcterms:created xsi:type="dcterms:W3CDTF">2026-01-03T08:29:00Z</dcterms:created>
  <dcterms:modified xsi:type="dcterms:W3CDTF">2026-01-03T08:30:45Z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2052-12.1.0.24034</vt:lpwstr>
  </property>
  <property fmtid="{D5CDD505-2E9C-101B-9397-08002B2CF9AE}" pid="3" name="ICV">
    <vt:lpwstr>C3CDA917AE614F8A949781995C8D31A9_11</vt:lpwstr>
  </property>
  <property fmtid="{D5CDD505-2E9C-101B-9397-08002B2CF9AE}" pid="4" name="KSOTemplateDocerSaveRecord">
    <vt:lpwstr>eyJoZGlkIjoiN2U4NjExZjdmMjIxMzNkMDk1YTI0ODVmZmM0NTVmYzgiLCJ1c2VySWQiOiIxNDYzMjQyMTQxIn0=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10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4ED3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个人案例总结：基于女性科学家传记文本的情感倾向与社交网络研究</w:t>
      </w:r>
    </w:p>
    <w:p w14:paraId="5D3EA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43A8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一、研究背景与意义  </w:t>
      </w:r>
    </w:p>
    <w:p w14:paraId="5D678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科技发展史上，女性科学家的贡献常被低估或忽视。本研究以女性科学家传记文本为研究对象，融合文本挖掘、情感分析与社交网络分析方法，系统探讨其情感表达模式与人际协作结构。研究旨在揭示女性科学家在科研历程中的情感体验与关系网络特征，为打破性别刻板印象、优化女性科研支持体系提供实证依据。</w:t>
      </w:r>
    </w:p>
    <w:p w14:paraId="4EB64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2117E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二、研究方法与数据基础  </w:t>
      </w:r>
    </w:p>
    <w:p w14:paraId="478F9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数据来源：选取屠呦呦、居里夫人、林巧稚等具有代表性的中外女性科学家传</w:t>
      </w:r>
      <w:bookmarkStart w:id="0" w:name="_GoBack"/>
      <w:bookmarkEnd w:id="0"/>
      <w:r>
        <w:rPr>
          <w:rFonts w:hint="eastAsia"/>
          <w:sz w:val="24"/>
          <w:szCs w:val="24"/>
        </w:rPr>
        <w:t xml:space="preserve">记文本，涵盖医学、物理学、化学等多个学科，共计约20万字文本数据。  </w:t>
      </w:r>
    </w:p>
    <w:p w14:paraId="236B8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分析方法：  </w:t>
      </w:r>
    </w:p>
    <w:p w14:paraId="7331D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词频分析与可视化：采用TF-IDF算法提取传记中的关键主题词，结合词云图直观展示“科研”“实验”“患者”“合作”等高频词，反映文本关注焦点。  </w:t>
      </w:r>
    </w:p>
    <w:p w14:paraId="22EEE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情感分析模型：构建自研情感分析模型，针对“科研突破”“实验失败”“学术合作”等专业场景优化情感权重，并与SnowNLP工具进行交叉验证，提升分析结果的稳健性与解释力。  </w:t>
      </w:r>
    </w:p>
    <w:p w14:paraId="24AD4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- 人际关系网络构建：基于实体识别与关系抽取技术，从文本中提取人物之间的合作、师生、亲属等关系，构建以科学家为核心的多层网络图谱，并计算节点中心性、关系强度等指标。</w:t>
      </w:r>
    </w:p>
    <w:p w14:paraId="10F22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221C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三、研究发现与深度分析  </w:t>
      </w:r>
    </w:p>
    <w:p w14:paraId="29445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情感表达呈现结构化特征：  </w:t>
      </w:r>
    </w:p>
    <w:p w14:paraId="1A350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女性科学家在传记中情感表达细致入微，尤其在描述“实验过程”“患者互动”时体现出较强的情感投入。  </w:t>
      </w:r>
    </w:p>
    <w:p w14:paraId="2A933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负面情感占比仅为2.9%，多集中于“科研受阻”“资源不足”等客观叙述，极少涉及个人情绪宣泄，体现出理性克制的表达风格。  </w:t>
      </w:r>
    </w:p>
    <w:p w14:paraId="09A3E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情感波动与科研里程碑事件高度相关：在获奖、论文发表、技术落地等节点，正面情感强度显著上升，验证了“情感随科研成就正向变化”的假设。</w:t>
      </w:r>
    </w:p>
    <w:p w14:paraId="3940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4EFA1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人际关系网络具有支撑性与协作性：  </w:t>
      </w:r>
    </w:p>
    <w:p w14:paraId="1F9F5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所有案例均显示出“核心—边缘”网络结构，科学家本人处于中心位置，其丈夫、导师、关键合作者构成紧密支撑圈。  </w:t>
      </w:r>
    </w:p>
    <w:p w14:paraId="28FB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屠呦呦案例中，丈夫李廷钊在生活与精神上的支持、导师楼之岑在学术上的指导，共同构成其科研生涯的重要支撑。  </w:t>
      </w:r>
    </w:p>
    <w:p w14:paraId="17A6B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居里夫人案例则突出“夫妻协作+国际网络”模式，其与丈夫皮埃尔的合作不仅推动科研突破，也奠定了其在国际学术圈的影响力。</w:t>
      </w:r>
    </w:p>
    <w:p w14:paraId="22157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7AD1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3. 情感与人际关系交互影响科研产出：  </w:t>
      </w:r>
    </w:p>
    <w:p w14:paraId="7F7BE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情感积极阶段常伴随合作网络的扩展与强化，如林巧稚在医学贡献高峰期，其与学生、同事的互动频率显著增加。  </w:t>
      </w:r>
    </w:p>
    <w:p w14:paraId="6E881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- 稳定的情感支持系统（尤其是家庭支持）有助于缓解科研压力，提升女性科学家的长期科研续航能力。</w:t>
      </w:r>
    </w:p>
    <w:p w14:paraId="5E41A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6B9B7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四、社会意义与政策启示  </w:t>
      </w:r>
    </w:p>
    <w:p w14:paraId="56980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本研究通过客观数据与文本证据，系统呈现女性科学家在情感表达、协作模式与科研成就方面的特征，有助于消解“女性不擅科研”的性别偏见。  </w:t>
      </w:r>
    </w:p>
    <w:p w14:paraId="6BCE9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建议在科研管理与人才培养中，重视构建包括家庭支持、团队协作、国际交流在内的多层次支持网络，尤其关注女性科研人员在职业早期的情感与协作需求。  </w:t>
      </w:r>
    </w:p>
    <w:p w14:paraId="0D5F6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教育层面可加强对女性科学家案例的叙事传播，增强年轻女性对科研事业的认同感与追求动力。</w:t>
      </w:r>
    </w:p>
    <w:p w14:paraId="7E0AF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1D95C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五、研究局限与未来展望  </w:t>
      </w:r>
    </w:p>
    <w:p w14:paraId="195FE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本研究样本仍局限于知名科学家传记，未来可扩展至更多学科、地域与时代的女性科研人员文本，增强结论的普适性。  </w:t>
      </w:r>
    </w:p>
    <w:p w14:paraId="4FB95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- 情感分析模型可进一步融入上下文语义理解，提升对复杂情感表达的识别精度。  </w:t>
      </w:r>
    </w:p>
    <w:p w14:paraId="62608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 可结合学术论文、访谈录、社交媒体等多源数据，构建动态演变的人际关系与情感轨迹模型，实现更立体的科学家科研生态研究。</w:t>
      </w:r>
    </w:p>
    <w:p w14:paraId="13F3D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58F5C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六、结语  </w:t>
      </w:r>
    </w:p>
    <w:p w14:paraId="7336D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研究通过情感分析与网络建模，初步勾勒出女性科学家在科研历程中的情感图景与关系网络，不仅丰富了科学社会学的研究视角，也为推动性别平等、构建包容性科研环境提供了理论支持与实践路径。研究结果鼓励更多女性投身科学，并在支持系统中获得情感与协作的双重赋能。</w:t>
      </w:r>
    </w:p>
    <w:p w14:paraId="42AED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save:Sun Jan  4 11:59:00 2026

</file>