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通过程序来查看C语言中的数据类型长度：sizeof(数据类型)---&gt;返回类型长度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428740" cy="3285490"/>
                  <wp:effectExtent l="0" t="0" r="10160" b="1016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80890" cy="1666875"/>
                  <wp:effectExtent l="0" t="0" r="1016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0615" cy="3580765"/>
                  <wp:effectExtent l="0" t="0" r="635" b="6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变量与常量在命名时，可以包含数字、字母、下划线，但是不能够以数字开头；同时变量在取名字时需要避开系统的关键字。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655" cy="5269865"/>
                  <wp:effectExtent l="0" t="0" r="10795" b="698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526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3418840"/>
                  <wp:effectExtent l="0" t="0" r="12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+（加法）、-(减法)、*(乘法)、/(除法)、取余(%)、自增(++)、自减(--)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345" cy="4841875"/>
                  <wp:effectExtent l="0" t="0" r="1905" b="1587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345" cy="484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6343015" cy="522859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522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算术表达式：通过算术运算符连接起来的式子称之为算术表达式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关系运算符(比较运算符)与关系表达式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&gt;(大于)、&gt;=(大于等于)、&lt;(小于)、&lt;=(小于等于)、==(等于)、不等于(!=)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语法规则：数据1 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关系运算符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数据2----&gt;返回值要么为1要么为0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104505" cy="3961765"/>
                  <wp:effectExtent l="0" t="0" r="10795" b="63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505" cy="396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逻辑运算符与逻辑表达式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常用的逻辑运算符：与(&amp;&amp;)、或(||)、非(!)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语法规则：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&amp;&amp; 条件2：当条件1与条件2同时为真(1)，最终结果才为真；否则为0(假)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|| 条件2：当条件1与条件2同时为假(0)，最终结果才为假;条件1与条件2只要有一个为真，最终结果就为真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!条件：如果条件为1，则结果为0；如果条件为0，则结果为1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390255" cy="3904615"/>
                  <wp:effectExtent l="0" t="0" r="10795" b="635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255" cy="390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43140" cy="4618990"/>
                  <wp:effectExtent l="0" t="0" r="10160" b="1016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40" cy="461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第一种：if选择结构,语法规则：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(条件){代码块}，如果条件为真(1)则执行代码块，否则不执行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62040" cy="3066415"/>
                  <wp:effectExtent l="0" t="0" r="10160" b="63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第二种：if...else选择结构，语法规则: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(条件){代码块1}else{代码2}，如果条件为1则执行代码块1，否则执行代码块2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71715" cy="3418840"/>
                  <wp:effectExtent l="0" t="0" r="635" b="1016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715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第三种结构：else ...if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4914265"/>
                  <wp:effectExtent l="0" t="0" r="1270" b="635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第四种：switch结构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33590" cy="4104640"/>
                  <wp:effectExtent l="0" t="0" r="10160" b="1016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590" cy="410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第一种循环结构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while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语法规则:while(条件){代码块;循环结束条件;},永远是先判断条件是否为真，如果为真则执行代码块。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不可达代码：在死循环后面的代码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533640" cy="3152140"/>
                  <wp:effectExtent l="0" t="0" r="10160" b="1016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315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带终止条件的while循环(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)：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047355" cy="2971165"/>
                  <wp:effectExtent l="0" t="0" r="10795" b="63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355" cy="297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break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的while循环：break可以提前终止while循环，不能够终止整个程序</w:t>
            </w:r>
          </w:p>
          <w:p>
            <w:r>
              <w:drawing>
                <wp:inline distT="0" distB="0" distL="114300" distR="114300">
                  <wp:extent cx="7200265" cy="4247515"/>
                  <wp:effectExtent l="0" t="0" r="635" b="63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265" cy="424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76290" cy="3409315"/>
                  <wp:effectExtent l="0" t="0" r="10160" b="635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90" cy="340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带continue的while循环：跳过本次循环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904480" cy="5038090"/>
                  <wp:effectExtent l="0" t="0" r="1270" b="1016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503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第二种循环结构：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do...while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语法规则：do{代码块;终止条件}while(条件);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266940" cy="3876040"/>
                  <wp:effectExtent l="0" t="0" r="10160" b="1016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940" cy="387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第三种循环结构：for循环(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语法规则：for(初识化表达式;循环条件;条件终止表达式){代码块;}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742555" cy="3047365"/>
                  <wp:effectExtent l="0" t="0" r="10795" b="635"/>
                  <wp:docPr id="3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555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其他说明：for循环中可以使用break与continue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for循环中可以同时有多个初始化表达式：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8190230" cy="2628265"/>
                  <wp:effectExtent l="0" t="0" r="1270" b="635"/>
                  <wp:docPr id="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230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lang w:val="en-US" w:eastAsia="zh-CN"/>
              </w:rPr>
              <w:t>for循环中的死循环</w:t>
            </w: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：3个表达式都不写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323715" cy="1228725"/>
                  <wp:effectExtent l="0" t="0" r="635" b="9525"/>
                  <wp:docPr id="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省略终止条件表达式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3340" cy="2666365"/>
                  <wp:effectExtent l="0" t="0" r="10160" b="635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2666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省略掉条件表达式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780915" cy="2524125"/>
                  <wp:effectExtent l="0" t="0" r="635" b="9525"/>
                  <wp:docPr id="3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409815" cy="4133215"/>
                  <wp:effectExtent l="0" t="0" r="635" b="635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5" cy="413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打印与录入字符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打印字符：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23915" cy="2533650"/>
                  <wp:effectExtent l="0" t="0" r="635" b="0"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91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录入字符：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19165" cy="3333115"/>
                  <wp:effectExtent l="0" t="0" r="635" b="635"/>
                  <wp:docPr id="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65" cy="333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嵌套for循环(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）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数组的语法规则(先声明，再赋值)：数据类型 数组名[数组长度];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attr1[3];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attr1[0]=20;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attr1[1]=30;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attr1[2]=40;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printf("attr1[0]=%d\n",attr1[2]);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数组的语法规则(边声明边赋值)：数据类型 数组名[数组长度]={数值1,数值2,数值3...};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attr2[3]={1,2,3};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i=0;i&lt;=2;i++){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printf("attr2[%d]=%d\n",i,attr2[i]);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计算数据类型的长度：sizeOf(数据类型/数组名):返回的是字节长度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找出数组中的最大值：打擂台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attr1[4];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printf("请输入4家店的价格：\n");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i=1;i&lt;=4;i++){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printf("第%d家店的价格:",i);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scanf("%d",&amp;attr1[i-1]);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//找最大值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int max=attr1[0];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j=1;j&lt;=3;j++){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if(max&lt;attr1[j]){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    max=attr1[j];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printf("最大值：%d\n",max);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找最小值：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//最小值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int min=attr1[0];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k=1;k&lt;=3;k++){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if(min&gt;attr1[k]){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    min=attr1[k];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printf("最小值：%d",min);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键盘录入字符串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ch[10];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printf("请输入一个字符串:");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scanf("%s",&amp;ch);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printf("录入的字符串为：%s\n",ch);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//遍历char类型的数组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for(int i=1;i&lt;=10;i++){//乱码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printf("%c\t",ch[i-1]);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排序(冒泡排序)(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894955" cy="3285490"/>
                  <wp:effectExtent l="0" t="0" r="10795" b="10160"/>
                  <wp:docPr id="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955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函数: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定义函数的基本语法规则：返回值类型 函数名(参数类型1 参数名1,参数类型2 参数名2...){函数体;}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5485765" cy="3314065"/>
                  <wp:effectExtent l="0" t="0" r="635" b="635"/>
                  <wp:docPr id="3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65" cy="331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59B6C1"/>
    <w:multiLevelType w:val="singleLevel"/>
    <w:tmpl w:val="5A59B6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5AD5F7"/>
    <w:multiLevelType w:val="singleLevel"/>
    <w:tmpl w:val="5A5AD5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442C"/>
    <w:rsid w:val="00CE6CE3"/>
    <w:rsid w:val="02460905"/>
    <w:rsid w:val="026E2255"/>
    <w:rsid w:val="026F3D3D"/>
    <w:rsid w:val="027860A8"/>
    <w:rsid w:val="02B352F7"/>
    <w:rsid w:val="03F506A9"/>
    <w:rsid w:val="04F44C2C"/>
    <w:rsid w:val="058B5737"/>
    <w:rsid w:val="07332968"/>
    <w:rsid w:val="078F721B"/>
    <w:rsid w:val="07E54132"/>
    <w:rsid w:val="081A5ABF"/>
    <w:rsid w:val="08A149BA"/>
    <w:rsid w:val="08A165F3"/>
    <w:rsid w:val="08EA6828"/>
    <w:rsid w:val="093C51C4"/>
    <w:rsid w:val="098E47EF"/>
    <w:rsid w:val="0A425609"/>
    <w:rsid w:val="0B2C2AAA"/>
    <w:rsid w:val="0B46673E"/>
    <w:rsid w:val="0B756888"/>
    <w:rsid w:val="0BA55DF8"/>
    <w:rsid w:val="0BCC4729"/>
    <w:rsid w:val="0C962008"/>
    <w:rsid w:val="0CB335D0"/>
    <w:rsid w:val="104D47EE"/>
    <w:rsid w:val="10D0757B"/>
    <w:rsid w:val="10D34DBE"/>
    <w:rsid w:val="10F8539F"/>
    <w:rsid w:val="116A2697"/>
    <w:rsid w:val="11FC1CC4"/>
    <w:rsid w:val="12006F79"/>
    <w:rsid w:val="122A2F1A"/>
    <w:rsid w:val="135A6CFF"/>
    <w:rsid w:val="13D46929"/>
    <w:rsid w:val="13E47EED"/>
    <w:rsid w:val="15644F1D"/>
    <w:rsid w:val="156A1BAF"/>
    <w:rsid w:val="15D35684"/>
    <w:rsid w:val="16495A21"/>
    <w:rsid w:val="165D07E4"/>
    <w:rsid w:val="1666259E"/>
    <w:rsid w:val="16A80094"/>
    <w:rsid w:val="175504CE"/>
    <w:rsid w:val="17F05ADB"/>
    <w:rsid w:val="1803676B"/>
    <w:rsid w:val="18283C83"/>
    <w:rsid w:val="185E5377"/>
    <w:rsid w:val="19284F38"/>
    <w:rsid w:val="19E80C25"/>
    <w:rsid w:val="1A112E15"/>
    <w:rsid w:val="1A120C67"/>
    <w:rsid w:val="1AE72CCB"/>
    <w:rsid w:val="1B2F7F28"/>
    <w:rsid w:val="1BAA1EB7"/>
    <w:rsid w:val="1C8227A8"/>
    <w:rsid w:val="1C957D6F"/>
    <w:rsid w:val="1D1B5114"/>
    <w:rsid w:val="1D4D776F"/>
    <w:rsid w:val="1E926DF8"/>
    <w:rsid w:val="1EBB4FEA"/>
    <w:rsid w:val="1F77625F"/>
    <w:rsid w:val="1F887263"/>
    <w:rsid w:val="20CF6240"/>
    <w:rsid w:val="20DC6FDC"/>
    <w:rsid w:val="2169018F"/>
    <w:rsid w:val="217E0AB9"/>
    <w:rsid w:val="219E1C85"/>
    <w:rsid w:val="21A043DE"/>
    <w:rsid w:val="225B0DF8"/>
    <w:rsid w:val="22977338"/>
    <w:rsid w:val="22DE5208"/>
    <w:rsid w:val="23441593"/>
    <w:rsid w:val="236F6D68"/>
    <w:rsid w:val="23BE2FF6"/>
    <w:rsid w:val="23FE64B4"/>
    <w:rsid w:val="240C5641"/>
    <w:rsid w:val="241F0314"/>
    <w:rsid w:val="24866DAB"/>
    <w:rsid w:val="25644AD6"/>
    <w:rsid w:val="25D060CB"/>
    <w:rsid w:val="26A0432E"/>
    <w:rsid w:val="27394F13"/>
    <w:rsid w:val="286A262D"/>
    <w:rsid w:val="28C71DC4"/>
    <w:rsid w:val="28CB795B"/>
    <w:rsid w:val="29766F1D"/>
    <w:rsid w:val="2A6904E1"/>
    <w:rsid w:val="2ADA0AB4"/>
    <w:rsid w:val="2BAE140B"/>
    <w:rsid w:val="2BB912A8"/>
    <w:rsid w:val="2BC35010"/>
    <w:rsid w:val="2CFC3A42"/>
    <w:rsid w:val="2CFD303A"/>
    <w:rsid w:val="2D0630A4"/>
    <w:rsid w:val="2D113047"/>
    <w:rsid w:val="2D923485"/>
    <w:rsid w:val="2DE114DC"/>
    <w:rsid w:val="2ECC72D2"/>
    <w:rsid w:val="2EF1404A"/>
    <w:rsid w:val="2F9A7DB0"/>
    <w:rsid w:val="304A6E36"/>
    <w:rsid w:val="3063180C"/>
    <w:rsid w:val="30756D30"/>
    <w:rsid w:val="30982164"/>
    <w:rsid w:val="30A15E6D"/>
    <w:rsid w:val="31E94D93"/>
    <w:rsid w:val="3214438D"/>
    <w:rsid w:val="32B10C70"/>
    <w:rsid w:val="331E2DB6"/>
    <w:rsid w:val="33942124"/>
    <w:rsid w:val="33EA654E"/>
    <w:rsid w:val="34034163"/>
    <w:rsid w:val="34A54307"/>
    <w:rsid w:val="35DB069C"/>
    <w:rsid w:val="36C66061"/>
    <w:rsid w:val="37E10A30"/>
    <w:rsid w:val="380F34CF"/>
    <w:rsid w:val="38192B64"/>
    <w:rsid w:val="381F2E2B"/>
    <w:rsid w:val="38992A7E"/>
    <w:rsid w:val="392A5A30"/>
    <w:rsid w:val="392E3064"/>
    <w:rsid w:val="39A83F1E"/>
    <w:rsid w:val="3B427651"/>
    <w:rsid w:val="3B4B5725"/>
    <w:rsid w:val="3BD602CB"/>
    <w:rsid w:val="3E8207B1"/>
    <w:rsid w:val="3F63311D"/>
    <w:rsid w:val="40D111B6"/>
    <w:rsid w:val="40EF7E89"/>
    <w:rsid w:val="41605A1E"/>
    <w:rsid w:val="42410094"/>
    <w:rsid w:val="44437FBE"/>
    <w:rsid w:val="45987841"/>
    <w:rsid w:val="46B11A73"/>
    <w:rsid w:val="47152B16"/>
    <w:rsid w:val="473B5AE5"/>
    <w:rsid w:val="47C8595F"/>
    <w:rsid w:val="483C6A16"/>
    <w:rsid w:val="486871ED"/>
    <w:rsid w:val="48B63BB2"/>
    <w:rsid w:val="48B84081"/>
    <w:rsid w:val="48E4000C"/>
    <w:rsid w:val="48F938A5"/>
    <w:rsid w:val="48FD5DF4"/>
    <w:rsid w:val="49033A36"/>
    <w:rsid w:val="49C54E0E"/>
    <w:rsid w:val="4A005AAF"/>
    <w:rsid w:val="4AC239C0"/>
    <w:rsid w:val="4B747468"/>
    <w:rsid w:val="4C086BDB"/>
    <w:rsid w:val="4C0D33BC"/>
    <w:rsid w:val="4D59230A"/>
    <w:rsid w:val="4E2F544A"/>
    <w:rsid w:val="4E7D5F62"/>
    <w:rsid w:val="4F280F04"/>
    <w:rsid w:val="51C11C94"/>
    <w:rsid w:val="527C71C2"/>
    <w:rsid w:val="52816B30"/>
    <w:rsid w:val="52FB44C9"/>
    <w:rsid w:val="538C776C"/>
    <w:rsid w:val="5394007B"/>
    <w:rsid w:val="54731476"/>
    <w:rsid w:val="550D0B37"/>
    <w:rsid w:val="55523C02"/>
    <w:rsid w:val="55706612"/>
    <w:rsid w:val="557F7235"/>
    <w:rsid w:val="56B44F58"/>
    <w:rsid w:val="57EF2C95"/>
    <w:rsid w:val="58354C32"/>
    <w:rsid w:val="58D73CB8"/>
    <w:rsid w:val="595C7AB8"/>
    <w:rsid w:val="59A30A32"/>
    <w:rsid w:val="59B9566D"/>
    <w:rsid w:val="59C60D9F"/>
    <w:rsid w:val="59D00EDB"/>
    <w:rsid w:val="59F428AF"/>
    <w:rsid w:val="5A31366E"/>
    <w:rsid w:val="5A9E06CB"/>
    <w:rsid w:val="5B0A6B00"/>
    <w:rsid w:val="5B133330"/>
    <w:rsid w:val="5B9E46C6"/>
    <w:rsid w:val="5BCA5CDA"/>
    <w:rsid w:val="5C8C4D0C"/>
    <w:rsid w:val="5D9E2203"/>
    <w:rsid w:val="5DF91D51"/>
    <w:rsid w:val="5ED31A62"/>
    <w:rsid w:val="5F8A1CE7"/>
    <w:rsid w:val="6136197A"/>
    <w:rsid w:val="64053A11"/>
    <w:rsid w:val="647F0065"/>
    <w:rsid w:val="65153F9A"/>
    <w:rsid w:val="657C5380"/>
    <w:rsid w:val="65837AD1"/>
    <w:rsid w:val="65EB3964"/>
    <w:rsid w:val="66B074D8"/>
    <w:rsid w:val="66C71419"/>
    <w:rsid w:val="67821BAB"/>
    <w:rsid w:val="67FA343F"/>
    <w:rsid w:val="68D4579D"/>
    <w:rsid w:val="68F65A6F"/>
    <w:rsid w:val="690D2A19"/>
    <w:rsid w:val="69500130"/>
    <w:rsid w:val="69BF28FD"/>
    <w:rsid w:val="6BB53D1D"/>
    <w:rsid w:val="6BC77D48"/>
    <w:rsid w:val="6C3C5B97"/>
    <w:rsid w:val="6D6044E8"/>
    <w:rsid w:val="6E3B7D40"/>
    <w:rsid w:val="6FCF41EB"/>
    <w:rsid w:val="70D026DC"/>
    <w:rsid w:val="7126794D"/>
    <w:rsid w:val="72890A04"/>
    <w:rsid w:val="738E6E23"/>
    <w:rsid w:val="739976C2"/>
    <w:rsid w:val="74346825"/>
    <w:rsid w:val="75DD098B"/>
    <w:rsid w:val="769C7216"/>
    <w:rsid w:val="76A6179A"/>
    <w:rsid w:val="76B02D19"/>
    <w:rsid w:val="77DB626E"/>
    <w:rsid w:val="78135940"/>
    <w:rsid w:val="78935246"/>
    <w:rsid w:val="78E31EAE"/>
    <w:rsid w:val="78E81E95"/>
    <w:rsid w:val="78EA36F8"/>
    <w:rsid w:val="79E61ED5"/>
    <w:rsid w:val="7AFD34AF"/>
    <w:rsid w:val="7B907203"/>
    <w:rsid w:val="7BB275CA"/>
    <w:rsid w:val="7BF02349"/>
    <w:rsid w:val="7C127F3B"/>
    <w:rsid w:val="7C213A2B"/>
    <w:rsid w:val="7C6C71B3"/>
    <w:rsid w:val="7C853586"/>
    <w:rsid w:val="7D1D300F"/>
    <w:rsid w:val="7D9B18C1"/>
    <w:rsid w:val="7DFF6551"/>
    <w:rsid w:val="7E0C22CE"/>
    <w:rsid w:val="7F341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2018-01-20T04:05:58Z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