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34653" w14:textId="00168D20" w:rsidR="00F70CA3" w:rsidRDefault="00F70CA3" w:rsidP="00F70CA3">
      <w:pPr>
        <w:jc w:val="center"/>
        <w:rPr>
          <w:rFonts w:ascii="Times New Roman" w:eastAsia="宋体" w:hAnsi="Times New Roman" w:cs="Times New Roman"/>
          <w:b/>
          <w:bCs/>
          <w:color w:val="000000" w:themeColor="text1"/>
          <w:sz w:val="32"/>
          <w:szCs w:val="32"/>
        </w:rPr>
      </w:pPr>
      <w:bookmarkStart w:id="0" w:name="OLE_LINK1"/>
      <w:bookmarkStart w:id="1" w:name="OLE_LINK2"/>
      <w:r w:rsidRPr="00F70CA3">
        <w:rPr>
          <w:rFonts w:ascii="Times New Roman" w:eastAsia="宋体" w:hAnsi="Times New Roman" w:cs="Times New Roman"/>
          <w:b/>
          <w:bCs/>
          <w:color w:val="000000" w:themeColor="text1"/>
          <w:sz w:val="32"/>
          <w:szCs w:val="32"/>
        </w:rPr>
        <w:t xml:space="preserve">Crystal-amorphous </w:t>
      </w:r>
      <w:r w:rsidR="00B256CE">
        <w:rPr>
          <w:rFonts w:ascii="Times New Roman" w:eastAsia="宋体" w:hAnsi="Times New Roman" w:cs="Times New Roman" w:hint="eastAsia"/>
          <w:b/>
          <w:bCs/>
          <w:color w:val="000000" w:themeColor="text1"/>
          <w:sz w:val="32"/>
          <w:szCs w:val="32"/>
        </w:rPr>
        <w:t>in</w:t>
      </w:r>
      <w:r w:rsidR="00B256CE">
        <w:rPr>
          <w:rFonts w:ascii="Times New Roman" w:eastAsia="宋体" w:hAnsi="Times New Roman" w:cs="Times New Roman"/>
          <w:b/>
          <w:bCs/>
          <w:color w:val="000000" w:themeColor="text1"/>
          <w:sz w:val="32"/>
          <w:szCs w:val="32"/>
        </w:rPr>
        <w:t>terface induced by</w:t>
      </w:r>
      <w:r w:rsidRPr="00F70CA3">
        <w:rPr>
          <w:rFonts w:ascii="Times New Roman" w:eastAsia="宋体" w:hAnsi="Times New Roman" w:cs="Times New Roman"/>
          <w:b/>
          <w:bCs/>
          <w:color w:val="000000" w:themeColor="text1"/>
          <w:sz w:val="32"/>
          <w:szCs w:val="32"/>
        </w:rPr>
        <w:t xml:space="preserve"> graphene nano</w:t>
      </w:r>
      <w:r w:rsidR="00B256CE">
        <w:rPr>
          <w:rFonts w:ascii="Times New Roman" w:eastAsia="宋体" w:hAnsi="Times New Roman" w:cs="Times New Roman"/>
          <w:b/>
          <w:bCs/>
          <w:color w:val="000000" w:themeColor="text1"/>
          <w:sz w:val="32"/>
          <w:szCs w:val="32"/>
        </w:rPr>
        <w:t>-</w:t>
      </w:r>
      <w:r w:rsidRPr="00F70CA3">
        <w:rPr>
          <w:rFonts w:ascii="Times New Roman" w:eastAsia="宋体" w:hAnsi="Times New Roman" w:cs="Times New Roman"/>
          <w:b/>
          <w:bCs/>
          <w:color w:val="000000" w:themeColor="text1"/>
          <w:sz w:val="32"/>
          <w:szCs w:val="32"/>
        </w:rPr>
        <w:t>knot</w:t>
      </w:r>
    </w:p>
    <w:p w14:paraId="47108D69" w14:textId="53E9B00A" w:rsidR="004924E9" w:rsidRDefault="00840A88" w:rsidP="00650FBC">
      <w:pPr>
        <w:ind w:firstLineChars="270" w:firstLine="567"/>
        <w:rPr>
          <w:rFonts w:ascii="Times New Roman" w:hAnsi="Times New Roman" w:cs="Times New Roman"/>
          <w:color w:val="000000" w:themeColor="text1"/>
        </w:rPr>
      </w:pPr>
      <w:bookmarkStart w:id="2" w:name="_Hlk483402161"/>
      <w:bookmarkStart w:id="3" w:name="OLE_LINK3"/>
      <w:bookmarkEnd w:id="0"/>
      <w:bookmarkEnd w:id="1"/>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bookmarkEnd w:id="2"/>
      <w:bookmarkEnd w:id="3"/>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7F37F5E6" w:rsidR="004924E9" w:rsidRPr="00C07B53" w:rsidRDefault="00407523" w:rsidP="00BF196F">
      <w:pPr>
        <w:rPr>
          <w:rFonts w:ascii="Times New Roman" w:hAnsi="Times New Roman" w:cs="Times New Roman"/>
          <w:color w:val="000000" w:themeColor="text1"/>
        </w:rPr>
      </w:pPr>
      <w:bookmarkStart w:id="4" w:name="_Hlk483402259"/>
      <w:bookmarkStart w:id="5" w:name="OLE_LINK4"/>
      <w:bookmarkStart w:id="6" w:name="_GoBack"/>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m:t>
        </m:r>
      </m:oMath>
      <w:r w:rsidR="00381302" w:rsidRPr="00C07B53">
        <w:rPr>
          <w:rFonts w:ascii="Times New Roman" w:hAnsi="Times New Roman" w:cs="Times New Roman"/>
          <w:color w:val="000000" w:themeColor="text1"/>
        </w:rPr>
        <w:t xml:space="preserve"> </w:t>
      </w:r>
      <w:r w:rsidR="008816BB">
        <w:rPr>
          <w:rFonts w:ascii="Times New Roman" w:hAnsi="Times New Roman" w:cs="Times New Roman"/>
          <w:color w:val="000000" w:themeColor="text1"/>
        </w:rPr>
        <w:t>knot</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molecular dynamics</w:t>
      </w:r>
      <w:r w:rsidR="008816BB">
        <w:rPr>
          <w:rFonts w:ascii="Times New Roman" w:hAnsi="Times New Roman" w:cs="Times New Roman"/>
          <w:color w:val="000000" w:themeColor="text1"/>
        </w:rPr>
        <w:t xml:space="preserve"> ,amorphous</w:t>
      </w:r>
    </w:p>
    <w:bookmarkEnd w:id="4"/>
    <w:bookmarkEnd w:id="5"/>
    <w:bookmarkEnd w:id="6"/>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01D8DD65" w14:textId="76F1F4A9" w:rsidR="00B256CE" w:rsidRDefault="00B256CE" w:rsidP="00591142">
      <w:pPr>
        <w:ind w:firstLine="420"/>
        <w:rPr>
          <w:rFonts w:ascii="Times New Roman" w:hAnsi="Times New Roman" w:cs="Times New Roman"/>
          <w:color w:val="000000" w:themeColor="text1"/>
        </w:rPr>
      </w:pPr>
      <w:r w:rsidRPr="00B256CE">
        <w:rPr>
          <w:rFonts w:ascii="Times New Roman" w:hAnsi="Times New Roman" w:cs="Times New Roman"/>
          <w:color w:val="000000" w:themeColor="text1"/>
        </w:rPr>
        <w:t>Crystal-amorphous transition</w:t>
      </w:r>
    </w:p>
    <w:p w14:paraId="592A29B1" w14:textId="2D787979"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FD71BCC"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"previouslyFormattedCitation" : "&lt;sup&gt;1&lt;/sup&gt;"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up to 1m) graphene ribbon concluding a knot. Besides single knots, 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6C4F7206"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"&lt;sup&gt;2&lt;/sup&gt;"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5547B74D"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"5058-5064",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6869DD9"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 xml:space="preserve">describe the elastic properties. In the </w:t>
      </w:r>
      <w:r w:rsidR="00831D66" w:rsidRPr="00C07B53">
        <w:rPr>
          <w:rFonts w:ascii="Times New Roman" w:hAnsi="Times New Roman" w:cs="Times New Roman"/>
          <w:color w:val="000000" w:themeColor="text1"/>
        </w:rPr>
        <w:lastRenderedPageBreak/>
        <w:t>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"&lt;sup&gt;4&lt;/sup&gt;"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"the in : An easy way to calculate the shear viscosity of fluids. Florian", "author" : [ { "dropping-particle" : "", "family" : "M\u00fcller-Plathe", "given" : "F", "non-dropping-particle" : "", "parse-names" : false, "suffix" : "" } ], "container-title" : "Physical Review E", "id" : "ITEM-1", "issue" : "5", "issued" : { "date-parts" : [ [ "1999" ] ] }, "page" : "4894-4898", "title" : "Reversing the perturbation in nonequilibrium molecular dynamics: An easy way to calculate the shear \u2026", "type" : "article-journal", "volume" : "59" }, "uris" : [ "http://www.mendeley.com/documents/?uuid=dc9a03c1-cb80-4e7a-9ece-702b96b6c41d" ] } ], "mendeley" : { "formattedCitation" : "&lt;sup&gt;5&lt;/sup&gt;", "plainTextFormattedCitation" : "5", "previouslyFormattedCitation" : "&lt;sup&gt;5&lt;/sup&gt;"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37A05054"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"&lt;sup&gt;6&lt;/sup&gt;"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05977CF5"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2013CE1B"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22635D48"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C4E37E8" w14:textId="77777777" w:rsidR="00BD55EA" w:rsidRDefault="00BD55EA">
      <w:pPr>
        <w:autoSpaceDE w:val="0"/>
        <w:autoSpaceDN w:val="0"/>
        <w:adjustRightInd w:val="0"/>
        <w:jc w:val="left"/>
        <w:rPr>
          <w:rFonts w:ascii="Times New Roman" w:hAnsi="Times New Roman" w:cs="Times New Roman"/>
          <w:kern w:val="0"/>
          <w:sz w:val="24"/>
          <w:szCs w:val="24"/>
        </w:rPr>
      </w:pPr>
    </w:p>
    <w:p w14:paraId="6FC396A5"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Pr>
          <w:rFonts w:ascii="Times New Roman" w:hAnsi="Times New Roman" w:cs="Times New Roman"/>
          <w:kern w:val="0"/>
          <w:sz w:val="24"/>
          <w:szCs w:val="24"/>
        </w:rPr>
        <w:tab/>
        <w:t xml:space="preserve">Kagimura, R.; Mazzoni, M. S. C.; Chacham, H. </w:t>
      </w:r>
      <w:r>
        <w:rPr>
          <w:rFonts w:ascii="Times New Roman" w:hAnsi="Times New Roman" w:cs="Times New Roman"/>
          <w:i/>
          <w:iCs/>
          <w:kern w:val="0"/>
          <w:sz w:val="24"/>
          <w:szCs w:val="24"/>
        </w:rPr>
        <w:t>Phys. Rev. B - Condens. Matter Mater. Phys.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85</w:t>
      </w:r>
      <w:r>
        <w:rPr>
          <w:rFonts w:ascii="Times New Roman" w:hAnsi="Times New Roman" w:cs="Times New Roman"/>
          <w:kern w:val="0"/>
          <w:sz w:val="24"/>
          <w:szCs w:val="24"/>
        </w:rPr>
        <w:t xml:space="preserve"> (12), 1–4.</w:t>
      </w:r>
    </w:p>
    <w:p w14:paraId="3D773034"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Pr>
          <w:rFonts w:ascii="Times New Roman" w:hAnsi="Times New Roman" w:cs="Times New Roman"/>
          <w:kern w:val="0"/>
          <w:sz w:val="24"/>
          <w:szCs w:val="24"/>
        </w:rPr>
        <w:tab/>
        <w:t xml:space="preserve">Schelling, P. K.; Phillpot, S. R.; Keblinski, P.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2002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65</w:t>
      </w:r>
      <w:r>
        <w:rPr>
          <w:rFonts w:ascii="Times New Roman" w:hAnsi="Times New Roman" w:cs="Times New Roman"/>
          <w:kern w:val="0"/>
          <w:sz w:val="24"/>
          <w:szCs w:val="24"/>
        </w:rPr>
        <w:t xml:space="preserve"> (14), 144306.</w:t>
      </w:r>
    </w:p>
    <w:p w14:paraId="208102E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Pr>
          <w:rFonts w:ascii="Times New Roman" w:hAnsi="Times New Roman" w:cs="Times New Roman"/>
          <w:kern w:val="0"/>
          <w:sz w:val="24"/>
          <w:szCs w:val="24"/>
        </w:rPr>
        <w:tab/>
        <w:t xml:space="preserve">Ladd, A. J. C.; Moran, B.; Hoover, W. G.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1974</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34</w:t>
      </w:r>
      <w:r>
        <w:rPr>
          <w:rFonts w:ascii="Times New Roman" w:hAnsi="Times New Roman" w:cs="Times New Roman"/>
          <w:kern w:val="0"/>
          <w:sz w:val="24"/>
          <w:szCs w:val="24"/>
        </w:rPr>
        <w:t xml:space="preserve"> (8), 5058–5064.</w:t>
      </w:r>
    </w:p>
    <w:p w14:paraId="1058FA63"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Pr>
          <w:rFonts w:ascii="Times New Roman" w:hAnsi="Times New Roman" w:cs="Times New Roman"/>
          <w:kern w:val="0"/>
          <w:sz w:val="24"/>
          <w:szCs w:val="24"/>
        </w:rPr>
        <w:tab/>
        <w:t xml:space="preserve">Dickey, J. M.; Paskin, A. </w:t>
      </w:r>
      <w:r>
        <w:rPr>
          <w:rFonts w:ascii="Times New Roman" w:hAnsi="Times New Roman" w:cs="Times New Roman"/>
          <w:i/>
          <w:iCs/>
          <w:kern w:val="0"/>
          <w:sz w:val="24"/>
          <w:szCs w:val="24"/>
        </w:rPr>
        <w:t>Phys. Rev.</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1969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188</w:t>
      </w:r>
      <w:r>
        <w:rPr>
          <w:rFonts w:ascii="Times New Roman" w:hAnsi="Times New Roman" w:cs="Times New Roman"/>
          <w:kern w:val="0"/>
          <w:sz w:val="24"/>
          <w:szCs w:val="24"/>
        </w:rPr>
        <w:t xml:space="preserve"> (1967), 1407–1418.</w:t>
      </w:r>
    </w:p>
    <w:p w14:paraId="408A70B8"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(5) </w:t>
      </w:r>
      <w:r>
        <w:rPr>
          <w:rFonts w:ascii="Times New Roman" w:hAnsi="Times New Roman" w:cs="Times New Roman"/>
          <w:kern w:val="0"/>
          <w:sz w:val="24"/>
          <w:szCs w:val="24"/>
        </w:rPr>
        <w:tab/>
        <w:t xml:space="preserve">Müller-Plathe, F. </w:t>
      </w:r>
      <w:r>
        <w:rPr>
          <w:rFonts w:ascii="Times New Roman" w:hAnsi="Times New Roman" w:cs="Times New Roman"/>
          <w:i/>
          <w:iCs/>
          <w:kern w:val="0"/>
          <w:sz w:val="24"/>
          <w:szCs w:val="24"/>
        </w:rPr>
        <w:t>Phys. Rev. E</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1999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59</w:t>
      </w:r>
      <w:r>
        <w:rPr>
          <w:rFonts w:ascii="Times New Roman" w:hAnsi="Times New Roman" w:cs="Times New Roman"/>
          <w:kern w:val="0"/>
          <w:sz w:val="24"/>
          <w:szCs w:val="24"/>
        </w:rPr>
        <w:t xml:space="preserve"> (5), 4894–4898.</w:t>
      </w:r>
    </w:p>
    <w:p w14:paraId="1A132AFF"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(6) </w:t>
      </w:r>
      <w:r>
        <w:rPr>
          <w:rFonts w:ascii="Times New Roman" w:hAnsi="Times New Roman" w:cs="Times New Roman"/>
          <w:kern w:val="0"/>
          <w:sz w:val="24"/>
          <w:szCs w:val="24"/>
        </w:rPr>
        <w:tab/>
        <w:t xml:space="preserve">Lammps. </w:t>
      </w:r>
      <w:r>
        <w:rPr>
          <w:rFonts w:ascii="Times New Roman" w:hAnsi="Times New Roman" w:cs="Times New Roman"/>
          <w:i/>
          <w:iCs/>
          <w:kern w:val="0"/>
          <w:sz w:val="24"/>
          <w:szCs w:val="24"/>
        </w:rPr>
        <w:t>Dev. - Lammps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2011</w:t>
      </w:r>
      <w:r>
        <w:rPr>
          <w:rFonts w:ascii="Times New Roman" w:hAnsi="Times New Roman" w:cs="Times New Roman"/>
          <w:kern w:val="0"/>
          <w:sz w:val="24"/>
          <w:szCs w:val="24"/>
        </w:rPr>
        <w:t>, 1–9.</w:t>
      </w:r>
    </w:p>
    <w:p w14:paraId="6C653E8B"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(7) </w:t>
      </w:r>
      <w:r>
        <w:rPr>
          <w:rFonts w:ascii="Times New Roman" w:hAnsi="Times New Roman" w:cs="Times New Roman"/>
          <w:kern w:val="0"/>
          <w:sz w:val="24"/>
          <w:szCs w:val="24"/>
        </w:rPr>
        <w:tab/>
        <w:t xml:space="preserve">Yang, L.; Yang, N.; Li, B. </w:t>
      </w:r>
      <w:r>
        <w:rPr>
          <w:rFonts w:ascii="Times New Roman" w:hAnsi="Times New Roman" w:cs="Times New Roman"/>
          <w:i/>
          <w:iCs/>
          <w:kern w:val="0"/>
          <w:sz w:val="24"/>
          <w:szCs w:val="24"/>
        </w:rPr>
        <w:t>Sci. Rep.</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2013</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1143.</w:t>
      </w:r>
    </w:p>
    <w:p w14:paraId="031D466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(8) </w:t>
      </w:r>
      <w:r>
        <w:rPr>
          <w:rFonts w:ascii="Times New Roman" w:hAnsi="Times New Roman" w:cs="Times New Roman"/>
          <w:kern w:val="0"/>
          <w:sz w:val="24"/>
          <w:szCs w:val="24"/>
        </w:rPr>
        <w:tab/>
        <w:t xml:space="preserve">Togo,  a. </w:t>
      </w:r>
      <w:r>
        <w:rPr>
          <w:rFonts w:ascii="Times New Roman" w:hAnsi="Times New Roman" w:cs="Times New Roman"/>
          <w:b/>
          <w:bCs/>
          <w:kern w:val="0"/>
          <w:sz w:val="24"/>
          <w:szCs w:val="24"/>
        </w:rPr>
        <w:t>2013</w:t>
      </w:r>
      <w:r>
        <w:rPr>
          <w:rFonts w:ascii="Times New Roman" w:hAnsi="Times New Roman" w:cs="Times New Roman"/>
          <w:kern w:val="0"/>
          <w:sz w:val="24"/>
          <w:szCs w:val="24"/>
        </w:rPr>
        <w:t>.</w:t>
      </w:r>
    </w:p>
    <w:p w14:paraId="152259C0" w14:textId="77777777" w:rsidR="00BD55EA" w:rsidRDefault="00BD55EA">
      <w:pPr>
        <w:autoSpaceDE w:val="0"/>
        <w:autoSpaceDN w:val="0"/>
        <w:adjustRightInd w:val="0"/>
        <w:spacing w:after="140" w:line="288" w:lineRule="auto"/>
        <w:ind w:left="640" w:hanging="640"/>
        <w:jc w:val="left"/>
      </w:pPr>
      <w:r>
        <w:rPr>
          <w:rFonts w:ascii="Times New Roman" w:hAnsi="Times New Roman" w:cs="Times New Roman"/>
          <w:kern w:val="0"/>
          <w:sz w:val="24"/>
          <w:szCs w:val="24"/>
        </w:rPr>
        <w:t xml:space="preserve">(9) </w:t>
      </w:r>
      <w:r>
        <w:rPr>
          <w:rFonts w:ascii="Times New Roman" w:hAnsi="Times New Roman" w:cs="Times New Roman"/>
          <w:kern w:val="0"/>
          <w:sz w:val="24"/>
          <w:szCs w:val="24"/>
        </w:rPr>
        <w:tab/>
        <w:t xml:space="preserve">Kirkwood, J. G.; Boggs, E. M.; Kirkwood, G.; Boggs, E. M. </w:t>
      </w:r>
      <w:r>
        <w:rPr>
          <w:rFonts w:ascii="Times New Roman" w:hAnsi="Times New Roman" w:cs="Times New Roman"/>
          <w:b/>
          <w:bCs/>
          <w:kern w:val="0"/>
          <w:sz w:val="24"/>
          <w:szCs w:val="24"/>
        </w:rPr>
        <w:t>1992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394</w:t>
      </w:r>
      <w:r>
        <w:rPr>
          <w:rFonts w:ascii="Times New Roman" w:hAnsi="Times New Roman" w:cs="Times New Roman"/>
          <w:kern w:val="0"/>
          <w:sz w:val="24"/>
          <w:szCs w:val="24"/>
        </w:rPr>
        <w:t xml:space="preserve"> (1942).</w:t>
      </w:r>
    </w:p>
    <w:p w14:paraId="3E68A10C" w14:textId="7C5C0925" w:rsidR="00BD55EA" w:rsidRPr="00BD55EA" w:rsidRDefault="00C154D6" w:rsidP="00BD55EA">
      <w:pPr>
        <w:autoSpaceDE w:val="0"/>
        <w:autoSpaceDN w:val="0"/>
        <w:adjustRightInd w:val="0"/>
        <w:spacing w:before="100" w:after="100"/>
        <w:ind w:left="640" w:hanging="640"/>
        <w:jc w:val="left"/>
        <w:rPr>
          <w:rFonts w:ascii="Calibri" w:hAnsi="Calibri" w:cs="Calibri"/>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ADDIN Mendeley Bibliography CSL_BIBLIOGR</w:instrText>
      </w:r>
      <w:r w:rsidR="00BD55EA">
        <w:rPr>
          <w:color w:val="000000" w:themeColor="text1"/>
        </w:rPr>
        <w:fldChar w:fldCharType="begin" w:fldLock="1"/>
      </w:r>
      <w:r w:rsidR="00BD55EA">
        <w:rPr>
          <w:color w:val="000000" w:themeColor="text1"/>
        </w:rPr>
        <w:instrText xml:space="preserve">ADDIN Mendeley Bibliography CSL_BIBLIOGRAPHY </w:instrText>
      </w:r>
      <w:r w:rsidR="00BD55EA">
        <w:rPr>
          <w:color w:val="000000" w:themeColor="text1"/>
        </w:rPr>
        <w:fldChar w:fldCharType="separate"/>
      </w:r>
      <w:r w:rsidR="00BD55EA" w:rsidRPr="00BD55EA">
        <w:rPr>
          <w:rFonts w:ascii="Calibri" w:hAnsi="Calibri" w:cs="Calibri"/>
          <w:noProof/>
          <w:color w:val="000000" w:themeColor="text1"/>
          <w:sz w:val="20"/>
        </w:rPr>
        <w:instrText>Bibliography</w:instrText>
      </w:r>
      <w:r w:rsidR="00BD55EA">
        <w:rPr>
          <w:color w:val="000000" w:themeColor="text1"/>
        </w:rPr>
        <w:fldChar w:fldCharType="end"/>
      </w:r>
      <w:r w:rsidRPr="00C07B53">
        <w:rPr>
          <w:color w:val="000000" w:themeColor="text1"/>
        </w:rPr>
        <w:instrText xml:space="preserve">APHY </w:instrText>
      </w:r>
      <w:r w:rsidRPr="00C07B53">
        <w:rPr>
          <w:rFonts w:ascii="宋体" w:eastAsia="宋体" w:hAnsi="宋体" w:cs="宋体"/>
          <w:color w:val="000000" w:themeColor="text1"/>
          <w:kern w:val="0"/>
          <w:sz w:val="24"/>
          <w:szCs w:val="24"/>
        </w:rPr>
        <w:fldChar w:fldCharType="separate"/>
      </w:r>
      <w:r w:rsidR="00BD55EA" w:rsidRPr="00BD55EA">
        <w:rPr>
          <w:rFonts w:ascii="Calibri" w:hAnsi="Calibri" w:cs="Calibri"/>
          <w:noProof/>
          <w:kern w:val="0"/>
          <w:sz w:val="20"/>
          <w:szCs w:val="24"/>
        </w:rPr>
        <w:t xml:space="preserve">(1) </w:t>
      </w:r>
      <w:r w:rsidR="00BD55EA" w:rsidRPr="00BD55EA">
        <w:rPr>
          <w:rFonts w:ascii="Calibri" w:hAnsi="Calibri" w:cs="Calibri"/>
          <w:noProof/>
          <w:kern w:val="0"/>
          <w:sz w:val="20"/>
          <w:szCs w:val="24"/>
        </w:rPr>
        <w:tab/>
        <w:t xml:space="preserve">Kagimura, R.; Mazzoni, M. S. C.; Chacham, H. </w:t>
      </w:r>
      <w:r w:rsidR="00BD55EA" w:rsidRPr="00BD55EA">
        <w:rPr>
          <w:rFonts w:ascii="Calibri" w:hAnsi="Calibri" w:cs="Calibri"/>
          <w:i/>
          <w:iCs/>
          <w:noProof/>
          <w:kern w:val="0"/>
          <w:sz w:val="20"/>
          <w:szCs w:val="24"/>
        </w:rPr>
        <w:t>Phys. Rev. B - Condens. Matter Mater. Phys.</w:t>
      </w:r>
      <w:r w:rsidR="00BD55EA" w:rsidRPr="00BD55EA">
        <w:rPr>
          <w:rFonts w:ascii="Calibri" w:hAnsi="Calibri" w:cs="Calibri"/>
          <w:noProof/>
          <w:kern w:val="0"/>
          <w:sz w:val="20"/>
          <w:szCs w:val="24"/>
        </w:rPr>
        <w:t xml:space="preserve"> </w:t>
      </w:r>
      <w:r w:rsidR="00BD55EA" w:rsidRPr="00BD55EA">
        <w:rPr>
          <w:rFonts w:ascii="Calibri" w:hAnsi="Calibri" w:cs="Calibri"/>
          <w:b/>
          <w:bCs/>
          <w:noProof/>
          <w:kern w:val="0"/>
          <w:sz w:val="20"/>
          <w:szCs w:val="24"/>
        </w:rPr>
        <w:t>2012</w:t>
      </w:r>
      <w:r w:rsidR="00BD55EA" w:rsidRPr="00BD55EA">
        <w:rPr>
          <w:rFonts w:ascii="Calibri" w:hAnsi="Calibri" w:cs="Calibri"/>
          <w:noProof/>
          <w:kern w:val="0"/>
          <w:sz w:val="20"/>
          <w:szCs w:val="24"/>
        </w:rPr>
        <w:t xml:space="preserve">, </w:t>
      </w:r>
      <w:r w:rsidR="00BD55EA" w:rsidRPr="00BD55EA">
        <w:rPr>
          <w:rFonts w:ascii="Calibri" w:hAnsi="Calibri" w:cs="Calibri"/>
          <w:i/>
          <w:iCs/>
          <w:noProof/>
          <w:kern w:val="0"/>
          <w:sz w:val="20"/>
          <w:szCs w:val="24"/>
        </w:rPr>
        <w:t>85</w:t>
      </w:r>
      <w:r w:rsidR="00BD55EA" w:rsidRPr="00BD55EA">
        <w:rPr>
          <w:rFonts w:ascii="Calibri" w:hAnsi="Calibri" w:cs="Calibri"/>
          <w:noProof/>
          <w:kern w:val="0"/>
          <w:sz w:val="20"/>
          <w:szCs w:val="24"/>
        </w:rPr>
        <w:t xml:space="preserve"> (12), 1–4.</w:t>
      </w:r>
    </w:p>
    <w:p w14:paraId="4EF72FB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(2) </w:t>
      </w:r>
      <w:r w:rsidRPr="00BD55EA">
        <w:rPr>
          <w:rFonts w:ascii="Calibri" w:hAnsi="Calibri" w:cs="Calibri"/>
          <w:noProof/>
          <w:kern w:val="0"/>
          <w:sz w:val="20"/>
          <w:szCs w:val="24"/>
        </w:rPr>
        <w:tab/>
        <w:t xml:space="preserve">Schelling, P. K.; Phillpot, S. R.; Keblinski, P.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2002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65</w:t>
      </w:r>
      <w:r w:rsidRPr="00BD55EA">
        <w:rPr>
          <w:rFonts w:ascii="Calibri" w:hAnsi="Calibri" w:cs="Calibri"/>
          <w:noProof/>
          <w:kern w:val="0"/>
          <w:sz w:val="20"/>
          <w:szCs w:val="24"/>
        </w:rPr>
        <w:t xml:space="preserve"> (14), 144306.</w:t>
      </w:r>
    </w:p>
    <w:p w14:paraId="7BEE379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(3) </w:t>
      </w:r>
      <w:r w:rsidRPr="00BD55EA">
        <w:rPr>
          <w:rFonts w:ascii="Calibri" w:hAnsi="Calibri" w:cs="Calibri"/>
          <w:noProof/>
          <w:kern w:val="0"/>
          <w:sz w:val="20"/>
          <w:szCs w:val="24"/>
        </w:rPr>
        <w:tab/>
        <w:t xml:space="preserve">Ladd, A. J. C.; Moran, B.; Hoover, W. G.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1974</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34</w:t>
      </w:r>
      <w:r w:rsidRPr="00BD55EA">
        <w:rPr>
          <w:rFonts w:ascii="Calibri" w:hAnsi="Calibri" w:cs="Calibri"/>
          <w:noProof/>
          <w:kern w:val="0"/>
          <w:sz w:val="20"/>
          <w:szCs w:val="24"/>
        </w:rPr>
        <w:t xml:space="preserve"> (8), 5058–5064.</w:t>
      </w:r>
    </w:p>
    <w:p w14:paraId="7CD7EAA7"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(4) </w:t>
      </w:r>
      <w:r w:rsidRPr="00BD55EA">
        <w:rPr>
          <w:rFonts w:ascii="Calibri" w:hAnsi="Calibri" w:cs="Calibri"/>
          <w:noProof/>
          <w:kern w:val="0"/>
          <w:sz w:val="20"/>
          <w:szCs w:val="24"/>
        </w:rPr>
        <w:tab/>
        <w:t xml:space="preserve">Dickey, J. M.; Paskin, A. </w:t>
      </w:r>
      <w:r w:rsidRPr="00BD55EA">
        <w:rPr>
          <w:rFonts w:ascii="Calibri" w:hAnsi="Calibri" w:cs="Calibri"/>
          <w:i/>
          <w:iCs/>
          <w:noProof/>
          <w:kern w:val="0"/>
          <w:sz w:val="20"/>
          <w:szCs w:val="24"/>
        </w:rPr>
        <w:t>Phys. Rev.</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1969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188</w:t>
      </w:r>
      <w:r w:rsidRPr="00BD55EA">
        <w:rPr>
          <w:rFonts w:ascii="Calibri" w:hAnsi="Calibri" w:cs="Calibri"/>
          <w:noProof/>
          <w:kern w:val="0"/>
          <w:sz w:val="20"/>
          <w:szCs w:val="24"/>
        </w:rPr>
        <w:t xml:space="preserve"> (1967), 1407–1418.</w:t>
      </w:r>
    </w:p>
    <w:p w14:paraId="0252157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(5) </w:t>
      </w:r>
      <w:r w:rsidRPr="00BD55EA">
        <w:rPr>
          <w:rFonts w:ascii="Calibri" w:hAnsi="Calibri" w:cs="Calibri"/>
          <w:noProof/>
          <w:kern w:val="0"/>
          <w:sz w:val="20"/>
          <w:szCs w:val="24"/>
        </w:rPr>
        <w:tab/>
        <w:t xml:space="preserve">Müller-Plathe, F. </w:t>
      </w:r>
      <w:r w:rsidRPr="00BD55EA">
        <w:rPr>
          <w:rFonts w:ascii="Calibri" w:hAnsi="Calibri" w:cs="Calibri"/>
          <w:i/>
          <w:iCs/>
          <w:noProof/>
          <w:kern w:val="0"/>
          <w:sz w:val="20"/>
          <w:szCs w:val="24"/>
        </w:rPr>
        <w:t>Phys. Rev. E</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1999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59</w:t>
      </w:r>
      <w:r w:rsidRPr="00BD55EA">
        <w:rPr>
          <w:rFonts w:ascii="Calibri" w:hAnsi="Calibri" w:cs="Calibri"/>
          <w:noProof/>
          <w:kern w:val="0"/>
          <w:sz w:val="20"/>
          <w:szCs w:val="24"/>
        </w:rPr>
        <w:t xml:space="preserve"> (5), 4894–4898.</w:t>
      </w:r>
    </w:p>
    <w:p w14:paraId="220E0F0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(6) </w:t>
      </w:r>
      <w:r w:rsidRPr="00BD55EA">
        <w:rPr>
          <w:rFonts w:ascii="Calibri" w:hAnsi="Calibri" w:cs="Calibri"/>
          <w:noProof/>
          <w:kern w:val="0"/>
          <w:sz w:val="20"/>
          <w:szCs w:val="24"/>
        </w:rPr>
        <w:tab/>
        <w:t xml:space="preserve">Lammps. </w:t>
      </w:r>
      <w:r w:rsidRPr="00BD55EA">
        <w:rPr>
          <w:rFonts w:ascii="Calibri" w:hAnsi="Calibri" w:cs="Calibri"/>
          <w:i/>
          <w:iCs/>
          <w:noProof/>
          <w:kern w:val="0"/>
          <w:sz w:val="20"/>
          <w:szCs w:val="24"/>
        </w:rPr>
        <w:t>Dev. - Lammps</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2011</w:t>
      </w:r>
      <w:r w:rsidRPr="00BD55EA">
        <w:rPr>
          <w:rFonts w:ascii="Calibri" w:hAnsi="Calibri" w:cs="Calibri"/>
          <w:noProof/>
          <w:kern w:val="0"/>
          <w:sz w:val="20"/>
          <w:szCs w:val="24"/>
        </w:rPr>
        <w:t>, 1–9.</w:t>
      </w:r>
    </w:p>
    <w:p w14:paraId="1063847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(7) </w:t>
      </w:r>
      <w:r w:rsidRPr="00BD55EA">
        <w:rPr>
          <w:rFonts w:ascii="Calibri" w:hAnsi="Calibri" w:cs="Calibri"/>
          <w:noProof/>
          <w:kern w:val="0"/>
          <w:sz w:val="20"/>
          <w:szCs w:val="24"/>
        </w:rPr>
        <w:tab/>
        <w:t xml:space="preserve">Yang, L.; Yang, N.; Li, B. </w:t>
      </w:r>
      <w:r w:rsidRPr="00BD55EA">
        <w:rPr>
          <w:rFonts w:ascii="Calibri" w:hAnsi="Calibri" w:cs="Calibri"/>
          <w:i/>
          <w:iCs/>
          <w:noProof/>
          <w:kern w:val="0"/>
          <w:sz w:val="20"/>
          <w:szCs w:val="24"/>
        </w:rPr>
        <w:t>Sci. Rep.</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2013</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w:t>
      </w:r>
      <w:r w:rsidRPr="00BD55EA">
        <w:rPr>
          <w:rFonts w:ascii="Calibri" w:hAnsi="Calibri" w:cs="Calibri"/>
          <w:noProof/>
          <w:kern w:val="0"/>
          <w:sz w:val="20"/>
          <w:szCs w:val="24"/>
        </w:rPr>
        <w:t>, 1143.</w:t>
      </w:r>
    </w:p>
    <w:p w14:paraId="54DDC2EA"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(8) </w:t>
      </w:r>
      <w:r w:rsidRPr="00BD55EA">
        <w:rPr>
          <w:rFonts w:ascii="Calibri" w:hAnsi="Calibri" w:cs="Calibri"/>
          <w:noProof/>
          <w:kern w:val="0"/>
          <w:sz w:val="20"/>
          <w:szCs w:val="24"/>
        </w:rPr>
        <w:tab/>
        <w:t xml:space="preserve">Togo,  a. </w:t>
      </w:r>
      <w:r w:rsidRPr="00BD55EA">
        <w:rPr>
          <w:rFonts w:ascii="Calibri" w:hAnsi="Calibri" w:cs="Calibri"/>
          <w:b/>
          <w:bCs/>
          <w:noProof/>
          <w:kern w:val="0"/>
          <w:sz w:val="20"/>
          <w:szCs w:val="24"/>
        </w:rPr>
        <w:t>2013</w:t>
      </w:r>
      <w:r w:rsidRPr="00BD55EA">
        <w:rPr>
          <w:rFonts w:ascii="Calibri" w:hAnsi="Calibri" w:cs="Calibri"/>
          <w:noProof/>
          <w:kern w:val="0"/>
          <w:sz w:val="20"/>
          <w:szCs w:val="24"/>
        </w:rPr>
        <w:t>.</w:t>
      </w:r>
    </w:p>
    <w:p w14:paraId="5A8B643F"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sz w:val="20"/>
        </w:rPr>
      </w:pPr>
      <w:r w:rsidRPr="00BD55EA">
        <w:rPr>
          <w:rFonts w:ascii="Calibri" w:hAnsi="Calibri" w:cs="Calibri"/>
          <w:noProof/>
          <w:kern w:val="0"/>
          <w:sz w:val="20"/>
          <w:szCs w:val="24"/>
        </w:rPr>
        <w:t xml:space="preserve">(9) </w:t>
      </w:r>
      <w:r w:rsidRPr="00BD55EA">
        <w:rPr>
          <w:rFonts w:ascii="Calibri" w:hAnsi="Calibri" w:cs="Calibri"/>
          <w:noProof/>
          <w:kern w:val="0"/>
          <w:sz w:val="20"/>
          <w:szCs w:val="24"/>
        </w:rPr>
        <w:tab/>
        <w:t xml:space="preserve">Kirkwood, J. G.; Boggs, E. M.; Kirkwood, G.; Boggs, E. M. </w:t>
      </w:r>
      <w:r w:rsidRPr="00BD55EA">
        <w:rPr>
          <w:rFonts w:ascii="Calibri" w:hAnsi="Calibri" w:cs="Calibri"/>
          <w:b/>
          <w:bCs/>
          <w:noProof/>
          <w:kern w:val="0"/>
          <w:sz w:val="20"/>
          <w:szCs w:val="24"/>
        </w:rPr>
        <w:t>1992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394</w:t>
      </w:r>
      <w:r w:rsidRPr="00BD55EA">
        <w:rPr>
          <w:rFonts w:ascii="Calibri" w:hAnsi="Calibri" w:cs="Calibri"/>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B0627" w14:textId="77777777" w:rsidR="00D15AA8" w:rsidRDefault="00D15AA8" w:rsidP="00C154D6">
      <w:r>
        <w:separator/>
      </w:r>
    </w:p>
  </w:endnote>
  <w:endnote w:type="continuationSeparator" w:id="0">
    <w:p w14:paraId="5664E2EC" w14:textId="77777777" w:rsidR="00D15AA8" w:rsidRDefault="00D15AA8"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B8B8B" w14:textId="77777777" w:rsidR="00D15AA8" w:rsidRDefault="00D15AA8" w:rsidP="00C154D6">
      <w:r>
        <w:separator/>
      </w:r>
    </w:p>
  </w:footnote>
  <w:footnote w:type="continuationSeparator" w:id="0">
    <w:p w14:paraId="0032FD4F" w14:textId="77777777" w:rsidR="00D15AA8" w:rsidRDefault="00D15AA8"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1818"/>
    <w:rsid w:val="001F656E"/>
    <w:rsid w:val="001F723B"/>
    <w:rsid w:val="00201663"/>
    <w:rsid w:val="00207C60"/>
    <w:rsid w:val="00215886"/>
    <w:rsid w:val="00240592"/>
    <w:rsid w:val="0024093E"/>
    <w:rsid w:val="00242FBD"/>
    <w:rsid w:val="00252755"/>
    <w:rsid w:val="00253B5F"/>
    <w:rsid w:val="002563D6"/>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2026"/>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290D"/>
    <w:rsid w:val="006836E8"/>
    <w:rsid w:val="00690B99"/>
    <w:rsid w:val="006A36F9"/>
    <w:rsid w:val="006A3972"/>
    <w:rsid w:val="006C069B"/>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E1E32"/>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816B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2D7E"/>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256CE"/>
    <w:rsid w:val="00B3333B"/>
    <w:rsid w:val="00B371F7"/>
    <w:rsid w:val="00B50F92"/>
    <w:rsid w:val="00B5395A"/>
    <w:rsid w:val="00B570BC"/>
    <w:rsid w:val="00B62CC3"/>
    <w:rsid w:val="00B64ED0"/>
    <w:rsid w:val="00B67029"/>
    <w:rsid w:val="00B7068E"/>
    <w:rsid w:val="00B80905"/>
    <w:rsid w:val="00B82B54"/>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D55EA"/>
    <w:rsid w:val="00BE4601"/>
    <w:rsid w:val="00BE5538"/>
    <w:rsid w:val="00BE71E9"/>
    <w:rsid w:val="00BF196F"/>
    <w:rsid w:val="00BF2784"/>
    <w:rsid w:val="00BF54F4"/>
    <w:rsid w:val="00C04175"/>
    <w:rsid w:val="00C05E12"/>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5AA8"/>
    <w:rsid w:val="00D1686A"/>
    <w:rsid w:val="00D16BE7"/>
    <w:rsid w:val="00D27497"/>
    <w:rsid w:val="00D301E6"/>
    <w:rsid w:val="00D320FC"/>
    <w:rsid w:val="00D32D3E"/>
    <w:rsid w:val="00D35279"/>
    <w:rsid w:val="00D36C27"/>
    <w:rsid w:val="00D53354"/>
    <w:rsid w:val="00D55AAC"/>
    <w:rsid w:val="00D6264D"/>
    <w:rsid w:val="00D6266F"/>
    <w:rsid w:val="00D628CC"/>
    <w:rsid w:val="00D64C71"/>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7ECA"/>
    <w:rsid w:val="00EE181E"/>
    <w:rsid w:val="00EE2289"/>
    <w:rsid w:val="00EE2F33"/>
    <w:rsid w:val="00EE5E2A"/>
    <w:rsid w:val="00EF68A5"/>
    <w:rsid w:val="00F1125A"/>
    <w:rsid w:val="00F12687"/>
    <w:rsid w:val="00F23B35"/>
    <w:rsid w:val="00F250AB"/>
    <w:rsid w:val="00F36E48"/>
    <w:rsid w:val="00F375CD"/>
    <w:rsid w:val="00F37EE1"/>
    <w:rsid w:val="00F55EA5"/>
    <w:rsid w:val="00F57DBC"/>
    <w:rsid w:val="00F6697D"/>
    <w:rsid w:val="00F70CA3"/>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6764-F866-438C-896F-911CD866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4546</Words>
  <Characters>25917</Characters>
  <Application>Microsoft Office Word</Application>
  <DocSecurity>0</DocSecurity>
  <Lines>215</Lines>
  <Paragraphs>60</Paragraphs>
  <ScaleCrop>false</ScaleCrop>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8</cp:revision>
  <dcterms:created xsi:type="dcterms:W3CDTF">2017-05-17T03:55:00Z</dcterms:created>
  <dcterms:modified xsi:type="dcterms:W3CDTF">2017-05-24T09:16:00Z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http://www.zotero.org/styles/computing-surveys</vt:lpwstr>
  </property>
  <property fmtid="{D5CDD505-2E9C-101B-9397-08002B2CF9AE}" pid="5" name="Mendeley Recent Style Name 0_1">
    <vt:lpwstr>ACM Computing Surveys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http://www.zotero.org/styles/ieee-access</vt:lpwstr>
  </property>
  <property fmtid="{D5CDD505-2E9C-101B-9397-08002B2CF9AE}" pid="13" name="Mendeley Recent Style Name 4_1">
    <vt:lpwstr>IEEE Access</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http://www.zotero.org/styles/nano-letters</vt:lpwstr>
  </property>
  <property fmtid="{D5CDD505-2E9C-101B-9397-08002B2CF9AE}" pid="17" name="Mendeley Recent Style Name 6_1">
    <vt:lpwstr>Nano Letters</vt:lpwstr>
  </property>
  <property fmtid="{D5CDD505-2E9C-101B-9397-08002B2CF9AE}" pid="18" name="Mendeley Recent Style Id 7_1">
    <vt:lpwstr>http://www.zotero.org/styles/nanoscale</vt:lpwstr>
  </property>
  <property fmtid="{D5CDD505-2E9C-101B-9397-08002B2CF9AE}" pid="19" name="Mendeley Recent Style Name 7_1">
    <vt:lpwstr>Nanoscale</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