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jc w:val="center"/>
        <w:textAlignment w:val="auto"/>
        <w:rPr>
          <w:rFonts w:ascii="方正小标宋简体" w:cs="方正小标宋简体" w:eastAsia="方正小标宋简体" w:hAnsi="方正小标宋简体" w:hint="eastAsia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ascii="方正小标宋简体" w:cs="方正小标宋简体" w:eastAsia="方正小标宋简体" w:hAnsi="方正小标宋简体" w:hint="eastAsia"/>
          <w:sz w:val="44"/>
          <w:szCs w:val="44"/>
          <w:lang w:val="en-US" w:eastAsia="zh-CN"/>
        </w:rPr>
        <w:t>授 权 委 托 书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600"/>
        <w:ind w:firstLine="640" w:firstLineChars="200"/>
        <w:textAlignment w:val="auto"/>
        <w:rPr>
          <w:rFonts w:ascii="仿宋_GB2312" w:cs="仿宋_GB2312" w:eastAsia="仿宋_GB2312" w:hAnsi="仿宋_GB2312" w:hint="eastAsia"/>
          <w:sz w:val="32"/>
          <w:szCs w:val="32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640" w:firstLineChars="2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lang w:val="en-US" w:eastAsia="zh-CN"/>
        </w:rPr>
        <w:t>委托人：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weitr    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640" w:firstLineChars="2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委托人因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anyou  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一案，特委托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湖南金厚（宁乡）</w:t>
      </w:r>
      <w:r>
        <w:rPr>
          <w:rFonts w:ascii="仿宋_GB2312" w:cs="仿宋_GB2312" w:eastAsia="仿宋_GB2312" w:hAnsi="仿宋_GB2312" w:hint="eastAsia"/>
          <w:sz w:val="32"/>
          <w:szCs w:val="32"/>
        </w:rPr>
        <w:t>法律援助中心/律师事务所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承办此案，并同意其指派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陈伟   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律师担任委托人</w:t>
      </w:r>
      <w:r>
        <w:rPr>
          <w:rFonts w:ascii="仿宋_GB2312" w:cs="仿宋_GB2312" w:eastAsia="仿宋_GB2312" w:hAnsi="仿宋_GB2312" w:hint="eastAsia"/>
          <w:sz w:val="32"/>
          <w:szCs w:val="32"/>
          <w:u w:val="single"/>
          <w:lang w:val="en-US" w:eastAsia="zh-CN"/>
        </w:rPr>
        <w:t xml:space="preserve">   一审  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阶段的代理人，代理权限如下：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640" w:firstLineChars="200"/>
        <w:textAlignment w:val="auto"/>
        <w:rPr>
          <w:rFonts w:ascii="仿宋_GB2312" w:cs="仿宋_GB2312" w:eastAsia="仿宋_GB2312" w:hAnsi="仿宋_GB2312" w:hint="eastAsia"/>
          <w:kern w:val="2"/>
          <w:sz w:val="32"/>
          <w:szCs w:val="32"/>
          <w:u w:val="none"/>
          <w:lang w:val="en-US" w:bidi="ar-SA" w:eastAsia="zh-CN"/>
        </w:rPr>
      </w:pPr>
      <w:r>
        <w:rPr>
          <w:rFonts w:cs="仿宋_GB2312" w:eastAsia="仿宋_GB2312" w:hAnsi="仿宋_GB2312" w:hint="default"/>
          <w:sz w:val="32"/>
          <w:szCs w:val="32"/>
          <w:u w:val="none"/>
          <w:lang w:val="en-US" w:eastAsia="zh-CN"/>
        </w:rPr>
        <w:t xml:space="preserve">□ 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一般代理</w:t>
      </w:r>
      <w:r>
        <w:rPr>
          <w:rFonts w:ascii="仿宋_GB2312" w:cs="仿宋_GB2312" w:eastAsia="仿宋_GB2312" w:hAnsi="仿宋_GB2312" w:hint="default"/>
          <w:kern w:val="2"/>
          <w:sz w:val="32"/>
          <w:szCs w:val="32"/>
          <w:u w:val="none"/>
          <w:lang w:val="en-US" w:bidi="ar-SA" w:eastAsia="zh-CN"/>
        </w:rPr>
        <w:t>（包括代为立案、参与调解、出庭及领取法律文书等事项）</w:t>
      </w:r>
      <w:r>
        <w:rPr>
          <w:rFonts w:ascii="仿宋_GB2312" w:cs="仿宋_GB2312" w:hAnsi="仿宋_GB2312" w:hint="default"/>
          <w:kern w:val="2"/>
          <w:sz w:val="32"/>
          <w:szCs w:val="32"/>
          <w:u w:val="none"/>
          <w:lang w:val="en-US" w:bidi="ar-SA" w:eastAsia="zh-CN"/>
        </w:rPr>
        <w:t>。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640" w:firstLineChars="2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</w:pPr>
      <w:r>
        <w:rPr>
          <w:rFonts w:cs="仿宋_GB2312" w:eastAsia="仿宋_GB2312" w:hAnsi="仿宋_GB2312" w:hint="default"/>
          <w:sz w:val="32"/>
          <w:szCs w:val="32"/>
          <w:u w:val="none"/>
          <w:lang w:val="en-US" w:eastAsia="zh-CN"/>
        </w:rPr>
        <w:t xml:space="preserve">□ </w:t>
      </w: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特别授权（包括代为承认、放弃、变更诉讼请求、起诉、提出反诉、进行和解、撤诉、上诉、签收法律文书等）。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4800" w:firstLineChars="1500"/>
        <w:textAlignment w:val="auto"/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委托人：</w:t>
      </w:r>
    </w:p>
    <w:p>
      <w:pPr>
        <w:pStyle w:val="style0"/>
        <w:keepNext w:val="false"/>
        <w:keepLines w:val="false"/>
        <w:pageBreakBefore w:val="false"/>
        <w:widowControl w:val="false"/>
        <w:numPr>
          <w:ilvl w:val="0"/>
          <w:numId w:val="0"/>
        </w:numPr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ind w:firstLine="5120" w:firstLineChars="1600"/>
        <w:textAlignment w:val="auto"/>
        <w:rPr>
          <w:rFonts w:ascii="仿宋_GB2312" w:cs="仿宋_GB2312" w:eastAsia="仿宋_GB2312" w:hAnsi="仿宋_GB2312" w:hint="default"/>
          <w:sz w:val="32"/>
          <w:szCs w:val="32"/>
          <w:u w:val="none"/>
          <w:lang w:val="en-US" w:eastAsia="zh-CN"/>
        </w:rPr>
      </w:pPr>
      <w:r>
        <w:rPr>
          <w:rFonts w:ascii="仿宋_GB2312" w:cs="仿宋_GB2312" w:eastAsia="仿宋_GB2312" w:hAnsi="仿宋_GB2312" w:hint="eastAsia"/>
          <w:sz w:val="32"/>
          <w:szCs w:val="32"/>
          <w:u w:val="none"/>
          <w:lang w:val="en-US" w:eastAsia="zh-CN"/>
        </w:rPr>
        <w:t>年   月   日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spacing w:lineRule="exact" w:line="800"/>
        <w:textAlignment w:val="auto"/>
        <w:rPr/>
      </w:pPr>
    </w:p>
    <w:sectPr>
      <w:pgSz w:w="11906" w:h="16838" w:orient="portrait"/>
      <w:pgMar w:top="2098" w:right="1474" w:bottom="1984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方正小标宋简体"/>
    <w:panose1 w:val="02010601030000010101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_GB2312"/>
    <w:panose1 w:val="02010609030000010101"/>
    <w:charset w:val="86"/>
    <w:family w:val="auto"/>
    <w:pitch w:val="default"/>
    <w:sig w:usb0="00000001" w:usb1="080E0000" w:usb2="00000000" w:usb3="00000000" w:csb0="00040000" w:csb1="00000000"/>
  </w:font>
  <w:font w:name="Wingdings 2">
    <w:altName w:val="Wingdings 2"/>
    <w:panose1 w:val="05020102010000070707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Times New Roman" w:eastAsia="宋体" w:hAnsi="Calibri"/>
      <w:kern w:val="2"/>
      <w:sz w:val="21"/>
      <w:szCs w:val="24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167</Words>
  <Pages>1</Pages>
  <Characters>175</Characters>
  <Application>WPS Office</Application>
  <DocSecurity>0</DocSecurity>
  <Paragraphs>11</Paragraphs>
  <ScaleCrop>false</ScaleCrop>
  <LinksUpToDate>false</LinksUpToDate>
  <CharactersWithSpaces>209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2014-10-31T04:08:00Z</dcterms:created>
  <dc:creator>Administrator</dc:creator>
  <lastModifiedBy>ALI-AN00</lastModifiedBy>
  <dcterms:modified xsi:type="dcterms:W3CDTF">2026-02-25T03:16:45Z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133476B540B246C4B62F0F9CB4238E04_13</vt:lpwstr>
  </property>
</Properties>
</file>