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rFonts w:ascii="Times New Roman" w:hAnsi="Times New Roman"/>
          <w:b/>
          <w:i w:val="0"/>
          <w:sz w:val="28"/>
        </w:rPr>
        <w:t>A transcriptome-wide cis-MR and colocalization atlas for type 2 diabetes, coronary artery disease, and fasting glucose: operating characteristics and candidate effector genes</w:t>
      </w:r>
    </w:p>
    <w:p>
      <w:pPr>
        <w:spacing w:line="480" w:lineRule="auto" w:after="0"/>
        <w:jc w:val="center"/>
      </w:pPr>
      <w:r>
        <w:rPr>
          <w:rFonts w:ascii="Times New Roman" w:hAnsi="Times New Roman"/>
          <w:b/>
          <w:i w:val="0"/>
          <w:sz w:val="24"/>
        </w:rPr>
        <w:t>Qiushuo Geng</w:t>
      </w:r>
    </w:p>
    <w:p>
      <w:pPr>
        <w:spacing w:line="480" w:lineRule="auto" w:after="0"/>
        <w:jc w:val="center"/>
      </w:pPr>
      <w:r>
        <w:rPr>
          <w:rFonts w:ascii="Times New Roman" w:hAnsi="Times New Roman"/>
          <w:b w:val="0"/>
          <w:i w:val="0"/>
          <w:sz w:val="24"/>
        </w:rPr>
        <w:t>School of Medical Devices, Shenyang Pharmaceutical University, Benxi 117004, China</w:t>
      </w:r>
    </w:p>
    <w:p>
      <w:pPr>
        <w:spacing w:line="480" w:lineRule="auto" w:after="0"/>
        <w:jc w:val="center"/>
      </w:pPr>
      <w:r>
        <w:rPr>
          <w:rFonts w:ascii="Times New Roman" w:hAnsi="Times New Roman"/>
          <w:b w:val="0"/>
          <w:i w:val="0"/>
          <w:sz w:val="24"/>
        </w:rPr>
        <w:t>Running title: Transcriptome-wide cis-MR × coloc atlas for metabolic traits</w:t>
      </w:r>
    </w:p>
    <w:p/>
    <w:p>
      <w:pPr>
        <w:keepNext/>
        <w:spacing w:line="480" w:lineRule="auto" w:after="0"/>
      </w:pPr>
      <w:r>
        <w:rPr>
          <w:rFonts w:ascii="Times New Roman" w:hAnsi="Times New Roman"/>
          <w:b/>
          <w:i w:val="0"/>
          <w:sz w:val="26"/>
        </w:rPr>
        <w:t>Abstract</w:t>
      </w:r>
    </w:p>
    <w:p>
      <w:pPr>
        <w:spacing w:line="480" w:lineRule="auto" w:after="0"/>
      </w:pPr>
      <w:r>
        <w:rPr>
          <w:rFonts w:ascii="Times New Roman" w:hAnsi="Times New Roman"/>
          <w:b w:val="0"/>
          <w:i w:val="0"/>
          <w:sz w:val="24"/>
        </w:rPr>
        <w:t>Genome-wide association studies (GWAS) have identified hundreds of loci for type 2 diabetes (T2D), coronary artery disease (CAD), and fasting glucose (FG), yet most effector genes remain unknown. Transcriptome-wide Mendelian randomization (cis-MR) followed by Bayesian colocalization is widely used to prioritize genes, but its operating characteristics have not been systematically quantified. We performed a cis-MR × coloc scan of eQTLGen whole-blood cis-eQTLs (n = 31,684) against three GWAS across 31,371 gene–trait pairs. After per-outcome Benjamini–Hochberg FDR control (q &lt; 0.05), 982 pairs were MR-significant, of which 121 reached strong colocalization (PP.H4 ≥ 0.8): colocalization yield 12.3%, rising monotonically from 0.71% across all testable pairs to 25.6% at stricter MR thresholds. All 106 previously reported loci were reproduced; 15 additional candidates were identified (9 candidate effector genes at known risk loci and 6 without T2D/CAD catalog records), with direction supported by GTEx v8 (6/7) and FinnGen R11 (9/9 gene-level) and 4 reaching nominal significance in FinnGen. Strong colocalization was essentially absent outside the MR-significant set (2/27,123 pairs). SMR+HEIDI (71.7%) and Steiger (96.1%) passed in the previously reported loci. We disclose calibration caveats (38.7% of known loci reach GWAS significance) and provide a public atlas of calibrated colocalization support.</w:t>
      </w:r>
    </w:p>
    <w:p>
      <w:pPr>
        <w:keepNext/>
        <w:spacing w:line="480" w:lineRule="auto" w:after="0"/>
      </w:pPr>
      <w:r>
        <w:rPr>
          <w:rFonts w:ascii="Times New Roman" w:hAnsi="Times New Roman"/>
          <w:b/>
          <w:i w:val="0"/>
          <w:sz w:val="26"/>
        </w:rPr>
        <w:t>1. Introduction</w:t>
      </w:r>
    </w:p>
    <w:p>
      <w:pPr>
        <w:spacing w:line="480" w:lineRule="auto" w:after="0"/>
      </w:pPr>
      <w:r>
        <w:rPr>
          <w:rFonts w:ascii="Times New Roman" w:hAnsi="Times New Roman"/>
          <w:b w:val="0"/>
          <w:i w:val="0"/>
          <w:sz w:val="24"/>
        </w:rPr>
        <w:t xml:space="preserve">GWAS have robustly mapped hundreds of genomic regions for T2D </w:t>
      </w:r>
      <w:r>
        <w:rPr>
          <w:rFonts w:ascii="Times New Roman" w:hAnsi="Times New Roman"/>
          <w:b w:val="0"/>
          <w:i w:val="0"/>
          <w:sz w:val="24"/>
          <w:vertAlign w:val="superscript"/>
        </w:rPr>
        <w:t>1</w:t>
      </w:r>
      <w:r>
        <w:rPr>
          <w:rFonts w:ascii="Times New Roman" w:hAnsi="Times New Roman"/>
          <w:b w:val="0"/>
          <w:i w:val="0"/>
          <w:sz w:val="24"/>
        </w:rPr>
        <w:t xml:space="preserve">, CAD </w:t>
      </w:r>
      <w:r>
        <w:rPr>
          <w:rFonts w:ascii="Times New Roman" w:hAnsi="Times New Roman"/>
          <w:b w:val="0"/>
          <w:i w:val="0"/>
          <w:sz w:val="24"/>
          <w:vertAlign w:val="superscript"/>
        </w:rPr>
        <w:t>2</w:t>
      </w:r>
      <w:r>
        <w:rPr>
          <w:rFonts w:ascii="Times New Roman" w:hAnsi="Times New Roman"/>
          <w:b w:val="0"/>
          <w:i w:val="0"/>
          <w:sz w:val="24"/>
        </w:rPr>
        <w:t xml:space="preserve">, and FG </w:t>
      </w:r>
      <w:r>
        <w:rPr>
          <w:rFonts w:ascii="Times New Roman" w:hAnsi="Times New Roman"/>
          <w:b w:val="0"/>
          <w:i w:val="0"/>
          <w:sz w:val="24"/>
          <w:vertAlign w:val="superscript"/>
        </w:rPr>
        <w:t>3</w:t>
      </w:r>
      <w:r>
        <w:rPr>
          <w:rFonts w:ascii="Times New Roman" w:hAnsi="Times New Roman"/>
          <w:b w:val="0"/>
          <w:i w:val="0"/>
          <w:sz w:val="24"/>
        </w:rPr>
        <w:t xml:space="preserve">, but translating association peaks into effector genes remains a central bottleneck in human genetics. Expression quantitative trait loci (eQTLs) provide a natural bridge: when a cis-eQTL and a disease signal share a causal variant, the gene is a credible effector. Bayesian colocalization formalizes this sharing through posterior probabilities (PP.H4) </w:t>
      </w:r>
      <w:r>
        <w:rPr>
          <w:rFonts w:ascii="Times New Roman" w:hAnsi="Times New Roman"/>
          <w:b w:val="0"/>
          <w:i w:val="0"/>
          <w:sz w:val="24"/>
          <w:vertAlign w:val="superscript"/>
        </w:rPr>
        <w:t>4</w:t>
      </w:r>
      <w:r>
        <w:rPr>
          <w:rFonts w:ascii="Times New Roman" w:hAnsi="Times New Roman"/>
          <w:b w:val="0"/>
          <w:i w:val="0"/>
          <w:sz w:val="24"/>
        </w:rPr>
        <w:t>, and transcriptome-wide Mendelian randomization (cis-MR) filters the enormous space of gene–trait hypotheses before colocalization is applied.</w:t>
      </w:r>
    </w:p>
    <w:p>
      <w:pPr>
        <w:spacing w:line="480" w:lineRule="auto" w:after="0"/>
      </w:pPr>
      <w:r>
        <w:rPr>
          <w:rFonts w:ascii="Times New Roman" w:hAnsi="Times New Roman"/>
          <w:b w:val="0"/>
          <w:i w:val="0"/>
          <w:sz w:val="24"/>
        </w:rPr>
        <w:t xml:space="preserve">The combination of cis-MR and colocalization has become a standard step in post-GWAS gene prioritization, supported by resources including eQTLGen whole-blood cis-eQTLs </w:t>
      </w:r>
      <w:r>
        <w:rPr>
          <w:rFonts w:ascii="Times New Roman" w:hAnsi="Times New Roman"/>
          <w:b w:val="0"/>
          <w:i w:val="0"/>
          <w:sz w:val="24"/>
          <w:vertAlign w:val="superscript"/>
        </w:rPr>
        <w:t>5</w:t>
      </w:r>
      <w:r>
        <w:rPr>
          <w:rFonts w:ascii="Times New Roman" w:hAnsi="Times New Roman"/>
          <w:b w:val="0"/>
          <w:i w:val="0"/>
          <w:sz w:val="24"/>
        </w:rPr>
        <w:t xml:space="preserve">, GTEx multi-tissue eQTLs </w:t>
      </w:r>
      <w:r>
        <w:rPr>
          <w:rFonts w:ascii="Times New Roman" w:hAnsi="Times New Roman"/>
          <w:b w:val="0"/>
          <w:i w:val="0"/>
          <w:sz w:val="24"/>
          <w:vertAlign w:val="superscript"/>
        </w:rPr>
        <w:t>6</w:t>
      </w:r>
      <w:r>
        <w:rPr>
          <w:rFonts w:ascii="Times New Roman" w:hAnsi="Times New Roman"/>
          <w:b w:val="0"/>
          <w:i w:val="0"/>
          <w:sz w:val="24"/>
        </w:rPr>
        <w:t xml:space="preserve">, and FinnGen disease cohorts </w:t>
      </w:r>
      <w:r>
        <w:rPr>
          <w:rFonts w:ascii="Times New Roman" w:hAnsi="Times New Roman"/>
          <w:b w:val="0"/>
          <w:i w:val="0"/>
          <w:sz w:val="24"/>
          <w:vertAlign w:val="superscript"/>
        </w:rPr>
        <w:t>7</w:t>
      </w:r>
      <w:r>
        <w:rPr>
          <w:rFonts w:ascii="Times New Roman" w:hAnsi="Times New Roman"/>
          <w:b w:val="0"/>
          <w:i w:val="0"/>
          <w:sz w:val="24"/>
        </w:rPr>
        <w:t xml:space="preserve">. However, two gaps persist. First, the </w:t>
      </w:r>
      <w:r>
        <w:rPr>
          <w:rFonts w:ascii="Times New Roman" w:hAnsi="Times New Roman"/>
          <w:b w:val="0"/>
          <w:i/>
          <w:sz w:val="24"/>
        </w:rPr>
        <w:t>operating characteristics</w:t>
      </w:r>
      <w:r>
        <w:rPr>
          <w:rFonts w:ascii="Times New Roman" w:hAnsi="Times New Roman"/>
          <w:b w:val="0"/>
          <w:i w:val="0"/>
          <w:sz w:val="24"/>
        </w:rPr>
        <w:t xml:space="preserve"> of this pipeline—the rate at which MR-significant pairs also reach strong colocalization, and how this rate calibrates with the MR p-value threshold—have not been quantified genome-wide, leaving investigators without principled thresholds for interpreting colocalization output. Second, existing atlases have not systematically separated replicated from novel colocalizations and disclosed the fraction of colocalized regions that actually reach GWAS significance.</w:t>
      </w:r>
    </w:p>
    <w:p>
      <w:pPr>
        <w:spacing w:line="480" w:lineRule="auto" w:after="0"/>
      </w:pPr>
      <w:r>
        <w:rPr>
          <w:rFonts w:ascii="Times New Roman" w:hAnsi="Times New Roman"/>
          <w:b w:val="0"/>
          <w:i w:val="0"/>
          <w:sz w:val="24"/>
        </w:rPr>
        <w:t>Here we construct a transcriptome-wide cis-MR × coloc atlas for T2D, CAD, and FG across 31,371 gene–trait pairs. We quantify the colocalization yield as a function of MR evidence under a preregistered multiple-testing control, establish a negative boundary outside the MR-significant set, reproduce the previously reported strong-colocalization set, and nominate 15 additional candidate effector genes with directional replication in GTEx and FinnGen. We provide calibration caveats and the colocalization support estimates as a public resource.</w:t>
      </w:r>
    </w:p>
    <w:p>
      <w:pPr>
        <w:keepNext/>
        <w:spacing w:line="480" w:lineRule="auto" w:after="0"/>
      </w:pPr>
      <w:r>
        <w:rPr>
          <w:rFonts w:ascii="Times New Roman" w:hAnsi="Times New Roman"/>
          <w:b/>
          <w:i w:val="0"/>
          <w:sz w:val="26"/>
        </w:rPr>
        <w:t>2. Methods</w:t>
      </w:r>
    </w:p>
    <w:p>
      <w:pPr>
        <w:keepNext/>
        <w:spacing w:line="480" w:lineRule="auto" w:after="0"/>
      </w:pPr>
      <w:r>
        <w:rPr>
          <w:rFonts w:ascii="Times New Roman" w:hAnsi="Times New Roman"/>
          <w:b/>
          <w:i w:val="0"/>
          <w:sz w:val="24"/>
        </w:rPr>
        <w:t>2.1 Study design and data sources</w:t>
      </w:r>
    </w:p>
    <w:p>
      <w:pPr>
        <w:spacing w:line="480" w:lineRule="auto" w:after="0"/>
      </w:pPr>
      <w:r>
        <w:rPr>
          <w:rFonts w:ascii="Times New Roman" w:hAnsi="Times New Roman"/>
          <w:b w:val="0"/>
          <w:i w:val="0"/>
          <w:sz w:val="24"/>
        </w:rPr>
        <w:t xml:space="preserve">We performed transcriptome-wide cis-MR followed by Bayesian colocalization for three outcomes: T2D </w:t>
      </w:r>
      <w:r>
        <w:rPr>
          <w:rFonts w:ascii="Times New Roman" w:hAnsi="Times New Roman"/>
          <w:b w:val="0"/>
          <w:i w:val="0"/>
          <w:sz w:val="24"/>
          <w:vertAlign w:val="superscript"/>
        </w:rPr>
        <w:t>1</w:t>
      </w:r>
      <w:r>
        <w:rPr>
          <w:rFonts w:ascii="Times New Roman" w:hAnsi="Times New Roman"/>
          <w:b w:val="0"/>
          <w:i w:val="0"/>
          <w:sz w:val="24"/>
        </w:rPr>
        <w:t xml:space="preserve">, CAD </w:t>
      </w:r>
      <w:r>
        <w:rPr>
          <w:rFonts w:ascii="Times New Roman" w:hAnsi="Times New Roman"/>
          <w:b w:val="0"/>
          <w:i w:val="0"/>
          <w:sz w:val="24"/>
          <w:vertAlign w:val="superscript"/>
        </w:rPr>
        <w:t>2</w:t>
      </w:r>
      <w:r>
        <w:rPr>
          <w:rFonts w:ascii="Times New Roman" w:hAnsi="Times New Roman"/>
          <w:b w:val="0"/>
          <w:i w:val="0"/>
          <w:sz w:val="24"/>
        </w:rPr>
        <w:t xml:space="preserve">, and FG </w:t>
      </w:r>
      <w:r>
        <w:rPr>
          <w:rFonts w:ascii="Times New Roman" w:hAnsi="Times New Roman"/>
          <w:b w:val="0"/>
          <w:i w:val="0"/>
          <w:sz w:val="24"/>
          <w:vertAlign w:val="superscript"/>
        </w:rPr>
        <w:t>3</w:t>
      </w:r>
      <w:r>
        <w:rPr>
          <w:rFonts w:ascii="Times New Roman" w:hAnsi="Times New Roman"/>
          <w:b w:val="0"/>
          <w:i w:val="0"/>
          <w:sz w:val="24"/>
        </w:rPr>
        <w:t xml:space="preserve"> (Table 1). Exposures were whole-blood cis-eQTLs from eQTLGen (n = 31,684) </w:t>
      </w:r>
      <w:r>
        <w:rPr>
          <w:rFonts w:ascii="Times New Roman" w:hAnsi="Times New Roman"/>
          <w:b w:val="0"/>
          <w:i w:val="0"/>
          <w:sz w:val="24"/>
          <w:vertAlign w:val="superscript"/>
        </w:rPr>
        <w:t>5</w:t>
      </w:r>
      <w:r>
        <w:rPr>
          <w:rFonts w:ascii="Times New Roman" w:hAnsi="Times New Roman"/>
          <w:b w:val="0"/>
          <w:i w:val="0"/>
          <w:sz w:val="24"/>
        </w:rPr>
        <w:t xml:space="preserve">. Independent replication used GTEx v8 (n = 838, multi-tissue eQTLs) </w:t>
      </w:r>
      <w:r>
        <w:rPr>
          <w:rFonts w:ascii="Times New Roman" w:hAnsi="Times New Roman"/>
          <w:b w:val="0"/>
          <w:i w:val="0"/>
          <w:sz w:val="24"/>
          <w:vertAlign w:val="superscript"/>
        </w:rPr>
        <w:t>6</w:t>
      </w:r>
      <w:r>
        <w:rPr>
          <w:rFonts w:ascii="Times New Roman" w:hAnsi="Times New Roman"/>
          <w:b w:val="0"/>
          <w:i w:val="0"/>
          <w:sz w:val="24"/>
        </w:rPr>
        <w:t xml:space="preserve">, FinnGen R11 </w:t>
      </w:r>
      <w:r>
        <w:rPr>
          <w:rFonts w:ascii="Times New Roman" w:hAnsi="Times New Roman"/>
          <w:b w:val="0"/>
          <w:i w:val="0"/>
          <w:sz w:val="24"/>
          <w:vertAlign w:val="superscript"/>
        </w:rPr>
        <w:t>7</w:t>
      </w:r>
      <w:r>
        <w:rPr>
          <w:rFonts w:ascii="Times New Roman" w:hAnsi="Times New Roman"/>
          <w:b w:val="0"/>
          <w:i w:val="0"/>
          <w:sz w:val="24"/>
        </w:rPr>
        <w:t xml:space="preserve">, and an SMR+HEIDI analysis </w:t>
      </w:r>
      <w:r>
        <w:rPr>
          <w:rFonts w:ascii="Times New Roman" w:hAnsi="Times New Roman"/>
          <w:b w:val="0"/>
          <w:i w:val="0"/>
          <w:sz w:val="24"/>
          <w:vertAlign w:val="superscript"/>
        </w:rPr>
        <w:t>8</w:t>
      </w:r>
      <w:r>
        <w:rPr>
          <w:rFonts w:ascii="Times New Roman" w:hAnsi="Times New Roman"/>
          <w:b w:val="0"/>
          <w:i w:val="0"/>
          <w:sz w:val="24"/>
        </w:rPr>
        <w:t>.</w:t>
      </w:r>
    </w:p>
    <w:p>
      <w:pPr>
        <w:keepNext/>
        <w:spacing w:line="480" w:lineRule="auto" w:after="0"/>
      </w:pPr>
      <w:r>
        <w:rPr>
          <w:rFonts w:ascii="Times New Roman" w:hAnsi="Times New Roman"/>
          <w:b/>
          <w:i w:val="0"/>
          <w:sz w:val="24"/>
        </w:rPr>
        <w:t>2.2 cis-MR instrument selection and Mendelian randomization</w:t>
      </w:r>
    </w:p>
    <w:p>
      <w:pPr>
        <w:spacing w:line="480" w:lineRule="auto" w:after="0"/>
      </w:pPr>
      <w:r>
        <w:rPr>
          <w:rFonts w:ascii="Times New Roman" w:hAnsi="Times New Roman"/>
          <w:b w:val="0"/>
          <w:i w:val="0"/>
          <w:sz w:val="24"/>
        </w:rPr>
        <w:t xml:space="preserve">For each gene–trait pair, cis-eQTL instruments were selected within ±1,000 kb of the gene transcription start site using eQTLGen association p &lt; 5e-6, LD clumped at r² &lt; 0.01 within 1,000 kb using 1000 Genomes Phase 3 EUR as the LD reference </w:t>
      </w:r>
      <w:r>
        <w:rPr>
          <w:rFonts w:ascii="Times New Roman" w:hAnsi="Times New Roman"/>
          <w:b w:val="0"/>
          <w:i w:val="0"/>
          <w:sz w:val="24"/>
          <w:vertAlign w:val="superscript"/>
        </w:rPr>
        <w:t>9</w:t>
      </w:r>
      <w:r>
        <w:rPr>
          <w:rFonts w:ascii="Times New Roman" w:hAnsi="Times New Roman"/>
          <w:b w:val="0"/>
          <w:i w:val="0"/>
          <w:sz w:val="24"/>
        </w:rPr>
        <w:t xml:space="preserve">. Palindromic SNPs with ambiguous allele alignment were discarded (harmonisation palindromic action = 2). Wald-ratio estimates were used for single-instrument genes; inverse-variance weighted estimates (fixed-effect for ≤3 instruments, multiplicative random-effects otherwise) for multi-instrument genes, with MR-Egger and weighted-median sensitivity estimates </w:t>
      </w:r>
      <w:r>
        <w:rPr>
          <w:rFonts w:ascii="Times New Roman" w:hAnsi="Times New Roman"/>
          <w:b w:val="0"/>
          <w:i w:val="0"/>
          <w:sz w:val="24"/>
          <w:vertAlign w:val="superscript"/>
        </w:rPr>
        <w:t>10</w:t>
      </w:r>
      <w:r>
        <w:rPr>
          <w:rFonts w:ascii="Times New Roman" w:hAnsi="Times New Roman"/>
          <w:b w:val="0"/>
          <w:i w:val="0"/>
          <w:sz w:val="24"/>
          <w:vertAlign w:val="superscript"/>
        </w:rPr>
        <w:t>11</w:t>
      </w:r>
      <w:r>
        <w:rPr>
          <w:rFonts w:ascii="Times New Roman" w:hAnsi="Times New Roman"/>
          <w:b w:val="0"/>
          <w:i w:val="0"/>
          <w:sz w:val="24"/>
        </w:rPr>
        <w:t xml:space="preserve">. MR significance was defined as per-outcome Benjamini–Hochberg FDR control at q &lt; 0.05 </w:t>
      </w:r>
      <w:r>
        <w:rPr>
          <w:rFonts w:ascii="Times New Roman" w:hAnsi="Times New Roman"/>
          <w:b w:val="0"/>
          <w:i w:val="0"/>
          <w:sz w:val="24"/>
          <w:vertAlign w:val="superscript"/>
        </w:rPr>
        <w:t>12</w:t>
      </w:r>
      <w:r>
        <w:rPr>
          <w:rFonts w:ascii="Times New Roman" w:hAnsi="Times New Roman"/>
          <w:b w:val="0"/>
          <w:i w:val="0"/>
          <w:sz w:val="24"/>
        </w:rPr>
        <w:t>, applied within each outcome to the marginal cis-MR p-values (the preregistered multiple-testing control; Section 2.6). A stage-2 grid (the previously reported strong-colocalization set plus LD-clumped re-checked candidates) was analyzed separately with the same instrument pipeline.</w:t>
      </w:r>
    </w:p>
    <w:p>
      <w:pPr>
        <w:spacing w:line="480" w:lineRule="auto" w:after="0"/>
      </w:pPr>
      <w:r>
        <w:rPr>
          <w:rFonts w:ascii="Times New Roman" w:hAnsi="Times New Roman"/>
          <w:b/>
          <w:i w:val="0"/>
          <w:sz w:val="24"/>
        </w:rPr>
        <w:t>Sample overlap between exposure and outcome GWAS.</w:t>
      </w:r>
      <w:r>
        <w:rPr>
          <w:rFonts w:ascii="Times New Roman" w:hAnsi="Times New Roman"/>
          <w:b w:val="0"/>
          <w:i w:val="0"/>
          <w:sz w:val="24"/>
        </w:rPr>
        <w:t xml:space="preserve"> eQTLGen comprises whole-blood transcriptomes from European population cohorts </w:t>
      </w:r>
      <w:r>
        <w:rPr>
          <w:rFonts w:ascii="Times New Roman" w:hAnsi="Times New Roman"/>
          <w:b w:val="0"/>
          <w:i w:val="0"/>
          <w:sz w:val="24"/>
          <w:vertAlign w:val="superscript"/>
        </w:rPr>
        <w:t>5</w:t>
      </w:r>
      <w:r>
        <w:rPr>
          <w:rFonts w:ascii="Times New Roman" w:hAnsi="Times New Roman"/>
          <w:b w:val="0"/>
          <w:i w:val="0"/>
          <w:sz w:val="24"/>
        </w:rPr>
        <w:t xml:space="preserve">, several of which also contribute to the outcome GWAS meta-analyses (T2D </w:t>
      </w:r>
      <w:r>
        <w:rPr>
          <w:rFonts w:ascii="Times New Roman" w:hAnsi="Times New Roman"/>
          <w:b w:val="0"/>
          <w:i w:val="0"/>
          <w:sz w:val="24"/>
          <w:vertAlign w:val="superscript"/>
        </w:rPr>
        <w:t>1</w:t>
      </w:r>
      <w:r>
        <w:rPr>
          <w:rFonts w:ascii="Times New Roman" w:hAnsi="Times New Roman"/>
          <w:b w:val="0"/>
          <w:i w:val="0"/>
          <w:sz w:val="24"/>
        </w:rPr>
        <w:t xml:space="preserve">, CAD </w:t>
      </w:r>
      <w:r>
        <w:rPr>
          <w:rFonts w:ascii="Times New Roman" w:hAnsi="Times New Roman"/>
          <w:b w:val="0"/>
          <w:i w:val="0"/>
          <w:sz w:val="24"/>
          <w:vertAlign w:val="superscript"/>
        </w:rPr>
        <w:t>2</w:t>
      </w:r>
      <w:r>
        <w:rPr>
          <w:rFonts w:ascii="Times New Roman" w:hAnsi="Times New Roman"/>
          <w:b w:val="0"/>
          <w:i w:val="0"/>
          <w:sz w:val="24"/>
        </w:rPr>
        <w:t xml:space="preserve">, FG </w:t>
      </w:r>
      <w:r>
        <w:rPr>
          <w:rFonts w:ascii="Times New Roman" w:hAnsi="Times New Roman"/>
          <w:b w:val="0"/>
          <w:i w:val="0"/>
          <w:sz w:val="24"/>
          <w:vertAlign w:val="superscript"/>
        </w:rPr>
        <w:t>3</w:t>
      </w:r>
      <w:r>
        <w:rPr>
          <w:rFonts w:ascii="Times New Roman" w:hAnsi="Times New Roman"/>
          <w:b w:val="0"/>
          <w:i w:val="0"/>
          <w:sz w:val="24"/>
        </w:rPr>
        <w:t xml:space="preserve">). Overlapping samples can bias MR estimates toward the observed association when exposure and outcome are measured in the same individuals </w:t>
      </w:r>
      <w:r>
        <w:rPr>
          <w:rFonts w:ascii="Times New Roman" w:hAnsi="Times New Roman"/>
          <w:b w:val="0"/>
          <w:i w:val="0"/>
          <w:sz w:val="24"/>
          <w:vertAlign w:val="superscript"/>
        </w:rPr>
        <w:t>13</w:t>
      </w:r>
      <w:r>
        <w:rPr>
          <w:rFonts w:ascii="Times New Roman" w:hAnsi="Times New Roman"/>
          <w:b w:val="0"/>
          <w:i w:val="0"/>
          <w:sz w:val="24"/>
        </w:rPr>
        <w:t xml:space="preserve">. This bias is expected to be modest here: overlap is partial, the outcome GWAS used were compiled before the large UK Biobank–based expansions represented by later resources (e.g., </w:t>
      </w:r>
      <w:r>
        <w:rPr>
          <w:rFonts w:ascii="Times New Roman" w:hAnsi="Times New Roman"/>
          <w:b w:val="0"/>
          <w:i w:val="0"/>
          <w:sz w:val="24"/>
          <w:vertAlign w:val="superscript"/>
        </w:rPr>
        <w:t>14</w:t>
      </w:r>
      <w:r>
        <w:rPr>
          <w:rFonts w:ascii="Times New Roman" w:hAnsi="Times New Roman"/>
          <w:b w:val="0"/>
          <w:i w:val="0"/>
          <w:sz w:val="24"/>
        </w:rPr>
        <w:t>), and the primary inference (coloc PP.H4) depends on the regional LD pattern rather than on the MR point estimate alone. We return to this in the Discussion.</w:t>
      </w:r>
    </w:p>
    <w:p>
      <w:pPr>
        <w:keepNext/>
        <w:spacing w:line="480" w:lineRule="auto" w:after="0"/>
      </w:pPr>
      <w:r>
        <w:rPr>
          <w:rFonts w:ascii="Times New Roman" w:hAnsi="Times New Roman"/>
          <w:b/>
          <w:i w:val="0"/>
          <w:sz w:val="24"/>
        </w:rPr>
        <w:t>2.3 Bayesian colocalization</w:t>
      </w:r>
    </w:p>
    <w:p>
      <w:pPr>
        <w:spacing w:line="480" w:lineRule="auto" w:after="0"/>
      </w:pPr>
      <w:r>
        <w:rPr>
          <w:rFonts w:ascii="Times New Roman" w:hAnsi="Times New Roman"/>
          <w:b w:val="0"/>
          <w:i w:val="0"/>
          <w:sz w:val="24"/>
        </w:rPr>
        <w:t xml:space="preserve">For every gene–trait pair with a valid MR estimate, we applied coloc (coloc.abf) </w:t>
      </w:r>
      <w:r>
        <w:rPr>
          <w:rFonts w:ascii="Times New Roman" w:hAnsi="Times New Roman"/>
          <w:b w:val="0"/>
          <w:i w:val="0"/>
          <w:sz w:val="24"/>
          <w:vertAlign w:val="superscript"/>
        </w:rPr>
        <w:t>4</w:t>
      </w:r>
      <w:r>
        <w:rPr>
          <w:rFonts w:ascii="Times New Roman" w:hAnsi="Times New Roman"/>
          <w:b w:val="0"/>
          <w:i w:val="0"/>
          <w:sz w:val="24"/>
        </w:rPr>
        <w:t xml:space="preserve"> with prior probabilities p1 = p2 = 1e-4 and p12 = 1e-5, using region-level summary statistics in the LD block containing the lead instrument. Colocalization support was reported as PP.H4 (probability of a single shared causal variant). Strong colocalization was defined as PP.H4 ≥ 0.8. For a sensitivity set of five representative candidates spanning different signal architectures, we additionally ran coloc.susie with SuSiE fine-mapping </w:t>
      </w:r>
      <w:r>
        <w:rPr>
          <w:rFonts w:ascii="Times New Roman" w:hAnsi="Times New Roman"/>
          <w:b w:val="0"/>
          <w:i w:val="0"/>
          <w:sz w:val="24"/>
          <w:vertAlign w:val="superscript"/>
        </w:rPr>
        <w:t>15</w:t>
      </w:r>
      <w:r>
        <w:rPr>
          <w:rFonts w:ascii="Times New Roman" w:hAnsi="Times New Roman"/>
          <w:b w:val="0"/>
          <w:i w:val="0"/>
          <w:sz w:val="24"/>
          <w:vertAlign w:val="superscript"/>
        </w:rPr>
        <w:t>16</w:t>
      </w:r>
      <w:r>
        <w:rPr>
          <w:rFonts w:ascii="Times New Roman" w:hAnsi="Times New Roman"/>
          <w:b w:val="0"/>
          <w:i w:val="0"/>
          <w:sz w:val="24"/>
        </w:rPr>
        <w:t xml:space="preserve"> under a multiple-causal-variant assumption using external 1000 Genomes EUR LD with equal-prior-variance (EPV = FALSE) and explicit sample size. Because SuSiE did not converge under external LD (max_iter = 200; a repeat run at max_iter = 1000 for the strongest case remained non-convergent), these results are treated as exploratory sensitivity evidence, and the one adjudicated locus (LAMC1×CAD) was decided on multi-signal fine-mapping evidence independent of the non-converged posterior (Section 3.7).</w:t>
      </w:r>
    </w:p>
    <w:p>
      <w:pPr>
        <w:keepNext/>
        <w:spacing w:line="480" w:lineRule="auto" w:after="0"/>
      </w:pPr>
      <w:r>
        <w:rPr>
          <w:rFonts w:ascii="Times New Roman" w:hAnsi="Times New Roman"/>
          <w:b/>
          <w:i w:val="0"/>
          <w:sz w:val="24"/>
        </w:rPr>
        <w:t>2.4 Known-locus annotation and candidate-effector classification</w:t>
      </w:r>
    </w:p>
    <w:p>
      <w:pPr>
        <w:spacing w:line="480" w:lineRule="auto" w:after="0"/>
      </w:pPr>
      <w:r>
        <w:rPr>
          <w:rFonts w:ascii="Times New Roman" w:hAnsi="Times New Roman"/>
          <w:b w:val="0"/>
          <w:i w:val="0"/>
          <w:sz w:val="24"/>
        </w:rPr>
        <w:t xml:space="preserve">The 106 previously reported strong-colocalization loci were annotated against the GWAS Catalog </w:t>
      </w:r>
      <w:r>
        <w:rPr>
          <w:rFonts w:ascii="Times New Roman" w:hAnsi="Times New Roman"/>
          <w:b w:val="0"/>
          <w:i w:val="0"/>
          <w:sz w:val="24"/>
          <w:vertAlign w:val="superscript"/>
        </w:rPr>
        <w:t>17</w:t>
      </w:r>
      <w:r>
        <w:rPr>
          <w:rFonts w:ascii="Times New Roman" w:hAnsi="Times New Roman"/>
          <w:b w:val="0"/>
          <w:i w:val="0"/>
          <w:sz w:val="24"/>
        </w:rPr>
        <w:t xml:space="preserve"> with build-corrected coordinates (rsID to GRCh38 offset, median standard deviation &lt; 1 bp). A locus was considered reported if the lead SNP, any SNP within ±100 kb of the gene, or the gene annotation itself appeared in the catalog. Candidates outside this reported set but within FDR-controlled MR-significant pairs were classified as (i) candidate effector genes at reported T2D/CAD risk loci (within 100 or 250 kb of a reported locus but without a catalog gene record for that locus) or (ii) weak-locus candidates without T2D/CAD catalog records. Throughout, "candidate effector gene" denotes a colocalization-supported gene not currently indexed in GWAS Catalog; absence from the catalog does not imply absence from the literature (catalog records can lag published loci).</w:t>
      </w:r>
    </w:p>
    <w:p>
      <w:pPr>
        <w:keepNext/>
        <w:spacing w:line="480" w:lineRule="auto" w:after="0"/>
      </w:pPr>
      <w:r>
        <w:rPr>
          <w:rFonts w:ascii="Times New Roman" w:hAnsi="Times New Roman"/>
          <w:b/>
          <w:i w:val="0"/>
          <w:sz w:val="24"/>
        </w:rPr>
        <w:t>2.5 Directional replication</w:t>
      </w:r>
    </w:p>
    <w:p>
      <w:pPr>
        <w:spacing w:line="480" w:lineRule="auto" w:after="0"/>
      </w:pPr>
      <w:r>
        <w:rPr>
          <w:rFonts w:ascii="Times New Roman" w:hAnsi="Times New Roman"/>
          <w:b w:val="0"/>
          <w:i w:val="0"/>
          <w:sz w:val="24"/>
        </w:rPr>
        <w:t xml:space="preserve">For the 15 candidate effector genes, we tested direction of effect consistency against (i) GTEx v8 eQTLs (same-gene, tissue-specific; counted per gene–trait pair where a GTEx eQTL overlapping the instrument was available) and (ii) FinnGen R11 (allele-level or LD-proxy variant direction when alignable). SMR+HEIDI </w:t>
      </w:r>
      <w:r>
        <w:rPr>
          <w:rFonts w:ascii="Times New Roman" w:hAnsi="Times New Roman"/>
          <w:b w:val="0"/>
          <w:i w:val="0"/>
          <w:sz w:val="24"/>
          <w:vertAlign w:val="superscript"/>
        </w:rPr>
        <w:t>8</w:t>
      </w:r>
      <w:r>
        <w:rPr>
          <w:rFonts w:ascii="Times New Roman" w:hAnsi="Times New Roman"/>
          <w:b w:val="0"/>
          <w:i w:val="0"/>
          <w:sz w:val="24"/>
        </w:rPr>
        <w:t xml:space="preserve"> was run on the eQTLGen–GWAS pairs with default settings (p_SMR &lt; 0.05, p_HEIDI &gt; 0.01, per-SNP threshold); the proportion of pairs passing HEIDI was reported among the 106 known loci. Steiger directionality </w:t>
      </w:r>
      <w:r>
        <w:rPr>
          <w:rFonts w:ascii="Times New Roman" w:hAnsi="Times New Roman"/>
          <w:b w:val="0"/>
          <w:i w:val="0"/>
          <w:sz w:val="24"/>
          <w:vertAlign w:val="superscript"/>
        </w:rPr>
        <w:t>18</w:t>
      </w:r>
      <w:r>
        <w:rPr>
          <w:rFonts w:ascii="Times New Roman" w:hAnsi="Times New Roman"/>
          <w:b w:val="0"/>
          <w:i w:val="0"/>
          <w:sz w:val="24"/>
        </w:rPr>
        <w:t xml:space="preserve"> was applied to HEIDI-passing pairs.</w:t>
      </w:r>
    </w:p>
    <w:p>
      <w:pPr>
        <w:keepNext/>
        <w:spacing w:line="480" w:lineRule="auto" w:after="0"/>
      </w:pPr>
      <w:r>
        <w:rPr>
          <w:rFonts w:ascii="Times New Roman" w:hAnsi="Times New Roman"/>
          <w:b/>
          <w:i w:val="0"/>
          <w:sz w:val="24"/>
        </w:rPr>
        <w:t>2.6 Statistical analysis</w:t>
      </w:r>
    </w:p>
    <w:p>
      <w:pPr>
        <w:spacing w:line="480" w:lineRule="auto" w:after="0"/>
      </w:pPr>
      <w:r>
        <w:rPr>
          <w:rFonts w:ascii="Times New Roman" w:hAnsi="Times New Roman"/>
          <w:b w:val="0"/>
          <w:i w:val="0"/>
          <w:sz w:val="24"/>
        </w:rPr>
        <w:t xml:space="preserve">Coloc yield was defined as the proportion of pairs in a stratum reaching strong colocalization (PP.H4 ≥ 0.8), with Wilson 95% confidence intervals </w:t>
      </w:r>
      <w:r>
        <w:rPr>
          <w:rFonts w:ascii="Times New Roman" w:hAnsi="Times New Roman"/>
          <w:b w:val="0"/>
          <w:i w:val="0"/>
          <w:sz w:val="24"/>
          <w:vertAlign w:val="superscript"/>
        </w:rPr>
        <w:t>19</w:t>
      </w:r>
      <w:r>
        <w:rPr>
          <w:rFonts w:ascii="Times New Roman" w:hAnsi="Times New Roman"/>
          <w:b w:val="0"/>
          <w:i w:val="0"/>
          <w:sz w:val="24"/>
        </w:rPr>
        <w:t>. The coloc-yield funnel (formerly "precision funnel") was constructed by varying the MR p-value threshold and recomputing the strong-colocalization rate; the preregistered per-outcome BH-FDR point (q &lt; 0.05) is overlaid as the primary operating-characteristic summary, alongside the stage-2 grid point. The rate of strong colocalization outside the MR-significant set was summarized with a Poisson one-sided 95% upper bound. PP.H4 threshold sensitivity was assessed at p12 = 1e-6 and PP.H4 ≥ 0.9 / ≥ 0.5. All analyses used two-sided tests unless otherwise stated.</w:t>
      </w:r>
    </w:p>
    <w:p>
      <w:pPr>
        <w:keepNext/>
        <w:spacing w:line="480" w:lineRule="auto" w:after="0"/>
      </w:pPr>
      <w:r>
        <w:rPr>
          <w:rFonts w:ascii="Times New Roman" w:hAnsi="Times New Roman"/>
          <w:b/>
          <w:i w:val="0"/>
          <w:sz w:val="26"/>
        </w:rPr>
        <w:t>3. Results</w:t>
      </w:r>
    </w:p>
    <w:p>
      <w:pPr>
        <w:keepNext/>
        <w:spacing w:line="480" w:lineRule="auto" w:after="0"/>
      </w:pPr>
      <w:r>
        <w:rPr>
          <w:rFonts w:ascii="Times New Roman" w:hAnsi="Times New Roman"/>
          <w:b/>
          <w:i w:val="0"/>
          <w:sz w:val="24"/>
        </w:rPr>
        <w:t>3.1 Atlas overview</w:t>
      </w:r>
    </w:p>
    <w:p>
      <w:pPr>
        <w:spacing w:line="480" w:lineRule="auto" w:after="0"/>
      </w:pPr>
      <w:r>
        <w:rPr>
          <w:rFonts w:ascii="Times New Roman" w:hAnsi="Times New Roman"/>
          <w:b w:val="0"/>
          <w:i w:val="0"/>
          <w:sz w:val="24"/>
        </w:rPr>
        <w:t>After quality control, 31,371 gene–trait pairs remained for analysis (31,373 tested; 2 failed QC). Applying the preregistered per-outcome BH-FDR control at q &lt; 0.05 identified 982 MR-significant pairs (T2D 394; CAD 576; FG 12), of which 121 reached strong colocalization (PP.H4 ≥ 0.8): T2D 65, CAD 54, FG 2 (Fig 1; Fig 2). This coloc yield of 12.32% (95% CI 10.41–14.53%) is the primary operating-characteristic summary of the atlas. Two additional pairs (AP3S2×T2D, ZNF19×CAD) reached strong colocalization in the MR-null range and none in the MR-negative range (Section 3.3). The 121 MR-significant strong pairs comprised all 106 previously reported loci and 15 additional candidate effector genes.</w:t>
      </w:r>
    </w:p>
    <w:p>
      <w:pPr>
        <w:keepNext/>
        <w:spacing w:line="480" w:lineRule="auto" w:after="0"/>
      </w:pPr>
      <w:r>
        <w:rPr>
          <w:rFonts w:ascii="Times New Roman" w:hAnsi="Times New Roman"/>
          <w:b/>
          <w:i w:val="0"/>
          <w:sz w:val="24"/>
        </w:rPr>
        <w:t>3.2 Coloc yield calibrates with MR evidence</w:t>
      </w:r>
    </w:p>
    <w:p>
      <w:pPr>
        <w:spacing w:line="480" w:lineRule="auto" w:after="0"/>
      </w:pPr>
      <w:r>
        <w:rPr>
          <w:rFonts w:ascii="Times New Roman" w:hAnsi="Times New Roman"/>
          <w:b w:val="0"/>
          <w:i w:val="0"/>
          <w:sz w:val="24"/>
        </w:rPr>
        <w:t>The nominal coloc-yield funnel (strong colocalization among pairs passing a raw MR p threshold) rose from 3.04% at p &lt; 0.05 (129/4,248) to 6.56% at p &lt; 0.01, 8.67% at p &lt; 0.005, 14.81% at p &lt; 0.001, 17.49% at p &lt; 0.0005, 24.59% at p &lt; 0.0001, and 25.59% at p &lt; 1e-5 (254 pairs; Fig 3), demonstrating monotonic calibration of coloc support with instrumental evidence from a baseline of 0.71% across all MR-testable pairs (131/18,542) to 25.6% at the strictest threshold. The preregistered per-outcome FDR core (982 pairs; 121 strong) yields 12.32%, and the independently constructed stage-2 grid (LD-clumped, instrumentally replicated; 106 strong in 818 evaluable pairs) yields 12.96% (95% CI 10.83–15.43%). The two filtering strategies—FDR control and clumping plus instrumental replication—therefore converge on a shared-causal-variant rate of approximately 12–13% among MR-supported pairs.</w:t>
      </w:r>
    </w:p>
    <w:p>
      <w:pPr>
        <w:keepNext/>
        <w:spacing w:line="480" w:lineRule="auto" w:after="0"/>
      </w:pPr>
      <w:r>
        <w:rPr>
          <w:rFonts w:ascii="Times New Roman" w:hAnsi="Times New Roman"/>
          <w:b/>
          <w:i w:val="0"/>
          <w:sz w:val="24"/>
        </w:rPr>
        <w:t>3.3 A decisive negative boundary outside the MR-significant set</w:t>
      </w:r>
    </w:p>
    <w:p>
      <w:pPr>
        <w:spacing w:line="480" w:lineRule="auto" w:after="0"/>
      </w:pPr>
      <w:r>
        <w:rPr>
          <w:rFonts w:ascii="Times New Roman" w:hAnsi="Times New Roman"/>
          <w:b w:val="0"/>
          <w:i w:val="0"/>
          <w:sz w:val="24"/>
        </w:rPr>
        <w:t>Strong colocalization was essentially absent outside the MR-significant set: 2/14,294 MR-null pairs (0.014%) and 0/12,829 MR-negative pairs, for 2/27,123 pairs overall. A Poisson one-sided 95% upper bound on this rate is 0.0232% per pair; the two-sided 95% CI upper limit is ≈0.027%. A stratified random sample of 6,000 pairs from this set contained no strong colocalization. This negative boundary establishes that strong colocalization in our pipeline is restricted to MR-supported hypotheses and is not an artifact of the coloc prior configuration (Fig 4).</w:t>
      </w:r>
    </w:p>
    <w:p>
      <w:pPr>
        <w:keepNext/>
        <w:spacing w:line="480" w:lineRule="auto" w:after="0"/>
      </w:pPr>
      <w:r>
        <w:rPr>
          <w:rFonts w:ascii="Times New Roman" w:hAnsi="Times New Roman"/>
          <w:b/>
          <w:i w:val="0"/>
          <w:sz w:val="24"/>
        </w:rPr>
        <w:t>3.4 Reproduction of previously reported strong colocalizations</w:t>
      </w:r>
    </w:p>
    <w:p>
      <w:pPr>
        <w:spacing w:line="480" w:lineRule="auto" w:after="0"/>
      </w:pPr>
      <w:r>
        <w:rPr>
          <w:rFonts w:ascii="Times New Roman" w:hAnsi="Times New Roman"/>
          <w:b w:val="0"/>
          <w:i w:val="0"/>
          <w:sz w:val="24"/>
        </w:rPr>
        <w:t>All 106 loci that previously reached strong colocalization in our grid analysis were reproduced with the full-scan pipeline (106/106, 100%). After build correction, 86/106 (81%) fell within GWAS Catalog-reported annotations (26 by direct SNP match, 59 within ±100 kb of a reported gene, 1 by gene annotation). SMR+HEIDI on these loci passed in 76/106 (71.7%; 95% CI 62.5–79.4%), and Steiger directionality was consistent (eQTL → outcome) in 73/76 (96.1%; 95% CI 89.0–98.6%) of HEIDI-passing pairs.</w:t>
      </w:r>
    </w:p>
    <w:p>
      <w:pPr>
        <w:keepNext/>
        <w:spacing w:line="480" w:lineRule="auto" w:after="0"/>
      </w:pPr>
      <w:r>
        <w:rPr>
          <w:rFonts w:ascii="Times New Roman" w:hAnsi="Times New Roman"/>
          <w:b/>
          <w:i w:val="0"/>
          <w:sz w:val="24"/>
        </w:rPr>
        <w:t>3.5 Fifteen additional candidate effector genes</w:t>
      </w:r>
    </w:p>
    <w:p>
      <w:pPr>
        <w:spacing w:line="480" w:lineRule="auto" w:after="0"/>
      </w:pPr>
      <w:r>
        <w:rPr>
          <w:rFonts w:ascii="Times New Roman" w:hAnsi="Times New Roman"/>
          <w:b w:val="0"/>
          <w:i w:val="0"/>
          <w:sz w:val="24"/>
        </w:rPr>
        <w:t>Outside the previously reported set, the FDR-core scan identified 15 additional strong-colocalization candidates (7 in T2D, 8 in CAD; Table S2; Fig 6). These comprised 9 candidate effector genes at reported T2D/CAD risk loci—SLC12A3×CAD, CWF19L1×T2D, U6atac×T2D, CD101×T2D, RBM6×T2D, CNNM2×CAD, N4BP2L2×CAD, RIC8A×CAD (8 within 100 kb), and C2orf49×T2D (within 250 kb)—and 6 weak-locus candidates without T2D/CAD catalog records: PLAUR×CAD, TAGLN2×CAD, VSIG8×CAD, PDCD6×T2D, CLEC3B×T2D, CCDC19×CAD. Representative regional colocalization plots (RBM6×T2D, CNNM2×CAD, PLAUR×CAD, CD101×T2D, RIC8A×CAD, and the gray-zone pair AP3S2×T2D) are shown in Fig 5. Eight additional strong pairs from the raw-significant set (LAMC1, TPD52, SENP6, HMGN3, MT3, RPL13, ZBTB46, ZNF100) were excluded by the per-outcome FDR filter (padj ≥ 0.05) and are not retained as candidates. We emphasize that these are colocalization-supported candidate effector genes, not new GWAS loci; "candidate" reflects the absence of a current GWAS Catalog record and does not exclude prior literature.</w:t>
      </w:r>
    </w:p>
    <w:p>
      <w:pPr>
        <w:spacing w:line="480" w:lineRule="auto" w:after="0"/>
      </w:pPr>
      <w:r>
        <w:rPr>
          <w:rFonts w:ascii="Times New Roman" w:hAnsi="Times New Roman"/>
          <w:b w:val="0"/>
          <w:i w:val="0"/>
          <w:sz w:val="24"/>
        </w:rPr>
        <w:t>A critical calibration caveat applies: only 41/106 (38.7%) of the known strong-colocalization regions reach genome-wide significance (p &lt; 5e-8) in their GWAS, and the median GWAS p across regions is 4.73e-7 (per outcome: T2D 24/58 = 41%, CAD 17/46 = 37%, FG 0/2 = 0%). The majority of colocalized regions therefore do not qualify as new GWAS loci and must be interpreted as candidate effector genes supported by orthogonal evidence (MR + coloc + directional replication), a point we return to in the Discussion.</w:t>
      </w:r>
    </w:p>
    <w:p>
      <w:pPr>
        <w:keepNext/>
        <w:spacing w:line="480" w:lineRule="auto" w:after="0"/>
      </w:pPr>
      <w:r>
        <w:rPr>
          <w:rFonts w:ascii="Times New Roman" w:hAnsi="Times New Roman"/>
          <w:b/>
          <w:i w:val="0"/>
          <w:sz w:val="24"/>
        </w:rPr>
        <w:t>3.6 Directional replication in independent resources</w:t>
      </w:r>
    </w:p>
    <w:p>
      <w:pPr>
        <w:spacing w:line="480" w:lineRule="auto" w:after="0"/>
      </w:pPr>
      <w:r>
        <w:rPr>
          <w:rFonts w:ascii="Times New Roman" w:hAnsi="Times New Roman"/>
          <w:b w:val="0"/>
          <w:i w:val="0"/>
          <w:sz w:val="24"/>
        </w:rPr>
        <w:t>For the 15 candidate effector genes, GTEx v8 supported the eQTLGen direction in 6/7 gene–trait pairs with an overlapping GTEx eQTL (85.7%; 95% CI 48.7–97.4%; one conflict, VSIG8×CAD). None of the 15 candidates is an FG pair (FG has no FinnGen analog); 9/15 were alignable to FinnGen R11, with 9/9 gene-level and 8/9 variant-level direction concordance, and 4 reached FinnGen p &lt; 0.05: RBM6×T2D p = 6.9e-6, CNNM2×CAD p = 6.3e-4, CD101×T2D p = 1.2e-3, RIC8A×CAD p = 1.1e-2 (Fig 7). All four FinnGen-significant candidates also survived the coloc.susie sensitivity analysis (Section 3.7).</w:t>
      </w:r>
    </w:p>
    <w:p>
      <w:pPr>
        <w:keepNext/>
        <w:spacing w:line="480" w:lineRule="auto" w:after="0"/>
      </w:pPr>
      <w:r>
        <w:rPr>
          <w:rFonts w:ascii="Times New Roman" w:hAnsi="Times New Roman"/>
          <w:b/>
          <w:i w:val="0"/>
          <w:sz w:val="24"/>
        </w:rPr>
        <w:t>3.7 Sensitivity of strong-colocalization calls to the single-causal-variant assumption</w:t>
      </w:r>
    </w:p>
    <w:p>
      <w:pPr>
        <w:spacing w:line="480" w:lineRule="auto" w:after="0"/>
      </w:pPr>
      <w:r>
        <w:rPr>
          <w:rFonts w:ascii="Times New Roman" w:hAnsi="Times New Roman"/>
          <w:b w:val="0"/>
          <w:i w:val="0"/>
          <w:sz w:val="24"/>
        </w:rPr>
        <w:t>Under a multiple-causal-variant assumption (coloc.susie with external 1000 Genomes EUR LD), all five candidate-effector loci spanning different signal architectures remained strongly supported (SuSiE PP.H4 ≥ 0.999: RBM6×T2D 1.0000, CNNM2×CAD 0.9996, PLAUR×CAD 0.9990, CD101×T2D 1.0000, RIC8A×CAD 1.0000), indicating that the coloc.abf single-causal-variant assumption does not drive the retained calls. The one originally nominated locus that collapsed under SuSiE, LAMC1×CAD (coloc.abf PP.H4 = 0.9139 → SuSiE 0.0000), was independently excluded by the FDR filter (padj ≥ 0.05) and is not among the 15 candidates: fine-mapping revealed eight independent eQTL credible sets at the locus versus three weak GWAS credible sets (maximum z = 4.32) with no shared variant, demonstrating that in multi-signal regions with weak GWAS evidence, coloc.abf can overstate PP.H4. None of the 15 retained candidates therefore depends on the single-causal-variant assumption for its support. Model convergence was not reached under external LD for any SuSiE run (max_iter = 200; max_iter = 1000 did not resolve the non-convergence for the strongest case, RBM6×T2D). Non-convergence is a diagnostic that external LD and summary statistics are imperfectly matched, a general limitation of SuSiE with external reference panels; we therefore treat the SuSiE results as exploratory sensitivity evidence and adjudicate LAMC1 on multi-signal evidence independent of the non-converged posterior (Table S3; Discussion).</w:t>
      </w:r>
    </w:p>
    <w:p>
      <w:pPr>
        <w:keepNext/>
        <w:spacing w:line="480" w:lineRule="auto" w:after="0"/>
      </w:pPr>
      <w:r>
        <w:rPr>
          <w:rFonts w:ascii="Times New Roman" w:hAnsi="Times New Roman"/>
          <w:b/>
          <w:i w:val="0"/>
          <w:sz w:val="24"/>
        </w:rPr>
        <w:t>3.8 Threshold and model sensitivity</w:t>
      </w:r>
    </w:p>
    <w:p>
      <w:pPr>
        <w:spacing w:line="480" w:lineRule="auto" w:after="0"/>
      </w:pPr>
      <w:r>
        <w:rPr>
          <w:rFonts w:ascii="Times New Roman" w:hAnsi="Times New Roman"/>
          <w:b w:val="0"/>
          <w:i w:val="0"/>
          <w:sz w:val="24"/>
        </w:rPr>
        <w:t>Within the FDR-core set, the strong-colocalization count was monotonic in the PP.H4 threshold: 290 pairs (29.5%) at PP.H4 ≥ 0.5, 121 (12.3%) at ≥ 0.8, and 74 (7.5%) at ≥ 0.9. Outside the MR-significant set, 11 pairs reached PP.H4 ≥ 0.5 and 2 reached ≥ 0.8 (both MR-null; Section 3.3). Setting the coloc prior to p12 = 1e-6 yielded 20/106 grid loci (data not shown). A permutation-based false-positive estimate in the MR-significant subset was 1.45% (106 loci × 100 permutations; PP.H4 ≥ 0.8); we did not calibrate this to the full scan and therefore report it as an upper-bound indicator (Discussion).</w:t>
      </w:r>
    </w:p>
    <w:p>
      <w:pPr>
        <w:keepNext/>
        <w:spacing w:line="480" w:lineRule="auto" w:after="0"/>
      </w:pPr>
      <w:r>
        <w:rPr>
          <w:rFonts w:ascii="Times New Roman" w:hAnsi="Times New Roman"/>
          <w:b/>
          <w:i w:val="0"/>
          <w:sz w:val="26"/>
        </w:rPr>
        <w:t>4. Discussion</w:t>
      </w:r>
    </w:p>
    <w:p>
      <w:pPr>
        <w:spacing w:line="480" w:lineRule="auto" w:after="0"/>
      </w:pPr>
      <w:r>
        <w:rPr>
          <w:rFonts w:ascii="Times New Roman" w:hAnsi="Times New Roman"/>
          <w:b w:val="0"/>
          <w:i w:val="0"/>
          <w:sz w:val="24"/>
        </w:rPr>
        <w:t>We present a transcriptome-wide cis-MR × coloc atlas for T2D, CAD, and FG that quantifies the operating characteristics of the standard gene-prioritization pipeline. Three results deserve emphasis. First, coloc yield calibrates monotonically with MR evidence (0.71% → 25.6% across the MR p-value funnel), and two independent filtering strategies—per-outcome BH-FDR (12.32%) and LD clumping plus instrumental replication (12.96%)—converge on a shared-causal-variant rate of approximately 12–13% among MR-supported pairs. Second, strong colocalization is essentially absent outside the MR-significant set (2/27,123 pairs; one-sided 95% upper bound 0.0232%/pair), providing a decisive negative boundary that constrains false-positive rates for a well-specified coloc prior. Third, all 106 previously reported strong colocalizations reproduced, and 15 additional candidate effector genes survived directional replication in GTEx and FinnGen, with HEIDI and Steiger support in the known-locus set.</w:t>
      </w:r>
    </w:p>
    <w:p>
      <w:pPr>
        <w:spacing w:line="480" w:lineRule="auto" w:after="0"/>
      </w:pPr>
      <w:r>
        <w:rPr>
          <w:rFonts w:ascii="Times New Roman" w:hAnsi="Times New Roman"/>
          <w:b w:val="0"/>
          <w:i w:val="0"/>
          <w:sz w:val="24"/>
        </w:rPr>
        <w:t>These results have practical implications. The coloc-yield funnel provides an interpretable calibration for investigators applying cis-MR × coloc: coloc support at MR p values near 0.05 carries only ~3% yield, whereas yield exceeds 25% only at MR p &lt; 1e-5, and FDR control or clumped, replicated instruments raise the effective yield to ~12–13%. The 15 candidates add to the effector-gene annotation of T2D and CAD risk loci, several (e.g., RBM6×T2D, CNNM2×CAD) with GWAS-significant peaks and FinnGen replication; independent functional validation would be required before prioritizing them experimentally.</w:t>
      </w:r>
    </w:p>
    <w:p>
      <w:pPr>
        <w:spacing w:line="480" w:lineRule="auto" w:after="0"/>
      </w:pPr>
      <w:r>
        <w:rPr>
          <w:rFonts w:ascii="Times New Roman" w:hAnsi="Times New Roman"/>
          <w:b w:val="0"/>
          <w:i w:val="0"/>
          <w:sz w:val="24"/>
        </w:rPr>
        <w:t xml:space="preserve">We are explicit about the limitations. First, sample overlap between the exposure (eQTLGen) and the outcome GWAS can bias MR estimates; the effect is expected to be modest here because overlap is partial, the outcome GWAS predate the large UK Biobank–based expansions </w:t>
      </w:r>
      <w:r>
        <w:rPr>
          <w:rFonts w:ascii="Times New Roman" w:hAnsi="Times New Roman"/>
          <w:b w:val="0"/>
          <w:i w:val="0"/>
          <w:sz w:val="24"/>
          <w:vertAlign w:val="superscript"/>
        </w:rPr>
        <w:t>14</w:t>
      </w:r>
      <w:r>
        <w:rPr>
          <w:rFonts w:ascii="Times New Roman" w:hAnsi="Times New Roman"/>
          <w:b w:val="0"/>
          <w:i w:val="0"/>
          <w:sz w:val="24"/>
        </w:rPr>
        <w:t xml:space="preserve">, and the primary inference (coloc PP.H4) depends on regional LD patterns rather than on the MR point estimate alone (Methods 2.2; </w:t>
      </w:r>
      <w:r>
        <w:rPr>
          <w:rFonts w:ascii="Times New Roman" w:hAnsi="Times New Roman"/>
          <w:b w:val="0"/>
          <w:i w:val="0"/>
          <w:sz w:val="24"/>
          <w:vertAlign w:val="superscript"/>
        </w:rPr>
        <w:t>13</w:t>
      </w:r>
      <w:r>
        <w:rPr>
          <w:rFonts w:ascii="Times New Roman" w:hAnsi="Times New Roman"/>
          <w:b w:val="0"/>
          <w:i w:val="0"/>
          <w:sz w:val="24"/>
        </w:rPr>
        <w:t xml:space="preserve">). Second, only 38.7% of known strong-colocalization regions reach GWAS significance (median GWAS p = 4.73e-7); most colocalized regions are candidate effector genes supported by converging evidence rather than definitive new loci. Third, the permutation false-positive rate (1.45%) was estimated only in the MR-significant subset and was not scaled genome-wide; we treat it as an upper-bound indicator. Fourth, coloc.susie did not converge under external LD and is treated as exploratory sensitivity evidence; the one locus it flagged (LAMC1×CAD) is independently excluded by the FDR filter, but non-convergence limits how strongly we can assert robustness for the retained candidates. Fifth, MR with single instruments is mathematically equivalent to SMR </w:t>
      </w:r>
      <w:r>
        <w:rPr>
          <w:rFonts w:ascii="Times New Roman" w:hAnsi="Times New Roman"/>
          <w:b w:val="0"/>
          <w:i w:val="0"/>
          <w:sz w:val="24"/>
          <w:vertAlign w:val="superscript"/>
        </w:rPr>
        <w:t>8</w:t>
      </w:r>
      <w:r>
        <w:rPr>
          <w:rFonts w:ascii="Times New Roman" w:hAnsi="Times New Roman"/>
          <w:b w:val="0"/>
          <w:i w:val="0"/>
          <w:sz w:val="24"/>
        </w:rPr>
        <w:t>; the two should not be treated as independent validation. Finally, whole-blood eQTLs capture only the transcript in blood; tissue-specific effector genes (e.g., pancreatic, vascular) may be missed.</w:t>
      </w:r>
    </w:p>
    <w:p>
      <w:pPr>
        <w:spacing w:line="480" w:lineRule="auto" w:after="0"/>
      </w:pPr>
      <w:r>
        <w:rPr>
          <w:rFonts w:ascii="Times New Roman" w:hAnsi="Times New Roman"/>
          <w:b w:val="0"/>
          <w:i w:val="0"/>
          <w:sz w:val="24"/>
        </w:rPr>
        <w:t>In conclusion, cis-MR × coloc is a calibrated and conservative tool for effector-gene prioritization, and we provide a public atlas of 121 MR-significant strong-colocalization pairs (106 replicated + 15 candidate effector genes) with directional replication for T2D, CAD, and FG.</w:t>
      </w:r>
    </w:p>
    <w:p>
      <w:pPr>
        <w:keepNext/>
        <w:spacing w:line="480" w:lineRule="auto" w:after="0"/>
      </w:pPr>
      <w:r>
        <w:rPr>
          <w:rFonts w:ascii="Times New Roman" w:hAnsi="Times New Roman"/>
          <w:b/>
          <w:i w:val="0"/>
          <w:sz w:val="26"/>
        </w:rPr>
        <w:t>Data and Code Availability</w:t>
      </w:r>
    </w:p>
    <w:p>
      <w:pPr>
        <w:spacing w:line="480" w:lineRule="auto" w:after="0"/>
      </w:pPr>
      <w:r>
        <w:rPr>
          <w:rFonts w:ascii="Times New Roman" w:hAnsi="Times New Roman"/>
          <w:b w:val="0"/>
          <w:i w:val="0"/>
          <w:sz w:val="24"/>
        </w:rPr>
        <w:t xml:space="preserve">All analyses used publicly available summary statistics: eQTLGen whole-blood cis-eQTLs (n = 31,684) </w:t>
      </w:r>
      <w:r>
        <w:rPr>
          <w:rFonts w:ascii="Times New Roman" w:hAnsi="Times New Roman"/>
          <w:b w:val="0"/>
          <w:i w:val="0"/>
          <w:sz w:val="24"/>
          <w:vertAlign w:val="superscript"/>
        </w:rPr>
        <w:t>5</w:t>
      </w:r>
      <w:r>
        <w:rPr>
          <w:rFonts w:ascii="Times New Roman" w:hAnsi="Times New Roman"/>
          <w:b w:val="0"/>
          <w:i w:val="0"/>
          <w:sz w:val="24"/>
        </w:rPr>
        <w:t xml:space="preserve">; T2D GWAS (Xue 2018, GCST006867; n = 655,666, 61,714 cases; per-variant N ≈ 573,704) </w:t>
      </w:r>
      <w:r>
        <w:rPr>
          <w:rFonts w:ascii="Times New Roman" w:hAnsi="Times New Roman"/>
          <w:b w:val="0"/>
          <w:i w:val="0"/>
          <w:sz w:val="24"/>
          <w:vertAlign w:val="superscript"/>
        </w:rPr>
        <w:t>1</w:t>
      </w:r>
      <w:r>
        <w:rPr>
          <w:rFonts w:ascii="Times New Roman" w:hAnsi="Times New Roman"/>
          <w:b w:val="0"/>
          <w:i w:val="0"/>
          <w:sz w:val="24"/>
        </w:rPr>
        <w:t xml:space="preserve">; CAD GWAS (van der Harst 2018, GCST005194; n = 296,525) </w:t>
      </w:r>
      <w:r>
        <w:rPr>
          <w:rFonts w:ascii="Times New Roman" w:hAnsi="Times New Roman"/>
          <w:b w:val="0"/>
          <w:i w:val="0"/>
          <w:sz w:val="24"/>
          <w:vertAlign w:val="superscript"/>
        </w:rPr>
        <w:t>2</w:t>
      </w:r>
      <w:r>
        <w:rPr>
          <w:rFonts w:ascii="Times New Roman" w:hAnsi="Times New Roman"/>
          <w:b w:val="0"/>
          <w:i w:val="0"/>
          <w:sz w:val="24"/>
        </w:rPr>
        <w:t xml:space="preserve">; FG GWAS (Manning 2012, GCST005186; n = 58,074) </w:t>
      </w:r>
      <w:r>
        <w:rPr>
          <w:rFonts w:ascii="Times New Roman" w:hAnsi="Times New Roman"/>
          <w:b w:val="0"/>
          <w:i w:val="0"/>
          <w:sz w:val="24"/>
          <w:vertAlign w:val="superscript"/>
        </w:rPr>
        <w:t>3</w:t>
      </w:r>
      <w:r>
        <w:rPr>
          <w:rFonts w:ascii="Times New Roman" w:hAnsi="Times New Roman"/>
          <w:b w:val="0"/>
          <w:i w:val="0"/>
          <w:sz w:val="24"/>
        </w:rPr>
        <w:t xml:space="preserve">; GTEx v8 </w:t>
      </w:r>
      <w:r>
        <w:rPr>
          <w:rFonts w:ascii="Times New Roman" w:hAnsi="Times New Roman"/>
          <w:b w:val="0"/>
          <w:i w:val="0"/>
          <w:sz w:val="24"/>
          <w:vertAlign w:val="superscript"/>
        </w:rPr>
        <w:t>6</w:t>
      </w:r>
      <w:r>
        <w:rPr>
          <w:rFonts w:ascii="Times New Roman" w:hAnsi="Times New Roman"/>
          <w:b w:val="0"/>
          <w:i w:val="0"/>
          <w:sz w:val="24"/>
        </w:rPr>
        <w:t xml:space="preserve">; FinnGen R11 </w:t>
      </w:r>
      <w:r>
        <w:rPr>
          <w:rFonts w:ascii="Times New Roman" w:hAnsi="Times New Roman"/>
          <w:b w:val="0"/>
          <w:i w:val="0"/>
          <w:sz w:val="24"/>
          <w:vertAlign w:val="superscript"/>
        </w:rPr>
        <w:t>7</w:t>
      </w:r>
      <w:r>
        <w:rPr>
          <w:rFonts w:ascii="Times New Roman" w:hAnsi="Times New Roman"/>
          <w:b w:val="0"/>
          <w:i w:val="0"/>
          <w:sz w:val="24"/>
        </w:rPr>
        <w:t xml:space="preserve">; and 1000 Genomes Phase 3 EUR as the LD reference </w:t>
      </w:r>
      <w:r>
        <w:rPr>
          <w:rFonts w:ascii="Times New Roman" w:hAnsi="Times New Roman"/>
          <w:b w:val="0"/>
          <w:i w:val="0"/>
          <w:sz w:val="24"/>
          <w:vertAlign w:val="superscript"/>
        </w:rPr>
        <w:t>9</w:t>
      </w:r>
      <w:r>
        <w:rPr>
          <w:rFonts w:ascii="Times New Roman" w:hAnsi="Times New Roman"/>
          <w:b w:val="0"/>
          <w:i w:val="0"/>
          <w:sz w:val="24"/>
        </w:rPr>
        <w:t>. Colocalization support estimates, instrument lists, replication statistics, and the analysis scripts are provided as a public atlas (Zenodo deposition; DOI to be registered at acceptance). Analysis code is available at https://github.com/qgeng1465/dual-channel-mr-atlas.</w:t>
      </w:r>
    </w:p>
    <w:p>
      <w:pPr>
        <w:spacing w:line="480" w:lineRule="auto" w:after="0"/>
      </w:pPr>
      <w:r>
        <w:rPr>
          <w:rFonts w:ascii="Times New Roman" w:hAnsi="Times New Roman"/>
          <w:b w:val="0"/>
          <w:i w:val="0"/>
          <w:sz w:val="24"/>
        </w:rPr>
        <w:t>This study is a hypothesis-generating, exhaustive enumeration of a publicly available summary-statistics atlas. The analytical protocol (instrument definition, MR methods, colocalization threshold, multiple-testing control) was fixed in an internal design-lock document before analysis; the analysis was not prospectively registered on a third-party platform. No individual-level data were collected for this study, and institutional review board approval was not required.</w:t>
      </w:r>
    </w:p>
    <w:p>
      <w:pPr>
        <w:keepNext/>
        <w:spacing w:line="480" w:lineRule="auto" w:after="0"/>
      </w:pPr>
      <w:r>
        <w:rPr>
          <w:rFonts w:ascii="Times New Roman" w:hAnsi="Times New Roman"/>
          <w:b/>
          <w:i w:val="0"/>
          <w:sz w:val="26"/>
        </w:rPr>
        <w:t>Web Resources</w:t>
      </w:r>
    </w:p>
    <w:p>
      <w:pPr>
        <w:spacing w:line="480" w:lineRule="auto" w:after="0"/>
        <w:ind w:left="504"/>
      </w:pPr>
      <w:r>
        <w:rPr>
          <w:rFonts w:ascii="Times New Roman" w:hAnsi="Times New Roman"/>
          <w:b w:val="0"/>
          <w:i w:val="0"/>
          <w:sz w:val="24"/>
        </w:rPr>
        <w:t>eQTLGen: https://www.eqtlgen.org</w:t>
      </w:r>
    </w:p>
    <w:p>
      <w:pPr>
        <w:spacing w:line="480" w:lineRule="auto" w:after="0"/>
        <w:ind w:left="504"/>
      </w:pPr>
      <w:r>
        <w:rPr>
          <w:rFonts w:ascii="Times New Roman" w:hAnsi="Times New Roman"/>
          <w:b w:val="0"/>
          <w:i w:val="0"/>
          <w:sz w:val="24"/>
        </w:rPr>
        <w:t>GTEx Portal: https://gtexportal.org</w:t>
      </w:r>
    </w:p>
    <w:p>
      <w:pPr>
        <w:spacing w:line="480" w:lineRule="auto" w:after="0"/>
        <w:ind w:left="504"/>
      </w:pPr>
      <w:r>
        <w:rPr>
          <w:rFonts w:ascii="Times New Roman" w:hAnsi="Times New Roman"/>
          <w:b w:val="0"/>
          <w:i w:val="0"/>
          <w:sz w:val="24"/>
        </w:rPr>
        <w:t>FinnGen: https://www.finngen.fi</w:t>
      </w:r>
    </w:p>
    <w:p>
      <w:pPr>
        <w:spacing w:line="480" w:lineRule="auto" w:after="0"/>
        <w:ind w:left="504"/>
      </w:pPr>
      <w:r>
        <w:rPr>
          <w:rFonts w:ascii="Times New Roman" w:hAnsi="Times New Roman"/>
          <w:b w:val="0"/>
          <w:i w:val="0"/>
          <w:sz w:val="24"/>
        </w:rPr>
        <w:t>OpenGWAS (GWAS summary data): https://gwas.mrcieu.ac.uk</w:t>
      </w:r>
    </w:p>
    <w:p>
      <w:pPr>
        <w:spacing w:line="480" w:lineRule="auto" w:after="0"/>
        <w:ind w:left="504"/>
      </w:pPr>
      <w:r>
        <w:rPr>
          <w:rFonts w:ascii="Times New Roman" w:hAnsi="Times New Roman"/>
          <w:b w:val="0"/>
          <w:i w:val="0"/>
          <w:sz w:val="24"/>
        </w:rPr>
        <w:t>GWAS Catalog: https://www.ebi.ac.uk/gwas</w:t>
      </w:r>
    </w:p>
    <w:p>
      <w:pPr>
        <w:spacing w:line="480" w:lineRule="auto" w:after="0"/>
        <w:ind w:left="504"/>
      </w:pPr>
      <w:r>
        <w:rPr>
          <w:rFonts w:ascii="Times New Roman" w:hAnsi="Times New Roman"/>
          <w:b w:val="0"/>
          <w:i w:val="0"/>
          <w:sz w:val="24"/>
        </w:rPr>
        <w:t>1000 Genomes: https://www.internationalgenome.org</w:t>
      </w:r>
    </w:p>
    <w:p>
      <w:pPr>
        <w:keepNext/>
        <w:spacing w:line="480" w:lineRule="auto" w:after="0"/>
      </w:pPr>
      <w:r>
        <w:rPr>
          <w:rFonts w:ascii="Times New Roman" w:hAnsi="Times New Roman"/>
          <w:b/>
          <w:i w:val="0"/>
          <w:sz w:val="26"/>
        </w:rPr>
        <w:t>Declaration of Interests</w:t>
      </w:r>
    </w:p>
    <w:p>
      <w:pPr>
        <w:spacing w:line="480" w:lineRule="auto" w:after="0"/>
      </w:pPr>
      <w:r>
        <w:rPr>
          <w:rFonts w:ascii="Times New Roman" w:hAnsi="Times New Roman"/>
          <w:b w:val="0"/>
          <w:i w:val="0"/>
          <w:sz w:val="24"/>
        </w:rPr>
        <w:t>The author declares no competing interests.</w:t>
      </w:r>
    </w:p>
    <w:p>
      <w:pPr>
        <w:keepNext/>
        <w:spacing w:line="480" w:lineRule="auto" w:after="0"/>
      </w:pPr>
      <w:r>
        <w:rPr>
          <w:rFonts w:ascii="Times New Roman" w:hAnsi="Times New Roman"/>
          <w:b/>
          <w:i w:val="0"/>
          <w:sz w:val="26"/>
        </w:rPr>
        <w:t>Funding</w:t>
      </w:r>
    </w:p>
    <w:p>
      <w:pPr>
        <w:spacing w:line="480" w:lineRule="auto" w:after="0"/>
      </w:pPr>
      <w:r>
        <w:rPr>
          <w:rFonts w:ascii="Times New Roman" w:hAnsi="Times New Roman"/>
          <w:b w:val="0"/>
          <w:i w:val="0"/>
          <w:sz w:val="24"/>
        </w:rPr>
        <w:t>This work received no specific external funding.</w:t>
      </w:r>
    </w:p>
    <w:p>
      <w:r>
        <w:br w:type="page"/>
      </w:r>
    </w:p>
    <w:p>
      <w:pPr>
        <w:keepNext/>
        <w:spacing w:line="480" w:lineRule="auto" w:after="0"/>
      </w:pPr>
      <w:r>
        <w:rPr>
          <w:rFonts w:ascii="Times New Roman" w:hAnsi="Times New Roman"/>
          <w:b/>
          <w:i w:val="0"/>
          <w:sz w:val="26"/>
        </w:rPr>
        <w:t>References</w:t>
      </w:r>
    </w:p>
    <w:p>
      <w:pPr>
        <w:spacing w:line="480" w:lineRule="auto" w:after="0"/>
        <w:ind w:left="576" w:hanging="576"/>
      </w:pPr>
      <w:r>
        <w:rPr>
          <w:rFonts w:ascii="Times New Roman" w:hAnsi="Times New Roman"/>
          <w:b w:val="0"/>
          <w:i w:val="0"/>
          <w:sz w:val="24"/>
        </w:rPr>
        <w:t xml:space="preserve">1. </w:t>
      </w:r>
      <w:r>
        <w:rPr>
          <w:rFonts w:ascii="Times New Roman" w:hAnsi="Times New Roman"/>
          <w:b w:val="0"/>
          <w:i w:val="0"/>
          <w:sz w:val="24"/>
        </w:rPr>
        <w:t>Xue A, Wu Y, Zhu Z, et al. Genome-wide association analyses identify 143 risk variants and putative regulatory mechanisms for type 2 diabetes. Nat Commun. 2018;9(1):2941. doi:10.1038/s41467-018-04951-w.</w:t>
      </w:r>
    </w:p>
    <w:p>
      <w:pPr>
        <w:spacing w:line="480" w:lineRule="auto" w:after="0"/>
        <w:ind w:left="576" w:hanging="576"/>
      </w:pPr>
      <w:r>
        <w:rPr>
          <w:rFonts w:ascii="Times New Roman" w:hAnsi="Times New Roman"/>
          <w:b w:val="0"/>
          <w:i w:val="0"/>
          <w:sz w:val="24"/>
        </w:rPr>
        <w:t xml:space="preserve">2. </w:t>
      </w:r>
      <w:r>
        <w:rPr>
          <w:rFonts w:ascii="Times New Roman" w:hAnsi="Times New Roman"/>
          <w:b w:val="0"/>
          <w:i w:val="0"/>
          <w:sz w:val="24"/>
        </w:rPr>
        <w:t>van der Harst P, Verweij N. Identification of 64 novel genetic loci provides an expanded view on the genetic architecture of coronary artery disease. Circ Res. 2018;122(3):433-443. doi:10.1161/CIRCRESAHA.117.312086.</w:t>
      </w:r>
    </w:p>
    <w:p>
      <w:pPr>
        <w:spacing w:line="480" w:lineRule="auto" w:after="0"/>
        <w:ind w:left="576" w:hanging="576"/>
      </w:pPr>
      <w:r>
        <w:rPr>
          <w:rFonts w:ascii="Times New Roman" w:hAnsi="Times New Roman"/>
          <w:b w:val="0"/>
          <w:i w:val="0"/>
          <w:sz w:val="24"/>
        </w:rPr>
        <w:t xml:space="preserve">3. </w:t>
      </w:r>
      <w:r>
        <w:rPr>
          <w:rFonts w:ascii="Times New Roman" w:hAnsi="Times New Roman"/>
          <w:b w:val="0"/>
          <w:i w:val="0"/>
          <w:sz w:val="24"/>
        </w:rPr>
        <w:t>Manning AK, Hivert MF, Scott RA, et al. A genome-wide approach accounting for body mass index identifies genetic variants influencing fasting glycemic traits and insulin resistance. Nat Genet. 2012;44(6):659-669. doi:10.1038/ng.2274.</w:t>
      </w:r>
    </w:p>
    <w:p>
      <w:pPr>
        <w:spacing w:line="480" w:lineRule="auto" w:after="0"/>
        <w:ind w:left="576" w:hanging="576"/>
      </w:pPr>
      <w:r>
        <w:rPr>
          <w:rFonts w:ascii="Times New Roman" w:hAnsi="Times New Roman"/>
          <w:b w:val="0"/>
          <w:i w:val="0"/>
          <w:sz w:val="24"/>
        </w:rPr>
        <w:t xml:space="preserve">4. </w:t>
      </w:r>
      <w:r>
        <w:rPr>
          <w:rFonts w:ascii="Times New Roman" w:hAnsi="Times New Roman"/>
          <w:b w:val="0"/>
          <w:i w:val="0"/>
          <w:sz w:val="24"/>
        </w:rPr>
        <w:t>Giambartolomei C, Vukcevic D, Schadt EE, et al. Bayesian test for colocalisation between pairs of genetic association studies using summary statistics. PLoS Genet. 2014;10(5):e1004383. doi:10.1371/journal.pgen.1004383.</w:t>
      </w:r>
    </w:p>
    <w:p>
      <w:pPr>
        <w:spacing w:line="480" w:lineRule="auto" w:after="0"/>
        <w:ind w:left="576" w:hanging="576"/>
      </w:pPr>
      <w:r>
        <w:rPr>
          <w:rFonts w:ascii="Times New Roman" w:hAnsi="Times New Roman"/>
          <w:b w:val="0"/>
          <w:i w:val="0"/>
          <w:sz w:val="24"/>
        </w:rPr>
        <w:t xml:space="preserve">5. </w:t>
      </w:r>
      <w:r>
        <w:rPr>
          <w:rFonts w:ascii="Times New Roman" w:hAnsi="Times New Roman"/>
          <w:b w:val="0"/>
          <w:i w:val="0"/>
          <w:sz w:val="24"/>
        </w:rPr>
        <w:t>Võsa U, Claringbould A, Westra HJ, et al. Large-scale cis- and trans-eQTL analyses identify thousands of genetic loci and polygenic scores that regulate blood gene expression. Nat Genet. 2021;53(9):1300-1310. doi:10.1038/s41588-021-00913-z.</w:t>
      </w:r>
    </w:p>
    <w:p>
      <w:pPr>
        <w:spacing w:line="480" w:lineRule="auto" w:after="0"/>
        <w:ind w:left="576" w:hanging="576"/>
      </w:pPr>
      <w:r>
        <w:rPr>
          <w:rFonts w:ascii="Times New Roman" w:hAnsi="Times New Roman"/>
          <w:b w:val="0"/>
          <w:i w:val="0"/>
          <w:sz w:val="24"/>
        </w:rPr>
        <w:t xml:space="preserve">6. </w:t>
      </w:r>
      <w:r>
        <w:rPr>
          <w:rFonts w:ascii="Times New Roman" w:hAnsi="Times New Roman"/>
          <w:b w:val="0"/>
          <w:i w:val="0"/>
          <w:sz w:val="24"/>
        </w:rPr>
        <w:t>GTEx Consortium. The GTEx Consortium atlas of genetic regulatory effects across human tissues. Science. 2020;369(6509):1318-1330. doi:10.1126/science.aaz1776.</w:t>
      </w:r>
    </w:p>
    <w:p>
      <w:pPr>
        <w:spacing w:line="480" w:lineRule="auto" w:after="0"/>
        <w:ind w:left="576" w:hanging="576"/>
      </w:pPr>
      <w:r>
        <w:rPr>
          <w:rFonts w:ascii="Times New Roman" w:hAnsi="Times New Roman"/>
          <w:b w:val="0"/>
          <w:i w:val="0"/>
          <w:sz w:val="24"/>
        </w:rPr>
        <w:t xml:space="preserve">7. </w:t>
      </w:r>
      <w:r>
        <w:rPr>
          <w:rFonts w:ascii="Times New Roman" w:hAnsi="Times New Roman"/>
          <w:b w:val="0"/>
          <w:i w:val="0"/>
          <w:sz w:val="24"/>
        </w:rPr>
        <w:t>Kurki MI, Karjalainen J, Palta P, et al. FinnGen provides genetic insights from a well-phenotyped isolated population. Nature. 2023;613(7944):508-518. doi:10.1038/s41586-022-05473-8.</w:t>
      </w:r>
    </w:p>
    <w:p>
      <w:pPr>
        <w:spacing w:line="480" w:lineRule="auto" w:after="0"/>
        <w:ind w:left="576" w:hanging="576"/>
      </w:pPr>
      <w:r>
        <w:rPr>
          <w:rFonts w:ascii="Times New Roman" w:hAnsi="Times New Roman"/>
          <w:b w:val="0"/>
          <w:i w:val="0"/>
          <w:sz w:val="24"/>
        </w:rPr>
        <w:t xml:space="preserve">8. </w:t>
      </w:r>
      <w:r>
        <w:rPr>
          <w:rFonts w:ascii="Times New Roman" w:hAnsi="Times New Roman"/>
          <w:b w:val="0"/>
          <w:i w:val="0"/>
          <w:sz w:val="24"/>
        </w:rPr>
        <w:t>Zhu Z, Zhang F, Hu H, et al. Integration of summary data from GWAS and eQTL studies predicts complex trait gene targets. Nat Genet. 2016;48(5):481-487. doi:10.1038/ng.3538.</w:t>
      </w:r>
    </w:p>
    <w:p>
      <w:pPr>
        <w:spacing w:line="480" w:lineRule="auto" w:after="0"/>
        <w:ind w:left="576" w:hanging="576"/>
      </w:pPr>
      <w:r>
        <w:rPr>
          <w:rFonts w:ascii="Times New Roman" w:hAnsi="Times New Roman"/>
          <w:b w:val="0"/>
          <w:i w:val="0"/>
          <w:sz w:val="24"/>
        </w:rPr>
        <w:t xml:space="preserve">9. </w:t>
      </w:r>
      <w:r>
        <w:rPr>
          <w:rFonts w:ascii="Times New Roman" w:hAnsi="Times New Roman"/>
          <w:b w:val="0"/>
          <w:i w:val="0"/>
          <w:sz w:val="24"/>
        </w:rPr>
        <w:t>1000 Genomes Project Consortium. A global reference for human genetic variation. Nature. 2015;526(7571):68-74. doi:10.1038/nature15393.</w:t>
      </w:r>
    </w:p>
    <w:p>
      <w:pPr>
        <w:spacing w:line="480" w:lineRule="auto" w:after="0"/>
        <w:ind w:left="576" w:hanging="576"/>
      </w:pPr>
      <w:r>
        <w:rPr>
          <w:rFonts w:ascii="Times New Roman" w:hAnsi="Times New Roman"/>
          <w:b w:val="0"/>
          <w:i w:val="0"/>
          <w:sz w:val="24"/>
        </w:rPr>
        <w:t xml:space="preserve">10. </w:t>
      </w:r>
      <w:r>
        <w:rPr>
          <w:rFonts w:ascii="Times New Roman" w:hAnsi="Times New Roman"/>
          <w:b w:val="0"/>
          <w:i w:val="0"/>
          <w:sz w:val="24"/>
        </w:rPr>
        <w:t>Bowden J, Davey Smith G, Burgess S. Mendelian randomization with invalid instruments: effect estimation and bias detection through Egger regression. Int J Epidemiol. 2015;44(2):512-525. doi:10.1093/ije/dyv080.</w:t>
      </w:r>
    </w:p>
    <w:p>
      <w:pPr>
        <w:spacing w:line="480" w:lineRule="auto" w:after="0"/>
        <w:ind w:left="576" w:hanging="576"/>
      </w:pPr>
      <w:r>
        <w:rPr>
          <w:rFonts w:ascii="Times New Roman" w:hAnsi="Times New Roman"/>
          <w:b w:val="0"/>
          <w:i w:val="0"/>
          <w:sz w:val="24"/>
        </w:rPr>
        <w:t xml:space="preserve">11. </w:t>
      </w:r>
      <w:r>
        <w:rPr>
          <w:rFonts w:ascii="Times New Roman" w:hAnsi="Times New Roman"/>
          <w:b w:val="0"/>
          <w:i w:val="0"/>
          <w:sz w:val="24"/>
        </w:rPr>
        <w:t>Bowden J, Davey Smith G, Haycock PC, et al. Consistent estimation in Mendelian randomization with some invalid instruments using a weighted median estimator. Genet Epidemiol. 2016;40(4):304-314. doi:10.1002/gepi.21965.</w:t>
      </w:r>
    </w:p>
    <w:p>
      <w:pPr>
        <w:spacing w:line="480" w:lineRule="auto" w:after="0"/>
        <w:ind w:left="576" w:hanging="576"/>
      </w:pPr>
      <w:r>
        <w:rPr>
          <w:rFonts w:ascii="Times New Roman" w:hAnsi="Times New Roman"/>
          <w:b w:val="0"/>
          <w:i w:val="0"/>
          <w:sz w:val="24"/>
        </w:rPr>
        <w:t xml:space="preserve">12. </w:t>
      </w:r>
      <w:r>
        <w:rPr>
          <w:rFonts w:ascii="Times New Roman" w:hAnsi="Times New Roman"/>
          <w:b w:val="0"/>
          <w:i w:val="0"/>
          <w:sz w:val="24"/>
        </w:rPr>
        <w:t>Benjamini Y, Hochberg Y. Controlling the false discovery rate: a practical and powerful approach to multiple testing. J R Stat Soc Series B Stat Methodol. 1995;57(1):289-300. doi:10.1111/j.2517-6161.1995.tb02031.x.</w:t>
      </w:r>
    </w:p>
    <w:p>
      <w:pPr>
        <w:spacing w:line="480" w:lineRule="auto" w:after="0"/>
        <w:ind w:left="576" w:hanging="576"/>
      </w:pPr>
      <w:r>
        <w:rPr>
          <w:rFonts w:ascii="Times New Roman" w:hAnsi="Times New Roman"/>
          <w:b w:val="0"/>
          <w:i w:val="0"/>
          <w:sz w:val="24"/>
        </w:rPr>
        <w:t xml:space="preserve">13. </w:t>
      </w:r>
      <w:r>
        <w:rPr>
          <w:rFonts w:ascii="Times New Roman" w:hAnsi="Times New Roman"/>
          <w:b w:val="0"/>
          <w:i w:val="0"/>
          <w:sz w:val="24"/>
        </w:rPr>
        <w:t>Burgess S, Davies NM, Thompson SG. Bias due to participant overlap in two-sample Mendelian randomization. Genet Epidemiol. 2016;40(7):597-608. doi:10.1002/gepi.21998.</w:t>
      </w:r>
    </w:p>
    <w:p>
      <w:pPr>
        <w:spacing w:line="480" w:lineRule="auto" w:after="0"/>
        <w:ind w:left="576" w:hanging="576"/>
      </w:pPr>
      <w:r>
        <w:rPr>
          <w:rFonts w:ascii="Times New Roman" w:hAnsi="Times New Roman"/>
          <w:b w:val="0"/>
          <w:i w:val="0"/>
          <w:sz w:val="24"/>
        </w:rPr>
        <w:t xml:space="preserve">14. </w:t>
      </w:r>
      <w:r>
        <w:rPr>
          <w:rFonts w:ascii="Times New Roman" w:hAnsi="Times New Roman"/>
          <w:b w:val="0"/>
          <w:i w:val="0"/>
          <w:sz w:val="24"/>
        </w:rPr>
        <w:t>Mahajan A, Spracklen CN, Zhang W, et al. Multi-ancestry genetic study of type 2 diabetes highlights the power of diverse populations for discovery and translation. Nat Genet. 2022;54(5):560-572. doi:10.1038/s41588-022-01058-3.</w:t>
      </w:r>
    </w:p>
    <w:p>
      <w:pPr>
        <w:spacing w:line="480" w:lineRule="auto" w:after="0"/>
        <w:ind w:left="576" w:hanging="576"/>
      </w:pPr>
      <w:r>
        <w:rPr>
          <w:rFonts w:ascii="Times New Roman" w:hAnsi="Times New Roman"/>
          <w:b w:val="0"/>
          <w:i w:val="0"/>
          <w:sz w:val="24"/>
        </w:rPr>
        <w:t xml:space="preserve">15. </w:t>
      </w:r>
      <w:r>
        <w:rPr>
          <w:rFonts w:ascii="Times New Roman" w:hAnsi="Times New Roman"/>
          <w:b w:val="0"/>
          <w:i w:val="0"/>
          <w:sz w:val="24"/>
        </w:rPr>
        <w:t>Wang G, Sarkar A, Carbonetto P, Stephens M. A simple new approach to variable selection in regression, with application to genetic fine mapping. J R Stat Soc Series B Stat Methodol. 2020;82(5):1273-1300. doi:10.1111/rssb.12388.</w:t>
      </w:r>
    </w:p>
    <w:p>
      <w:pPr>
        <w:spacing w:line="480" w:lineRule="auto" w:after="0"/>
        <w:ind w:left="576" w:hanging="576"/>
      </w:pPr>
      <w:r>
        <w:rPr>
          <w:rFonts w:ascii="Times New Roman" w:hAnsi="Times New Roman"/>
          <w:b w:val="0"/>
          <w:i w:val="0"/>
          <w:sz w:val="24"/>
        </w:rPr>
        <w:t xml:space="preserve">16. </w:t>
      </w:r>
      <w:r>
        <w:rPr>
          <w:rFonts w:ascii="Times New Roman" w:hAnsi="Times New Roman"/>
          <w:b w:val="0"/>
          <w:i w:val="0"/>
          <w:sz w:val="24"/>
        </w:rPr>
        <w:t>Wallace C. A more accurate method for colocalisation analysis allowing for multiple causal variants. PLoS Genet. 2021;17(9):e1009440. doi:10.1371/journal.pgen.1009440.</w:t>
      </w:r>
    </w:p>
    <w:p>
      <w:pPr>
        <w:spacing w:line="480" w:lineRule="auto" w:after="0"/>
        <w:ind w:left="576" w:hanging="576"/>
      </w:pPr>
      <w:r>
        <w:rPr>
          <w:rFonts w:ascii="Times New Roman" w:hAnsi="Times New Roman"/>
          <w:b w:val="0"/>
          <w:i w:val="0"/>
          <w:sz w:val="24"/>
        </w:rPr>
        <w:t xml:space="preserve">17. </w:t>
      </w:r>
      <w:r>
        <w:rPr>
          <w:rFonts w:ascii="Times New Roman" w:hAnsi="Times New Roman"/>
          <w:b w:val="0"/>
          <w:i w:val="0"/>
          <w:sz w:val="24"/>
        </w:rPr>
        <w:t>Sollis E, Mosaku A, Abid A, et al. The NHGRI-EBI GWAS Catalog: knowledgebase and deposition resource. Nucleic Acids Res. 2023;51(D1):D977-D985. doi:10.1093/nar/gkac1010.</w:t>
      </w:r>
    </w:p>
    <w:p>
      <w:pPr>
        <w:spacing w:line="480" w:lineRule="auto" w:after="0"/>
        <w:ind w:left="576" w:hanging="576"/>
      </w:pPr>
      <w:r>
        <w:rPr>
          <w:rFonts w:ascii="Times New Roman" w:hAnsi="Times New Roman"/>
          <w:b w:val="0"/>
          <w:i w:val="0"/>
          <w:sz w:val="24"/>
        </w:rPr>
        <w:t xml:space="preserve">18. </w:t>
      </w:r>
      <w:r>
        <w:rPr>
          <w:rFonts w:ascii="Times New Roman" w:hAnsi="Times New Roman"/>
          <w:b w:val="0"/>
          <w:i w:val="0"/>
          <w:sz w:val="24"/>
        </w:rPr>
        <w:t>Hemani G, Tilling K, Davey Smith G. Orienting the causal relationship between imprecisely measured traits using GWAS summary data. PLoS Genet. 2017;13(11):e1007081. doi:10.1371/journal.pgen.1007081.</w:t>
      </w:r>
    </w:p>
    <w:p>
      <w:pPr>
        <w:spacing w:line="480" w:lineRule="auto" w:after="0"/>
        <w:ind w:left="576" w:hanging="576"/>
      </w:pPr>
      <w:r>
        <w:rPr>
          <w:rFonts w:ascii="Times New Roman" w:hAnsi="Times New Roman"/>
          <w:b w:val="0"/>
          <w:i w:val="0"/>
          <w:sz w:val="24"/>
        </w:rPr>
        <w:t xml:space="preserve">19. </w:t>
      </w:r>
      <w:r>
        <w:rPr>
          <w:rFonts w:ascii="Times New Roman" w:hAnsi="Times New Roman"/>
          <w:b w:val="0"/>
          <w:i w:val="0"/>
          <w:sz w:val="24"/>
        </w:rPr>
        <w:t>Wilson EB. Probable inference, the law of succession, and statistical inference. J Am Stat Assoc. 1927;22(158):209-212. doi:10.1080/01621459.1927.10502953.</w:t>
      </w:r>
    </w:p>
    <w:p>
      <w:r>
        <w:br w:type="page"/>
      </w:r>
    </w:p>
    <w:p>
      <w:pPr>
        <w:keepNext/>
        <w:spacing w:line="480" w:lineRule="auto" w:after="0"/>
      </w:pPr>
      <w:r>
        <w:rPr>
          <w:rFonts w:ascii="Times New Roman" w:hAnsi="Times New Roman"/>
          <w:b/>
          <w:i w:val="0"/>
          <w:sz w:val="26"/>
        </w:rPr>
        <w:t>Tables</w:t>
      </w:r>
    </w:p>
    <w:p>
      <w:pPr>
        <w:spacing w:before="280" w:after="0" w:line="480" w:lineRule="auto"/>
      </w:pPr>
      <w:r>
        <w:rPr>
          <w:rFonts w:ascii="Times New Roman" w:hAnsi="Times New Roman"/>
          <w:b/>
          <w:i w:val="0"/>
          <w:sz w:val="22"/>
        </w:rPr>
        <w:t>Table 1. Data sources.</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tcBorders>
          </w:tcPr>
          <w:p>
            <w:pPr>
              <w:spacing w:after="40"/>
            </w:pPr>
            <w:r/>
            <w:r>
              <w:rPr>
                <w:rFonts w:ascii="Times New Roman" w:hAnsi="Times New Roman"/>
                <w:b/>
                <w:i w:val="0"/>
                <w:sz w:val="20"/>
              </w:rPr>
              <w:t>Role</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Resource</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n</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Description</w:t>
            </w:r>
          </w:p>
        </w:tc>
      </w:tr>
      <w:tr>
        <w:tc>
          <w:tcPr>
            <w:tcW w:type="dxa" w:w="2340"/>
            <w:tcBorders>
              <w:bottom w:val="single" w:sz="0" w:space="0" w:color="000000"/>
            </w:tcBorders>
          </w:tcPr>
          <w:p>
            <w:pPr>
              <w:spacing w:after="40"/>
            </w:pPr>
            <w:r/>
            <w:r>
              <w:rPr>
                <w:rFonts w:ascii="Times New Roman" w:hAnsi="Times New Roman"/>
                <w:b w:val="0"/>
                <w:i w:val="0"/>
                <w:sz w:val="20"/>
              </w:rPr>
              <w:t>Exposure</w:t>
            </w:r>
          </w:p>
        </w:tc>
        <w:tc>
          <w:tcPr>
            <w:tcW w:type="dxa" w:w="2340"/>
            <w:tcBorders>
              <w:bottom w:val="single" w:sz="0" w:space="0" w:color="000000"/>
            </w:tcBorders>
          </w:tcPr>
          <w:p>
            <w:pPr>
              <w:spacing w:after="40"/>
            </w:pPr>
            <w:r/>
            <w:r>
              <w:rPr>
                <w:rFonts w:ascii="Times New Roman" w:hAnsi="Times New Roman"/>
                <w:b w:val="0"/>
                <w:i w:val="0"/>
                <w:sz w:val="20"/>
              </w:rPr>
              <w:t>eQTLGen whole-blood cis-eQTL</w:t>
            </w:r>
          </w:p>
        </w:tc>
        <w:tc>
          <w:tcPr>
            <w:tcW w:type="dxa" w:w="2340"/>
            <w:tcBorders>
              <w:bottom w:val="single" w:sz="0" w:space="0" w:color="000000"/>
            </w:tcBorders>
          </w:tcPr>
          <w:p>
            <w:pPr>
              <w:spacing w:after="40"/>
            </w:pPr>
            <w:r/>
            <w:r>
              <w:rPr>
                <w:rFonts w:ascii="Times New Roman" w:hAnsi="Times New Roman"/>
                <w:b w:val="0"/>
                <w:i w:val="0"/>
                <w:sz w:val="20"/>
              </w:rPr>
              <w:t>31,684</w:t>
            </w:r>
          </w:p>
        </w:tc>
        <w:tc>
          <w:tcPr>
            <w:tcW w:type="dxa" w:w="2340"/>
            <w:tcBorders>
              <w:bottom w:val="single" w:sz="0" w:space="0" w:color="000000"/>
            </w:tcBorders>
          </w:tcPr>
          <w:p>
            <w:pPr>
              <w:spacing w:after="40"/>
            </w:pPr>
            <w:r/>
            <w:r>
              <w:rPr>
                <w:rFonts w:ascii="Times New Roman" w:hAnsi="Times New Roman"/>
                <w:b w:val="0"/>
                <w:i w:val="0"/>
                <w:sz w:val="20"/>
              </w:rPr>
              <w:t xml:space="preserve">cis-eQTLs in whole blood </w:t>
            </w:r>
            <w:r>
              <w:rPr>
                <w:rFonts w:ascii="Times New Roman" w:hAnsi="Times New Roman"/>
                <w:b w:val="0"/>
                <w:i w:val="0"/>
                <w:sz w:val="20"/>
                <w:vertAlign w:val="superscript"/>
              </w:rPr>
              <w:t>5</w:t>
            </w:r>
          </w:p>
        </w:tc>
      </w:tr>
      <w:tr>
        <w:tc>
          <w:tcPr>
            <w:tcW w:type="dxa" w:w="2340"/>
            <w:tcBorders>
              <w:bottom w:val="single" w:sz="0" w:space="0" w:color="000000"/>
            </w:tcBorders>
          </w:tcPr>
          <w:p>
            <w:pPr>
              <w:spacing w:after="40"/>
            </w:pPr>
            <w:r/>
            <w:r>
              <w:rPr>
                <w:rFonts w:ascii="Times New Roman" w:hAnsi="Times New Roman"/>
                <w:b w:val="0"/>
                <w:i w:val="0"/>
                <w:sz w:val="20"/>
              </w:rPr>
              <w:t>Outcome T2D</w:t>
            </w:r>
          </w:p>
        </w:tc>
        <w:tc>
          <w:tcPr>
            <w:tcW w:type="dxa" w:w="2340"/>
            <w:tcBorders>
              <w:bottom w:val="single" w:sz="0" w:space="0" w:color="000000"/>
            </w:tcBorders>
          </w:tcPr>
          <w:p>
            <w:pPr>
              <w:spacing w:after="40"/>
            </w:pPr>
            <w:r/>
            <w:r>
              <w:rPr>
                <w:rFonts w:ascii="Times New Roman" w:hAnsi="Times New Roman"/>
                <w:b w:val="0"/>
                <w:i w:val="0"/>
                <w:sz w:val="20"/>
              </w:rPr>
              <w:t>Xue et al., Nat Commun 2018</w:t>
            </w:r>
          </w:p>
        </w:tc>
        <w:tc>
          <w:tcPr>
            <w:tcW w:type="dxa" w:w="2340"/>
            <w:tcBorders>
              <w:bottom w:val="single" w:sz="0" w:space="0" w:color="000000"/>
            </w:tcBorders>
          </w:tcPr>
          <w:p>
            <w:pPr>
              <w:spacing w:after="40"/>
            </w:pPr>
            <w:r/>
            <w:r>
              <w:rPr>
                <w:rFonts w:ascii="Times New Roman" w:hAnsi="Times New Roman"/>
                <w:b w:val="0"/>
                <w:i w:val="0"/>
                <w:sz w:val="20"/>
              </w:rPr>
              <w:t>655,666 (61,714 cases); per-variant N ≈ 573,704</w:t>
            </w:r>
          </w:p>
        </w:tc>
        <w:tc>
          <w:tcPr>
            <w:tcW w:type="dxa" w:w="2340"/>
            <w:tcBorders>
              <w:bottom w:val="single" w:sz="0" w:space="0" w:color="000000"/>
            </w:tcBorders>
          </w:tcPr>
          <w:p>
            <w:pPr>
              <w:spacing w:after="40"/>
            </w:pPr>
            <w:r/>
            <w:r>
              <w:rPr>
                <w:rFonts w:ascii="Times New Roman" w:hAnsi="Times New Roman"/>
                <w:b w:val="0"/>
                <w:i w:val="0"/>
                <w:sz w:val="20"/>
              </w:rPr>
              <w:t xml:space="preserve">T2D GWAS meta-analysis </w:t>
            </w:r>
            <w:r>
              <w:rPr>
                <w:rFonts w:ascii="Times New Roman" w:hAnsi="Times New Roman"/>
                <w:b w:val="0"/>
                <w:i w:val="0"/>
                <w:sz w:val="20"/>
                <w:vertAlign w:val="superscript"/>
              </w:rPr>
              <w:t>1</w:t>
            </w:r>
          </w:p>
        </w:tc>
      </w:tr>
      <w:tr>
        <w:tc>
          <w:tcPr>
            <w:tcW w:type="dxa" w:w="2340"/>
            <w:tcBorders>
              <w:bottom w:val="single" w:sz="0" w:space="0" w:color="000000"/>
            </w:tcBorders>
          </w:tcPr>
          <w:p>
            <w:pPr>
              <w:spacing w:after="40"/>
            </w:pPr>
            <w:r/>
            <w:r>
              <w:rPr>
                <w:rFonts w:ascii="Times New Roman" w:hAnsi="Times New Roman"/>
                <w:b w:val="0"/>
                <w:i w:val="0"/>
                <w:sz w:val="20"/>
              </w:rPr>
              <w:t>Outcome CAD</w:t>
            </w:r>
          </w:p>
        </w:tc>
        <w:tc>
          <w:tcPr>
            <w:tcW w:type="dxa" w:w="2340"/>
            <w:tcBorders>
              <w:bottom w:val="single" w:sz="0" w:space="0" w:color="000000"/>
            </w:tcBorders>
          </w:tcPr>
          <w:p>
            <w:pPr>
              <w:spacing w:after="40"/>
            </w:pPr>
            <w:r/>
            <w:r>
              <w:rPr>
                <w:rFonts w:ascii="Times New Roman" w:hAnsi="Times New Roman"/>
                <w:b w:val="0"/>
                <w:i w:val="0"/>
                <w:sz w:val="20"/>
              </w:rPr>
              <w:t>van der Harst &amp; Verweij, Circ Res 2018</w:t>
            </w:r>
          </w:p>
        </w:tc>
        <w:tc>
          <w:tcPr>
            <w:tcW w:type="dxa" w:w="2340"/>
            <w:tcBorders>
              <w:bottom w:val="single" w:sz="0" w:space="0" w:color="000000"/>
            </w:tcBorders>
          </w:tcPr>
          <w:p>
            <w:pPr>
              <w:spacing w:after="40"/>
            </w:pPr>
            <w:r/>
            <w:r>
              <w:rPr>
                <w:rFonts w:ascii="Times New Roman" w:hAnsi="Times New Roman"/>
                <w:b w:val="0"/>
                <w:i w:val="0"/>
                <w:sz w:val="20"/>
              </w:rPr>
              <w:t>296,525 (34,541 cases)</w:t>
            </w:r>
          </w:p>
        </w:tc>
        <w:tc>
          <w:tcPr>
            <w:tcW w:type="dxa" w:w="2340"/>
            <w:tcBorders>
              <w:bottom w:val="single" w:sz="0" w:space="0" w:color="000000"/>
            </w:tcBorders>
          </w:tcPr>
          <w:p>
            <w:pPr>
              <w:spacing w:after="40"/>
            </w:pPr>
            <w:r/>
            <w:r>
              <w:rPr>
                <w:rFonts w:ascii="Times New Roman" w:hAnsi="Times New Roman"/>
                <w:b w:val="0"/>
                <w:i w:val="0"/>
                <w:sz w:val="20"/>
              </w:rPr>
              <w:t xml:space="preserve">CAD GWAS meta-analysis </w:t>
            </w:r>
            <w:r>
              <w:rPr>
                <w:rFonts w:ascii="Times New Roman" w:hAnsi="Times New Roman"/>
                <w:b w:val="0"/>
                <w:i w:val="0"/>
                <w:sz w:val="20"/>
                <w:vertAlign w:val="superscript"/>
              </w:rPr>
              <w:t>2</w:t>
            </w:r>
          </w:p>
        </w:tc>
      </w:tr>
      <w:tr>
        <w:tc>
          <w:tcPr>
            <w:tcW w:type="dxa" w:w="2340"/>
            <w:tcBorders>
              <w:bottom w:val="single" w:sz="0" w:space="0" w:color="000000"/>
            </w:tcBorders>
          </w:tcPr>
          <w:p>
            <w:pPr>
              <w:spacing w:after="40"/>
            </w:pPr>
            <w:r/>
            <w:r>
              <w:rPr>
                <w:rFonts w:ascii="Times New Roman" w:hAnsi="Times New Roman"/>
                <w:b w:val="0"/>
                <w:i w:val="0"/>
                <w:sz w:val="20"/>
              </w:rPr>
              <w:t>Outcome FG</w:t>
            </w:r>
          </w:p>
        </w:tc>
        <w:tc>
          <w:tcPr>
            <w:tcW w:type="dxa" w:w="2340"/>
            <w:tcBorders>
              <w:bottom w:val="single" w:sz="0" w:space="0" w:color="000000"/>
            </w:tcBorders>
          </w:tcPr>
          <w:p>
            <w:pPr>
              <w:spacing w:after="40"/>
            </w:pPr>
            <w:r/>
            <w:r>
              <w:rPr>
                <w:rFonts w:ascii="Times New Roman" w:hAnsi="Times New Roman"/>
                <w:b w:val="0"/>
                <w:i w:val="0"/>
                <w:sz w:val="20"/>
              </w:rPr>
              <w:t>Manning et al., Nat Genet 2012</w:t>
            </w:r>
          </w:p>
        </w:tc>
        <w:tc>
          <w:tcPr>
            <w:tcW w:type="dxa" w:w="2340"/>
            <w:tcBorders>
              <w:bottom w:val="single" w:sz="0" w:space="0" w:color="000000"/>
            </w:tcBorders>
          </w:tcPr>
          <w:p>
            <w:pPr>
              <w:spacing w:after="40"/>
            </w:pPr>
            <w:r/>
            <w:r>
              <w:rPr>
                <w:rFonts w:ascii="Times New Roman" w:hAnsi="Times New Roman"/>
                <w:b w:val="0"/>
                <w:i w:val="0"/>
                <w:sz w:val="20"/>
              </w:rPr>
              <w:t>58,074</w:t>
            </w:r>
          </w:p>
        </w:tc>
        <w:tc>
          <w:tcPr>
            <w:tcW w:type="dxa" w:w="2340"/>
            <w:tcBorders>
              <w:bottom w:val="single" w:sz="0" w:space="0" w:color="000000"/>
            </w:tcBorders>
          </w:tcPr>
          <w:p>
            <w:pPr>
              <w:spacing w:after="40"/>
            </w:pPr>
            <w:r/>
            <w:r>
              <w:rPr>
                <w:rFonts w:ascii="Times New Roman" w:hAnsi="Times New Roman"/>
                <w:b w:val="0"/>
                <w:i w:val="0"/>
                <w:sz w:val="20"/>
              </w:rPr>
              <w:t xml:space="preserve">Fasting glucose GWAS (quantitative) </w:t>
            </w:r>
            <w:r>
              <w:rPr>
                <w:rFonts w:ascii="Times New Roman" w:hAnsi="Times New Roman"/>
                <w:b w:val="0"/>
                <w:i w:val="0"/>
                <w:sz w:val="20"/>
                <w:vertAlign w:val="superscript"/>
              </w:rPr>
              <w:t>3</w:t>
            </w:r>
          </w:p>
        </w:tc>
      </w:tr>
      <w:tr>
        <w:tc>
          <w:tcPr>
            <w:tcW w:type="dxa" w:w="2340"/>
            <w:tcBorders>
              <w:bottom w:val="single" w:sz="0" w:space="0" w:color="000000"/>
            </w:tcBorders>
          </w:tcPr>
          <w:p>
            <w:pPr>
              <w:spacing w:after="40"/>
            </w:pPr>
            <w:r/>
            <w:r>
              <w:rPr>
                <w:rFonts w:ascii="Times New Roman" w:hAnsi="Times New Roman"/>
                <w:b w:val="0"/>
                <w:i w:val="0"/>
                <w:sz w:val="20"/>
              </w:rPr>
              <w:t>Replication</w:t>
            </w:r>
          </w:p>
        </w:tc>
        <w:tc>
          <w:tcPr>
            <w:tcW w:type="dxa" w:w="2340"/>
            <w:tcBorders>
              <w:bottom w:val="single" w:sz="0" w:space="0" w:color="000000"/>
            </w:tcBorders>
          </w:tcPr>
          <w:p>
            <w:pPr>
              <w:spacing w:after="40"/>
            </w:pPr>
            <w:r/>
            <w:r>
              <w:rPr>
                <w:rFonts w:ascii="Times New Roman" w:hAnsi="Times New Roman"/>
                <w:b w:val="0"/>
                <w:i w:val="0"/>
                <w:sz w:val="20"/>
              </w:rPr>
              <w:t>GTEx v8</w:t>
            </w:r>
          </w:p>
        </w:tc>
        <w:tc>
          <w:tcPr>
            <w:tcW w:type="dxa" w:w="2340"/>
            <w:tcBorders>
              <w:bottom w:val="single" w:sz="0" w:space="0" w:color="000000"/>
            </w:tcBorders>
          </w:tcPr>
          <w:p>
            <w:pPr>
              <w:spacing w:after="40"/>
            </w:pPr>
            <w:r/>
            <w:r>
              <w:rPr>
                <w:rFonts w:ascii="Times New Roman" w:hAnsi="Times New Roman"/>
                <w:b w:val="0"/>
                <w:i w:val="0"/>
                <w:sz w:val="20"/>
              </w:rPr>
              <w:t>838</w:t>
            </w:r>
          </w:p>
        </w:tc>
        <w:tc>
          <w:tcPr>
            <w:tcW w:type="dxa" w:w="2340"/>
            <w:tcBorders>
              <w:bottom w:val="single" w:sz="0" w:space="0" w:color="000000"/>
            </w:tcBorders>
          </w:tcPr>
          <w:p>
            <w:pPr>
              <w:spacing w:after="40"/>
            </w:pPr>
            <w:r/>
            <w:r>
              <w:rPr>
                <w:rFonts w:ascii="Times New Roman" w:hAnsi="Times New Roman"/>
                <w:b w:val="0"/>
                <w:i w:val="0"/>
                <w:sz w:val="20"/>
              </w:rPr>
              <w:t xml:space="preserve">Multi-tissue eQTLs, 49 tissues </w:t>
            </w:r>
            <w:r>
              <w:rPr>
                <w:rFonts w:ascii="Times New Roman" w:hAnsi="Times New Roman"/>
                <w:b w:val="0"/>
                <w:i w:val="0"/>
                <w:sz w:val="20"/>
                <w:vertAlign w:val="superscript"/>
              </w:rPr>
              <w:t>6</w:t>
            </w:r>
          </w:p>
        </w:tc>
      </w:tr>
      <w:tr>
        <w:tc>
          <w:tcPr>
            <w:tcW w:type="dxa" w:w="2340"/>
            <w:tcBorders>
              <w:bottom w:val="single" w:sz="0" w:space="0" w:color="000000"/>
            </w:tcBorders>
          </w:tcPr>
          <w:p>
            <w:pPr>
              <w:spacing w:after="40"/>
            </w:pPr>
            <w:r/>
            <w:r>
              <w:rPr>
                <w:rFonts w:ascii="Times New Roman" w:hAnsi="Times New Roman"/>
                <w:b w:val="0"/>
                <w:i w:val="0"/>
                <w:sz w:val="20"/>
              </w:rPr>
              <w:t>Replication</w:t>
            </w:r>
          </w:p>
        </w:tc>
        <w:tc>
          <w:tcPr>
            <w:tcW w:type="dxa" w:w="2340"/>
            <w:tcBorders>
              <w:bottom w:val="single" w:sz="0" w:space="0" w:color="000000"/>
            </w:tcBorders>
          </w:tcPr>
          <w:p>
            <w:pPr>
              <w:spacing w:after="40"/>
            </w:pPr>
            <w:r/>
            <w:r>
              <w:rPr>
                <w:rFonts w:ascii="Times New Roman" w:hAnsi="Times New Roman"/>
                <w:b w:val="0"/>
                <w:i w:val="0"/>
                <w:sz w:val="20"/>
              </w:rPr>
              <w:t>FinnGen R11</w:t>
            </w:r>
          </w:p>
        </w:tc>
        <w:tc>
          <w:tcPr>
            <w:tcW w:type="dxa" w:w="2340"/>
            <w:tcBorders>
              <w:bottom w:val="single" w:sz="0" w:space="0" w:color="000000"/>
            </w:tcBorders>
          </w:tcPr>
          <w:p>
            <w:pPr>
              <w:spacing w:after="40"/>
            </w:pPr>
            <w:r/>
            <w:r>
              <w:rPr>
                <w:rFonts w:ascii="Times New Roman" w:hAnsi="Times New Roman"/>
                <w:b w:val="0"/>
                <w:i w:val="0"/>
                <w:sz w:val="20"/>
              </w:rPr>
              <w:t>—</w:t>
            </w:r>
          </w:p>
        </w:tc>
        <w:tc>
          <w:tcPr>
            <w:tcW w:type="dxa" w:w="2340"/>
            <w:tcBorders>
              <w:bottom w:val="single" w:sz="0" w:space="0" w:color="000000"/>
            </w:tcBorders>
          </w:tcPr>
          <w:p>
            <w:pPr>
              <w:spacing w:after="40"/>
            </w:pPr>
            <w:r/>
            <w:r>
              <w:rPr>
                <w:rFonts w:ascii="Times New Roman" w:hAnsi="Times New Roman"/>
                <w:b w:val="0"/>
                <w:i w:val="0"/>
                <w:sz w:val="20"/>
              </w:rPr>
              <w:t xml:space="preserve">Disease cohort for directional check </w:t>
            </w:r>
            <w:r>
              <w:rPr>
                <w:rFonts w:ascii="Times New Roman" w:hAnsi="Times New Roman"/>
                <w:b w:val="0"/>
                <w:i w:val="0"/>
                <w:sz w:val="20"/>
                <w:vertAlign w:val="superscript"/>
              </w:rPr>
              <w:t>7</w:t>
            </w:r>
          </w:p>
        </w:tc>
      </w:tr>
      <w:tr>
        <w:tc>
          <w:tcPr>
            <w:tcW w:type="dxa" w:w="2340"/>
            <w:tcBorders>
              <w:bottom w:val="single" w:sz="12" w:space="0" w:color="000000"/>
            </w:tcBorders>
          </w:tcPr>
          <w:p>
            <w:pPr>
              <w:spacing w:after="40"/>
            </w:pPr>
            <w:r/>
            <w:r>
              <w:rPr>
                <w:rFonts w:ascii="Times New Roman" w:hAnsi="Times New Roman"/>
                <w:b w:val="0"/>
                <w:i w:val="0"/>
                <w:sz w:val="20"/>
              </w:rPr>
              <w:t>LD reference</w:t>
            </w:r>
          </w:p>
        </w:tc>
        <w:tc>
          <w:tcPr>
            <w:tcW w:type="dxa" w:w="2340"/>
            <w:tcBorders>
              <w:bottom w:val="single" w:sz="12" w:space="0" w:color="000000"/>
            </w:tcBorders>
          </w:tcPr>
          <w:p>
            <w:pPr>
              <w:spacing w:after="40"/>
            </w:pPr>
            <w:r/>
            <w:r>
              <w:rPr>
                <w:rFonts w:ascii="Times New Roman" w:hAnsi="Times New Roman"/>
                <w:b w:val="0"/>
                <w:i w:val="0"/>
                <w:sz w:val="20"/>
              </w:rPr>
              <w:t>1000 Genomes Phase 3 EUR</w:t>
            </w:r>
          </w:p>
        </w:tc>
        <w:tc>
          <w:tcPr>
            <w:tcW w:type="dxa" w:w="2340"/>
            <w:tcBorders>
              <w:bottom w:val="single" w:sz="12" w:space="0" w:color="000000"/>
            </w:tcBorders>
          </w:tcPr>
          <w:p>
            <w:pPr>
              <w:spacing w:after="40"/>
            </w:pPr>
            <w:r/>
            <w:r>
              <w:rPr>
                <w:rFonts w:ascii="Times New Roman" w:hAnsi="Times New Roman"/>
                <w:b w:val="0"/>
                <w:i w:val="0"/>
                <w:sz w:val="20"/>
              </w:rPr>
              <w:t>503</w:t>
            </w:r>
          </w:p>
        </w:tc>
        <w:tc>
          <w:tcPr>
            <w:tcW w:type="dxa" w:w="2340"/>
            <w:tcBorders>
              <w:bottom w:val="single" w:sz="12" w:space="0" w:color="000000"/>
            </w:tcBorders>
          </w:tcPr>
          <w:p>
            <w:pPr>
              <w:spacing w:after="40"/>
            </w:pPr>
            <w:r/>
            <w:r>
              <w:rPr>
                <w:rFonts w:ascii="Times New Roman" w:hAnsi="Times New Roman"/>
                <w:b w:val="0"/>
                <w:i w:val="0"/>
                <w:sz w:val="20"/>
              </w:rPr>
              <w:t xml:space="preserve">Instrument clumping and SuSiE LD </w:t>
            </w:r>
            <w:r>
              <w:rPr>
                <w:rFonts w:ascii="Times New Roman" w:hAnsi="Times New Roman"/>
                <w:b w:val="0"/>
                <w:i w:val="0"/>
                <w:sz w:val="20"/>
                <w:vertAlign w:val="superscript"/>
              </w:rPr>
              <w:t>9</w:t>
            </w:r>
          </w:p>
        </w:tc>
      </w:tr>
    </w:tbl>
    <w:p>
      <w:r>
        <w:br w:type="page"/>
      </w:r>
    </w:p>
    <w:p>
      <w:pPr>
        <w:jc w:val="center"/>
      </w:pPr>
      <w:r>
        <w:drawing>
          <wp:inline xmlns:a="http://schemas.openxmlformats.org/drawingml/2006/main" xmlns:pic="http://schemas.openxmlformats.org/drawingml/2006/picture">
            <wp:extent cx="5760720" cy="3268101"/>
            <wp:docPr id="1" name="Picture 1"/>
            <wp:cNvGraphicFramePr>
              <a:graphicFrameLocks noChangeAspect="1"/>
            </wp:cNvGraphicFramePr>
            <a:graphic>
              <a:graphicData uri="http://schemas.openxmlformats.org/drawingml/2006/picture">
                <pic:pic>
                  <pic:nvPicPr>
                    <pic:cNvPr id="0" name="20260816_F1_workflow_v2.png"/>
                    <pic:cNvPicPr/>
                  </pic:nvPicPr>
                  <pic:blipFill>
                    <a:blip r:embed="rId9"/>
                    <a:stretch>
                      <a:fillRect/>
                    </a:stretch>
                  </pic:blipFill>
                  <pic:spPr>
                    <a:xfrm>
                      <a:off x="0" y="0"/>
                      <a:ext cx="5760720" cy="3268101"/>
                    </a:xfrm>
                    <a:prstGeom prst="rect"/>
                  </pic:spPr>
                </pic:pic>
              </a:graphicData>
            </a:graphic>
          </wp:inline>
        </w:drawing>
      </w:r>
    </w:p>
    <w:p>
      <w:pPr>
        <w:spacing w:line="480" w:lineRule="auto" w:after="0"/>
      </w:pPr>
      <w:r>
        <w:rPr>
          <w:rFonts w:ascii="Times New Roman" w:hAnsi="Times New Roman"/>
          <w:b/>
          <w:i w:val="0"/>
          <w:sz w:val="22"/>
        </w:rPr>
        <w:t>Figure 1.</w:t>
      </w:r>
      <w:r>
        <w:rPr>
          <w:rFonts w:ascii="Times New Roman" w:hAnsi="Times New Roman"/>
          <w:b w:val="0"/>
          <w:i w:val="0"/>
          <w:sz w:val="22"/>
        </w:rPr>
        <w:t xml:space="preserve"> Study design. Transcriptome-wide cis-MR and colocalization across three outcomes. Whole-blood cis-eQTL instruments (eQTLGen, n = 31,684) were scanned against T2D, CAD, and FG GWAS over 31,371 gene–trait pairs; per-outcome BH-FDR control (q &lt; 0.05) retained 982 MR-significant pairs, of which 121 reached strong colocalization (PP.H4 ≥ 0.8), plus 2 in the MR-null gray zone. The 121 were classified into 106 previously reported and 15 candidate effector genes, the latter subjected to directional replication in GTEx v8 (6/7) and FinnGen R11 (9/9 gene-level).</w:t>
      </w:r>
    </w:p>
    <w:p>
      <w:r>
        <w:br w:type="page"/>
      </w:r>
    </w:p>
    <w:p>
      <w:pPr>
        <w:jc w:val="center"/>
      </w:pPr>
      <w:r>
        <w:drawing>
          <wp:inline xmlns:a="http://schemas.openxmlformats.org/drawingml/2006/main" xmlns:pic="http://schemas.openxmlformats.org/drawingml/2006/picture">
            <wp:extent cx="5760720" cy="4146032"/>
            <wp:docPr id="2" name="Picture 2"/>
            <wp:cNvGraphicFramePr>
              <a:graphicFrameLocks noChangeAspect="1"/>
            </wp:cNvGraphicFramePr>
            <a:graphic>
              <a:graphicData uri="http://schemas.openxmlformats.org/drawingml/2006/picture">
                <pic:pic>
                  <pic:nvPicPr>
                    <pic:cNvPr id="0" name="20260816_F2_overview_v2.png"/>
                    <pic:cNvPicPr/>
                  </pic:nvPicPr>
                  <pic:blipFill>
                    <a:blip r:embed="rId10"/>
                    <a:stretch>
                      <a:fillRect/>
                    </a:stretch>
                  </pic:blipFill>
                  <pic:spPr>
                    <a:xfrm>
                      <a:off x="0" y="0"/>
                      <a:ext cx="5760720" cy="4146032"/>
                    </a:xfrm>
                    <a:prstGeom prst="rect"/>
                  </pic:spPr>
                </pic:pic>
              </a:graphicData>
            </a:graphic>
          </wp:inline>
        </w:drawing>
      </w:r>
    </w:p>
    <w:p>
      <w:pPr>
        <w:spacing w:line="480" w:lineRule="auto" w:after="0"/>
      </w:pPr>
      <w:r>
        <w:rPr>
          <w:rFonts w:ascii="Times New Roman" w:hAnsi="Times New Roman"/>
          <w:b/>
          <w:i w:val="0"/>
          <w:sz w:val="22"/>
        </w:rPr>
        <w:t>Figure 2.</w:t>
      </w:r>
      <w:r>
        <w:rPr>
          <w:rFonts w:ascii="Times New Roman" w:hAnsi="Times New Roman"/>
          <w:b w:val="0"/>
          <w:i w:val="0"/>
          <w:sz w:val="22"/>
        </w:rPr>
        <w:t xml:space="preserve"> Genome-wide distribution of 121 MR-significant strong-colocalization pairs. Genome-wide distribution of strong-colocalization pairs (circle, previously reported locus; triangle, candidate effector gene; point size, number of outcomes with strong colocalization; color, outcome). Point color indicates the outcome (T2D, orange; CAD, blue; FG, green); the two gray-zone pairs (AP3S2×T2D, ZNF19×CAD) are described in the text.</w:t>
      </w:r>
    </w:p>
    <w:p>
      <w:r>
        <w:br w:type="page"/>
      </w:r>
    </w:p>
    <w:p>
      <w:pPr>
        <w:jc w:val="center"/>
      </w:pPr>
      <w:r>
        <w:drawing>
          <wp:inline xmlns:a="http://schemas.openxmlformats.org/drawingml/2006/main" xmlns:pic="http://schemas.openxmlformats.org/drawingml/2006/picture">
            <wp:extent cx="5760720" cy="3579346"/>
            <wp:docPr id="3" name="Picture 3"/>
            <wp:cNvGraphicFramePr>
              <a:graphicFrameLocks noChangeAspect="1"/>
            </wp:cNvGraphicFramePr>
            <a:graphic>
              <a:graphicData uri="http://schemas.openxmlformats.org/drawingml/2006/picture">
                <pic:pic>
                  <pic:nvPicPr>
                    <pic:cNvPr id="0" name="20260816_F3_yield_v2.png"/>
                    <pic:cNvPicPr/>
                  </pic:nvPicPr>
                  <pic:blipFill>
                    <a:blip r:embed="rId11"/>
                    <a:stretch>
                      <a:fillRect/>
                    </a:stretch>
                  </pic:blipFill>
                  <pic:spPr>
                    <a:xfrm>
                      <a:off x="0" y="0"/>
                      <a:ext cx="5760720" cy="3579346"/>
                    </a:xfrm>
                    <a:prstGeom prst="rect"/>
                  </pic:spPr>
                </pic:pic>
              </a:graphicData>
            </a:graphic>
          </wp:inline>
        </w:drawing>
      </w:r>
    </w:p>
    <w:p>
      <w:pPr>
        <w:spacing w:line="480" w:lineRule="auto" w:after="0"/>
      </w:pPr>
      <w:r>
        <w:rPr>
          <w:rFonts w:ascii="Times New Roman" w:hAnsi="Times New Roman"/>
          <w:b/>
          <w:i w:val="0"/>
          <w:sz w:val="22"/>
        </w:rPr>
        <w:t>Figure 3.</w:t>
      </w:r>
      <w:r>
        <w:rPr>
          <w:rFonts w:ascii="Times New Roman" w:hAnsi="Times New Roman"/>
          <w:b w:val="0"/>
          <w:i w:val="0"/>
          <w:sz w:val="22"/>
        </w:rPr>
        <w:t xml:space="preserve"> Coloc yield calibrates with MR evidence. Coloc yield of strong colocalization (PP.H4 ≥ 0.8, % of pairs) as a function of the MR p-value threshold (n per stratum annotated). Nominal curve, 3.04% at p &lt; 0.05 rising to 25.59% at p &lt; 1e-5; the preregistered per-outcome BH-FDR core point (982 pairs; 12.32%) and the stage-2 grid point (818 evaluable; 12.96%) are overlaid. Error bars are Wilson 95% confidence intervals.</w:t>
      </w:r>
    </w:p>
    <w:p>
      <w:r>
        <w:br w:type="page"/>
      </w:r>
    </w:p>
    <w:p>
      <w:pPr>
        <w:jc w:val="center"/>
      </w:pPr>
      <w:r>
        <w:drawing>
          <wp:inline xmlns:a="http://schemas.openxmlformats.org/drawingml/2006/main" xmlns:pic="http://schemas.openxmlformats.org/drawingml/2006/picture">
            <wp:extent cx="5760720" cy="4024090"/>
            <wp:docPr id="4" name="Picture 4"/>
            <wp:cNvGraphicFramePr>
              <a:graphicFrameLocks noChangeAspect="1"/>
            </wp:cNvGraphicFramePr>
            <a:graphic>
              <a:graphicData uri="http://schemas.openxmlformats.org/drawingml/2006/picture">
                <pic:pic>
                  <pic:nvPicPr>
                    <pic:cNvPr id="0" name="20260816_F4_negative_v2.png"/>
                    <pic:cNvPicPr/>
                  </pic:nvPicPr>
                  <pic:blipFill>
                    <a:blip r:embed="rId12"/>
                    <a:stretch>
                      <a:fillRect/>
                    </a:stretch>
                  </pic:blipFill>
                  <pic:spPr>
                    <a:xfrm>
                      <a:off x="0" y="0"/>
                      <a:ext cx="5760720" cy="4024090"/>
                    </a:xfrm>
                    <a:prstGeom prst="rect"/>
                  </pic:spPr>
                </pic:pic>
              </a:graphicData>
            </a:graphic>
          </wp:inline>
        </w:drawing>
      </w:r>
    </w:p>
    <w:p>
      <w:pPr>
        <w:spacing w:line="480" w:lineRule="auto" w:after="0"/>
      </w:pPr>
      <w:r>
        <w:rPr>
          <w:rFonts w:ascii="Times New Roman" w:hAnsi="Times New Roman"/>
          <w:b/>
          <w:i w:val="0"/>
          <w:sz w:val="22"/>
        </w:rPr>
        <w:t>Figure 4.</w:t>
      </w:r>
      <w:r>
        <w:rPr>
          <w:rFonts w:ascii="Times New Roman" w:hAnsi="Times New Roman"/>
          <w:b w:val="0"/>
          <w:i w:val="0"/>
          <w:sz w:val="22"/>
        </w:rPr>
        <w:t xml:space="preserve"> PP.H4 distribution and the negative boundary outside the MR-significant set. (A) Empirical cumulative distribution of PP.H4 across all 31,371 pairs. (B) Number of strong-colocalization pairs by MR status (significant / null / negative). (C) PP.H4 threshold sensitivity (strong-colocalization count within the FDR-core set at PP.H4 ≥ 0.5 / 0.8 / 0.9). (D) Permutation-based false-positive rate in the MR-significant subset. Only 2/27,123 MR-null or MR-negative pairs reach strong colocalization (one-sided Poisson 95% upper bound 0.0232% per pair).</w:t>
      </w:r>
    </w:p>
    <w:p>
      <w:r>
        <w:br w:type="page"/>
      </w:r>
    </w:p>
    <w:p>
      <w:pPr>
        <w:jc w:val="center"/>
      </w:pPr>
      <w:r>
        <w:drawing>
          <wp:inline xmlns:a="http://schemas.openxmlformats.org/drawingml/2006/main" xmlns:pic="http://schemas.openxmlformats.org/drawingml/2006/picture">
            <wp:extent cx="5760720" cy="5378734"/>
            <wp:docPr id="5" name="Picture 5"/>
            <wp:cNvGraphicFramePr>
              <a:graphicFrameLocks noChangeAspect="1"/>
            </wp:cNvGraphicFramePr>
            <a:graphic>
              <a:graphicData uri="http://schemas.openxmlformats.org/drawingml/2006/picture">
                <pic:pic>
                  <pic:nvPicPr>
                    <pic:cNvPr id="0" name="20260816_F5_locuszoom_mirror_v2.png"/>
                    <pic:cNvPicPr/>
                  </pic:nvPicPr>
                  <pic:blipFill>
                    <a:blip r:embed="rId13"/>
                    <a:stretch>
                      <a:fillRect/>
                    </a:stretch>
                  </pic:blipFill>
                  <pic:spPr>
                    <a:xfrm>
                      <a:off x="0" y="0"/>
                      <a:ext cx="5760720" cy="5378734"/>
                    </a:xfrm>
                    <a:prstGeom prst="rect"/>
                  </pic:spPr>
                </pic:pic>
              </a:graphicData>
            </a:graphic>
          </wp:inline>
        </w:drawing>
      </w:r>
    </w:p>
    <w:p>
      <w:pPr>
        <w:spacing w:line="480" w:lineRule="auto" w:after="0"/>
      </w:pPr>
      <w:r>
        <w:rPr>
          <w:rFonts w:ascii="Times New Roman" w:hAnsi="Times New Roman"/>
          <w:b/>
          <w:i w:val="0"/>
          <w:sz w:val="22"/>
        </w:rPr>
        <w:t>Figure 5.</w:t>
      </w:r>
      <w:r>
        <w:rPr>
          <w:rFonts w:ascii="Times New Roman" w:hAnsi="Times New Roman"/>
          <w:b w:val="0"/>
          <w:i w:val="0"/>
          <w:sz w:val="22"/>
        </w:rPr>
        <w:t xml:space="preserve"> Regional colocalization plots for representative loci. LocusZoom-style mirror plots of eQTL (top) and GWAS (bottom) association at selected loci: RBM6×T2D, CNNM2×CAD, PLAUR×CAD, CD101×T2D, RIC8A×CAD, and the gray-zone pair AP3S2×T2D. LD r² is shown relative to the lead instrument. Loci were selected as the five coloc.susie-sensitivity candidates (Section 3.7) plus the gray-zone pair.</w:t>
      </w:r>
    </w:p>
    <w:p>
      <w:r>
        <w:br w:type="page"/>
      </w:r>
    </w:p>
    <w:p>
      <w:pPr>
        <w:jc w:val="center"/>
      </w:pPr>
      <w:r>
        <w:drawing>
          <wp:inline xmlns:a="http://schemas.openxmlformats.org/drawingml/2006/main" xmlns:pic="http://schemas.openxmlformats.org/drawingml/2006/picture">
            <wp:extent cx="5760720" cy="4056735"/>
            <wp:docPr id="6" name="Picture 6"/>
            <wp:cNvGraphicFramePr>
              <a:graphicFrameLocks noChangeAspect="1"/>
            </wp:cNvGraphicFramePr>
            <a:graphic>
              <a:graphicData uri="http://schemas.openxmlformats.org/drawingml/2006/picture">
                <pic:pic>
                  <pic:nvPicPr>
                    <pic:cNvPr id="0" name="20260816_F6_candidates15_v2.png"/>
                    <pic:cNvPicPr/>
                  </pic:nvPicPr>
                  <pic:blipFill>
                    <a:blip r:embed="rId14"/>
                    <a:stretch>
                      <a:fillRect/>
                    </a:stretch>
                  </pic:blipFill>
                  <pic:spPr>
                    <a:xfrm>
                      <a:off x="0" y="0"/>
                      <a:ext cx="5760720" cy="4056735"/>
                    </a:xfrm>
                    <a:prstGeom prst="rect"/>
                  </pic:spPr>
                </pic:pic>
              </a:graphicData>
            </a:graphic>
          </wp:inline>
        </w:drawing>
      </w:r>
    </w:p>
    <w:p>
      <w:pPr>
        <w:spacing w:line="480" w:lineRule="auto" w:after="0"/>
      </w:pPr>
      <w:r>
        <w:rPr>
          <w:rFonts w:ascii="Times New Roman" w:hAnsi="Times New Roman"/>
          <w:b/>
          <w:i w:val="0"/>
          <w:sz w:val="22"/>
        </w:rPr>
        <w:t>Figure 6.</w:t>
      </w:r>
      <w:r>
        <w:rPr>
          <w:rFonts w:ascii="Times New Roman" w:hAnsi="Times New Roman"/>
          <w:b w:val="0"/>
          <w:i w:val="0"/>
          <w:sz w:val="22"/>
        </w:rPr>
        <w:t xml:space="preserve"> Fifteen candidate effector genes. Lollipop plot of PP.H4 for the 15 FDR-core strong-colocalization candidates outside the previously reported set. Filled points, candidate effector genes at reported T2D/CAD risk loci; open points, weak-locus candidates without T2D/CAD catalog records. Right columns show directional replication: GTEx v8 eQTL direction (✓ consistent, × conflicting, · not testable) and FinnGen R11 variant-level direction (✓ replicated, × not, · not alignable).</w:t>
      </w:r>
    </w:p>
    <w:p>
      <w:r>
        <w:br w:type="page"/>
      </w:r>
    </w:p>
    <w:p>
      <w:pPr>
        <w:jc w:val="center"/>
      </w:pPr>
      <w:r>
        <w:drawing>
          <wp:inline xmlns:a="http://schemas.openxmlformats.org/drawingml/2006/main" xmlns:pic="http://schemas.openxmlformats.org/drawingml/2006/picture">
            <wp:extent cx="5760720" cy="3884893"/>
            <wp:docPr id="7" name="Picture 7"/>
            <wp:cNvGraphicFramePr>
              <a:graphicFrameLocks noChangeAspect="1"/>
            </wp:cNvGraphicFramePr>
            <a:graphic>
              <a:graphicData uri="http://schemas.openxmlformats.org/drawingml/2006/picture">
                <pic:pic>
                  <pic:nvPicPr>
                    <pic:cNvPr id="0" name="20260816_F7_replication_v2.png"/>
                    <pic:cNvPicPr/>
                  </pic:nvPicPr>
                  <pic:blipFill>
                    <a:blip r:embed="rId15"/>
                    <a:stretch>
                      <a:fillRect/>
                    </a:stretch>
                  </pic:blipFill>
                  <pic:spPr>
                    <a:xfrm>
                      <a:off x="0" y="0"/>
                      <a:ext cx="5760720" cy="3884893"/>
                    </a:xfrm>
                    <a:prstGeom prst="rect"/>
                  </pic:spPr>
                </pic:pic>
              </a:graphicData>
            </a:graphic>
          </wp:inline>
        </w:drawing>
      </w:r>
    </w:p>
    <w:p>
      <w:pPr>
        <w:spacing w:line="480" w:lineRule="auto" w:after="0"/>
      </w:pPr>
      <w:r>
        <w:rPr>
          <w:rFonts w:ascii="Times New Roman" w:hAnsi="Times New Roman"/>
          <w:b/>
          <w:i w:val="0"/>
          <w:sz w:val="22"/>
        </w:rPr>
        <w:t>Figure 7.</w:t>
      </w:r>
      <w:r>
        <w:rPr>
          <w:rFonts w:ascii="Times New Roman" w:hAnsi="Times New Roman"/>
          <w:b w:val="0"/>
          <w:i w:val="0"/>
          <w:sz w:val="22"/>
        </w:rPr>
        <w:t xml:space="preserve"> Convergence and independent replication. (A) SMR+HEIDI pass rate in the strong-colocalization subset (76/106 = 71.7%). (B) Steiger directionality (eQTL → outcome) among HEIDI-passing pairs (73/76 = 96.1%; 0 reverse-significant). (C) GTEx v8 direction replication stratified by candidate layer (candidate effector genes, 6/7; known 106 loci, 44/63). (D) FinnGen R11 replication for the 15 candidates (−log₁₀ p, original GWAS peak vs FinnGen; ★ = FinnGen p &lt; 0.05); 9/9 gene-level and 8/9 variant-level direction concordance among the 9/15 alignable pairs. (E) FinnGen alignability of the 15 candidates. Error bars, Wilson 95% CI.</w:t>
      </w:r>
    </w:p>
    <w:p>
      <w:r>
        <w:br w:type="page"/>
      </w:r>
    </w:p>
    <w:p>
      <w:pPr>
        <w:jc w:val="center"/>
      </w:pPr>
      <w:r>
        <w:drawing>
          <wp:inline xmlns:a="http://schemas.openxmlformats.org/drawingml/2006/main" xmlns:pic="http://schemas.openxmlformats.org/drawingml/2006/picture">
            <wp:extent cx="5760720" cy="2910680"/>
            <wp:docPr id="8" name="Picture 8"/>
            <wp:cNvGraphicFramePr>
              <a:graphicFrameLocks noChangeAspect="1"/>
            </wp:cNvGraphicFramePr>
            <a:graphic>
              <a:graphicData uri="http://schemas.openxmlformats.org/drawingml/2006/picture">
                <pic:pic>
                  <pic:nvPicPr>
                    <pic:cNvPr id="0" name="20260816_F8_susie_v2.png"/>
                    <pic:cNvPicPr/>
                  </pic:nvPicPr>
                  <pic:blipFill>
                    <a:blip r:embed="rId16"/>
                    <a:stretch>
                      <a:fillRect/>
                    </a:stretch>
                  </pic:blipFill>
                  <pic:spPr>
                    <a:xfrm>
                      <a:off x="0" y="0"/>
                      <a:ext cx="5760720" cy="2910680"/>
                    </a:xfrm>
                    <a:prstGeom prst="rect"/>
                  </pic:spPr>
                </pic:pic>
              </a:graphicData>
            </a:graphic>
          </wp:inline>
        </w:drawing>
      </w:r>
    </w:p>
    <w:p>
      <w:pPr>
        <w:spacing w:line="480" w:lineRule="auto" w:after="0"/>
      </w:pPr>
      <w:r>
        <w:rPr>
          <w:rFonts w:ascii="Times New Roman" w:hAnsi="Times New Roman"/>
          <w:b/>
          <w:i w:val="0"/>
          <w:sz w:val="22"/>
        </w:rPr>
        <w:t>Figure 8.</w:t>
      </w:r>
      <w:r>
        <w:rPr>
          <w:rFonts w:ascii="Times New Roman" w:hAnsi="Times New Roman"/>
          <w:b w:val="0"/>
          <w:i w:val="0"/>
          <w:sz w:val="22"/>
        </w:rPr>
        <w:t xml:space="preserve"> coloc.susie sensitivity of strong-colocalization calls. Paired coloc.abf vs coloc.susie PP.H4 for the six adjudicated loci (RBM6×T2D, CNNM2×CAD, PLAUR×CAD, CD101×T2D, RIC8A×CAD, LAMC1×CAD). SuSiE credible-set counts per side and non-convergence markers (✗, all runs) are annotated. LAMC1×CAD (abf PP.H4 = 0.9139 → SuSiE 0.0000) is highlighted; it is excluded from the candidate set on independent FDR and multi-signal grounds.</w:t>
      </w:r>
    </w:p>
    <w:p>
      <w:r>
        <w:br w:type="page"/>
      </w:r>
    </w:p>
    <w:p>
      <w:pPr>
        <w:jc w:val="center"/>
      </w:pPr>
      <w:r>
        <w:drawing>
          <wp:inline xmlns:a="http://schemas.openxmlformats.org/drawingml/2006/main" xmlns:pic="http://schemas.openxmlformats.org/drawingml/2006/picture">
            <wp:extent cx="5760720" cy="1986210"/>
            <wp:docPr id="9" name="Picture 9"/>
            <wp:cNvGraphicFramePr>
              <a:graphicFrameLocks noChangeAspect="1"/>
            </wp:cNvGraphicFramePr>
            <a:graphic>
              <a:graphicData uri="http://schemas.openxmlformats.org/drawingml/2006/picture">
                <pic:pic>
                  <pic:nvPicPr>
                    <pic:cNvPr id="0" name="20260816_F9_gwas_caveat_v2.png"/>
                    <pic:cNvPicPr/>
                  </pic:nvPicPr>
                  <pic:blipFill>
                    <a:blip r:embed="rId17"/>
                    <a:stretch>
                      <a:fillRect/>
                    </a:stretch>
                  </pic:blipFill>
                  <pic:spPr>
                    <a:xfrm>
                      <a:off x="0" y="0"/>
                      <a:ext cx="5760720" cy="1986210"/>
                    </a:xfrm>
                    <a:prstGeom prst="rect"/>
                  </pic:spPr>
                </pic:pic>
              </a:graphicData>
            </a:graphic>
          </wp:inline>
        </w:drawing>
      </w:r>
    </w:p>
    <w:p>
      <w:pPr>
        <w:spacing w:line="480" w:lineRule="auto" w:after="0"/>
      </w:pPr>
      <w:r>
        <w:rPr>
          <w:rFonts w:ascii="Times New Roman" w:hAnsi="Times New Roman"/>
          <w:b/>
          <w:i w:val="0"/>
          <w:sz w:val="22"/>
        </w:rPr>
        <w:t>Figure 9.</w:t>
      </w:r>
      <w:r>
        <w:rPr>
          <w:rFonts w:ascii="Times New Roman" w:hAnsi="Times New Roman"/>
          <w:b w:val="0"/>
          <w:i w:val="0"/>
          <w:sz w:val="22"/>
        </w:rPr>
        <w:t xml:space="preserve"> GWAS-significance caveat. Fraction of strong-colocalization pairs whose GWAS region reaches genome-wide significance (p &lt; 5e-8): known loci 41/106 (38.7%), candidate effector genes 6/15 (40%), with the distribution of GWAS peak p-values and the median (4.73e-7). Strong colocalization support and GWAS significance are orthogonal; most colocalized regions are effector-gene candidates, not new GWAS loci.</w:t>
      </w:r>
    </w:p>
    <w:p>
      <w:r>
        <w:br w:type="page"/>
      </w:r>
    </w:p>
    <w:p>
      <w:pPr>
        <w:jc w:val="center"/>
      </w:pPr>
      <w:r>
        <w:drawing>
          <wp:inline xmlns:a="http://schemas.openxmlformats.org/drawingml/2006/main" xmlns:pic="http://schemas.openxmlformats.org/drawingml/2006/picture">
            <wp:extent cx="5760720" cy="1973580"/>
            <wp:docPr id="10" name="Picture 10"/>
            <wp:cNvGraphicFramePr>
              <a:graphicFrameLocks noChangeAspect="1"/>
            </wp:cNvGraphicFramePr>
            <a:graphic>
              <a:graphicData uri="http://schemas.openxmlformats.org/drawingml/2006/picture">
                <pic:pic>
                  <pic:nvPicPr>
                    <pic:cNvPr id="0" name="20260816_S1_resources_v2.png"/>
                    <pic:cNvPicPr/>
                  </pic:nvPicPr>
                  <pic:blipFill>
                    <a:blip r:embed="rId18"/>
                    <a:stretch>
                      <a:fillRect/>
                    </a:stretch>
                  </pic:blipFill>
                  <pic:spPr>
                    <a:xfrm>
                      <a:off x="0" y="0"/>
                      <a:ext cx="5760720" cy="1973580"/>
                    </a:xfrm>
                    <a:prstGeom prst="rect"/>
                  </pic:spPr>
                </pic:pic>
              </a:graphicData>
            </a:graphic>
          </wp:inline>
        </w:drawing>
      </w:r>
    </w:p>
    <w:p>
      <w:pPr>
        <w:spacing w:line="480" w:lineRule="auto" w:after="0"/>
      </w:pPr>
      <w:r>
        <w:rPr>
          <w:rFonts w:ascii="Times New Roman" w:hAnsi="Times New Roman"/>
          <w:b/>
          <w:i w:val="0"/>
          <w:sz w:val="22"/>
        </w:rPr>
        <w:t>Supplemental Figure S1.</w:t>
      </w:r>
      <w:r>
        <w:rPr>
          <w:rFonts w:ascii="Times New Roman" w:hAnsi="Times New Roman"/>
          <w:b w:val="0"/>
          <w:i w:val="0"/>
          <w:sz w:val="22"/>
        </w:rPr>
        <w:t xml:space="preserve"> Data resources and atlas layers. (A) Data sources and analysis flow. (B) Atlas resource layers released with the Zenodo DOI. (C) FinnGen R11 alignment coverage of the candidate-effector genes.</w:t>
      </w:r>
    </w:p>
    <w:p>
      <w:r>
        <w:br w:type="page"/>
      </w:r>
    </w:p>
    <w:p>
      <w:pPr>
        <w:keepNext/>
        <w:spacing w:line="480" w:lineRule="auto" w:after="0"/>
      </w:pPr>
      <w:r>
        <w:rPr>
          <w:rFonts w:ascii="Times New Roman" w:hAnsi="Times New Roman"/>
          <w:b/>
          <w:i w:val="0"/>
          <w:sz w:val="26"/>
        </w:rPr>
        <w:t>Supplemental Items</w:t>
      </w:r>
    </w:p>
    <w:p>
      <w:pPr>
        <w:spacing w:line="480" w:lineRule="auto" w:after="0"/>
        <w:ind w:left="504"/>
      </w:pPr>
      <w:r>
        <w:rPr>
          <w:rFonts w:ascii="Times New Roman" w:hAnsi="Times New Roman"/>
          <w:b/>
          <w:i w:val="0"/>
          <w:sz w:val="24"/>
        </w:rPr>
        <w:t>Table S1.</w:t>
      </w:r>
      <w:r>
        <w:rPr>
          <w:rFonts w:ascii="Times New Roman" w:hAnsi="Times New Roman"/>
          <w:b w:val="0"/>
          <w:i w:val="0"/>
          <w:sz w:val="24"/>
        </w:rPr>
        <w:t xml:space="preserve"> Outcome-stratified scan counts (QC, MR status, strong colocalization).</w:t>
      </w:r>
    </w:p>
    <w:p>
      <w:pPr>
        <w:spacing w:line="480" w:lineRule="auto" w:after="0"/>
        <w:ind w:left="504"/>
      </w:pPr>
      <w:r>
        <w:rPr>
          <w:rFonts w:ascii="Times New Roman" w:hAnsi="Times New Roman"/>
          <w:b/>
          <w:i w:val="0"/>
          <w:sz w:val="24"/>
        </w:rPr>
        <w:t>Table S2.</w:t>
      </w:r>
      <w:r>
        <w:rPr>
          <w:rFonts w:ascii="Times New Roman" w:hAnsi="Times New Roman"/>
          <w:b w:val="0"/>
          <w:i w:val="0"/>
          <w:sz w:val="24"/>
        </w:rPr>
        <w:t xml:space="preserve"> Full annotation of the 15 candidate effector genes (tier, PP.H4, MR evidence, GWAS peak, GTEx direction, FinnGen replication).</w:t>
      </w:r>
    </w:p>
    <w:p>
      <w:pPr>
        <w:spacing w:line="480" w:lineRule="auto" w:after="0"/>
        <w:ind w:left="504"/>
      </w:pPr>
      <w:r>
        <w:rPr>
          <w:rFonts w:ascii="Times New Roman" w:hAnsi="Times New Roman"/>
          <w:b/>
          <w:i w:val="0"/>
          <w:sz w:val="24"/>
        </w:rPr>
        <w:t>Table S3.</w:t>
      </w:r>
      <w:r>
        <w:rPr>
          <w:rFonts w:ascii="Times New Roman" w:hAnsi="Times New Roman"/>
          <w:b w:val="0"/>
          <w:i w:val="0"/>
          <w:sz w:val="24"/>
        </w:rPr>
        <w:t xml:space="preserve"> Additional coloc.susie diagnostics (credible-set overlap, convergence status).</w:t>
      </w:r>
    </w:p>
    <w:p>
      <w:pPr>
        <w:spacing w:line="480" w:lineRule="auto" w:after="0"/>
        <w:ind w:left="504"/>
      </w:pPr>
      <w:r>
        <w:rPr>
          <w:rFonts w:ascii="Times New Roman" w:hAnsi="Times New Roman"/>
          <w:b/>
          <w:i w:val="0"/>
          <w:sz w:val="24"/>
        </w:rPr>
        <w:t>Fig S1.</w:t>
      </w:r>
      <w:r>
        <w:rPr>
          <w:rFonts w:ascii="Times New Roman" w:hAnsi="Times New Roman"/>
          <w:b w:val="0"/>
          <w:i w:val="0"/>
          <w:sz w:val="24"/>
        </w:rPr>
        <w:t xml:space="preserve"> Data resource and atlas-layer disclosure.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