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BFF6B">
      <w:pPr>
        <w:spacing w:before="0" w:after="40"/>
        <w:jc w:val="center"/>
      </w:pPr>
      <w:r>
        <w:rPr>
          <w:rFonts w:ascii="微软雅黑" w:hAnsi="微软雅黑" w:eastAsia="微软雅黑"/>
          <w:b/>
          <w:color w:val="1F3B5C"/>
          <w:sz w:val="40"/>
        </w:rPr>
        <w:t>Logic-Coloc「灵感链接」</w:t>
      </w:r>
    </w:p>
    <w:p w14:paraId="56C7EB1C">
      <w:pPr>
        <w:spacing w:before="0" w:after="40"/>
        <w:jc w:val="center"/>
      </w:pPr>
      <w:r>
        <w:rPr>
          <w:rFonts w:ascii="微软雅黑" w:hAnsi="微软雅黑" w:eastAsia="微软雅黑"/>
          <w:b w:val="0"/>
          <w:color w:val="595959"/>
          <w:sz w:val="26"/>
        </w:rPr>
        <w:t>跨学科知识同源翻译机 —— 主要灵感来源与内容概括</w:t>
      </w:r>
    </w:p>
    <w:p w14:paraId="5663C10A">
      <w:pPr>
        <w:spacing w:before="0" w:after="200"/>
        <w:jc w:val="center"/>
      </w:pPr>
      <w:r>
        <w:rPr>
          <w:rFonts w:ascii="微软雅黑" w:hAnsi="微软雅黑" w:eastAsia="微软雅黑"/>
          <w:b w:val="0"/>
          <w:color w:val="595959"/>
          <w:sz w:val="18"/>
        </w:rPr>
        <w:t>成文日期：2026-09-06　·　依据文档：《产品价值主张》(docs/value-proposition.md)、CLAUDE.md</w:t>
      </w:r>
    </w:p>
    <w:p w14:paraId="5CBE895F">
      <w:pPr>
        <w:pStyle w:val="3"/>
      </w:pPr>
      <w:r>
        <w:rPr>
          <w:rFonts w:ascii="微软雅黑" w:hAnsi="微软雅黑" w:eastAsia="微软雅黑"/>
          <w:b/>
          <w:color w:val="1F3B5C"/>
          <w:sz w:val="30"/>
        </w:rPr>
        <w:t>引言：用一句话记住这个想法</w:t>
      </w:r>
    </w:p>
    <w:p w14:paraId="50BBA603">
      <w:pPr>
        <w:spacing w:before="0" w:after="120"/>
        <w:jc w:val="both"/>
      </w:pPr>
      <w:r>
        <w:rPr>
          <w:rFonts w:ascii="微软雅黑" w:hAnsi="微软雅黑" w:eastAsia="微软雅黑"/>
          <w:b/>
          <w:color w:val="1F3B5C"/>
          <w:sz w:val="26"/>
        </w:rPr>
        <w:t>“你的难题，可能另一个领域几百年前就解过了——只是两边不知道彼此说的是同一个骨架。”</w:t>
      </w:r>
    </w:p>
    <w:p w14:paraId="4F7599AB">
      <w:pPr>
        <w:spacing w:before="0" w:after="120"/>
        <w:jc w:val="both"/>
      </w:pPr>
      <w:r>
        <w:rPr>
          <w:rFonts w:ascii="微软雅黑" w:hAnsi="微软雅黑" w:eastAsia="微软雅黑"/>
          <w:b w:val="0"/>
          <w:sz w:val="22"/>
        </w:rPr>
        <w:t>Logic-Coloc 要做的，是把“跨领域类比”从少数天才的灵光一现，变成人人可用的方法：用 LLM 把任意文本压成一张可解释的 5 维逻辑骨架卡，再用本地确定性数学判断两段完全不同领域文本的底层逻辑是否同构；若同构，再为两侧概念建立跨域映射。下面这份文档，记录这个想法背后的主要灵感来源，以及每个来源“给了我们什么”。</w:t>
      </w:r>
    </w:p>
    <w:p w14:paraId="200A892E">
      <w:pPr>
        <w:pStyle w:val="3"/>
      </w:pPr>
      <w:r>
        <w:rPr>
          <w:rFonts w:ascii="微软雅黑" w:hAnsi="微软雅黑" w:eastAsia="微软雅黑"/>
          <w:b/>
          <w:color w:val="1F3B5C"/>
          <w:sz w:val="30"/>
        </w:rPr>
        <w:t>一、底层信念：跨领域“借智慧”是真实的创新引擎</w:t>
      </w:r>
    </w:p>
    <w:p w14:paraId="6BA234CD">
      <w:pPr>
        <w:spacing w:before="0" w:after="120"/>
        <w:jc w:val="both"/>
      </w:pPr>
      <w:r>
        <w:rPr>
          <w:rFonts w:ascii="微软雅黑" w:hAnsi="微软雅黑" w:eastAsia="微软雅黑"/>
          <w:b w:val="0"/>
          <w:sz w:val="22"/>
        </w:rPr>
        <w:t>这不是比喻，是史实。以下改变世界的东西，本质都是“把一个领域的骨架，翻译到另一个领域”——这也是本项目最直接的立项依据。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1F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2F3"/>
          </w:tcPr>
          <w:p w14:paraId="5F9197D7">
            <w:pPr>
              <w:spacing w:before="40" w:after="40" w:line="240" w:lineRule="auto"/>
            </w:pPr>
            <w:r>
              <w:rPr>
                <w:rFonts w:ascii="微软雅黑" w:hAnsi="微软雅黑" w:eastAsia="微软雅黑"/>
                <w:b/>
                <w:sz w:val="21"/>
              </w:rPr>
              <w:t>跨域迁移</w:t>
            </w:r>
          </w:p>
        </w:tc>
        <w:tc>
          <w:tcPr>
            <w:tcW w:w="2880" w:type="dxa"/>
            <w:shd w:val="clear" w:color="auto" w:fill="D9E2F3"/>
          </w:tcPr>
          <w:p w14:paraId="32383424">
            <w:pPr>
              <w:spacing w:before="40" w:after="40" w:line="240" w:lineRule="auto"/>
            </w:pPr>
            <w:r>
              <w:rPr>
                <w:rFonts w:ascii="微软雅黑" w:hAnsi="微软雅黑" w:eastAsia="微软雅黑"/>
                <w:b/>
                <w:sz w:val="21"/>
              </w:rPr>
              <w:t>源领域 → 目标领域</w:t>
            </w:r>
          </w:p>
        </w:tc>
        <w:tc>
          <w:tcPr>
            <w:tcW w:w="2880" w:type="dxa"/>
            <w:shd w:val="clear" w:color="auto" w:fill="D9E2F3"/>
          </w:tcPr>
          <w:p w14:paraId="0EF56851">
            <w:pPr>
              <w:spacing w:before="40" w:after="40" w:line="240" w:lineRule="auto"/>
            </w:pPr>
            <w:r>
              <w:rPr>
                <w:rFonts w:ascii="微软雅黑" w:hAnsi="微软雅黑" w:eastAsia="微软雅黑"/>
                <w:b/>
                <w:sz w:val="21"/>
              </w:rPr>
              <w:t>结果</w:t>
            </w:r>
          </w:p>
        </w:tc>
      </w:tr>
      <w:tr w14:paraId="0D9B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4AD92D">
            <w:pPr>
              <w:spacing w:before="40" w:after="40" w:line="240" w:lineRule="auto"/>
            </w:pPr>
            <w:r>
              <w:rPr>
                <w:rFonts w:ascii="微软雅黑" w:hAnsi="微软雅黑" w:eastAsia="微软雅黑"/>
                <w:sz w:val="21"/>
              </w:rPr>
              <w:t>深度学习</w:t>
            </w:r>
          </w:p>
        </w:tc>
        <w:tc>
          <w:tcPr>
            <w:tcW w:w="2880" w:type="dxa"/>
          </w:tcPr>
          <w:p w14:paraId="6BA69C01">
            <w:pPr>
              <w:spacing w:before="40" w:after="40" w:line="240" w:lineRule="auto"/>
            </w:pPr>
            <w:r>
              <w:rPr>
                <w:rFonts w:ascii="微软雅黑" w:hAnsi="微软雅黑" w:eastAsia="微软雅黑"/>
                <w:sz w:val="21"/>
              </w:rPr>
              <w:t>大脑神经元 → 计算机</w:t>
            </w:r>
          </w:p>
        </w:tc>
        <w:tc>
          <w:tcPr>
            <w:tcW w:w="2880" w:type="dxa"/>
          </w:tcPr>
          <w:p w14:paraId="4B8A0358">
            <w:pPr>
              <w:spacing w:before="40" w:after="40" w:line="240" w:lineRule="auto"/>
            </w:pPr>
            <w:r>
              <w:rPr>
                <w:rFonts w:ascii="微软雅黑" w:hAnsi="微软雅黑" w:eastAsia="微软雅黑"/>
                <w:sz w:val="21"/>
              </w:rPr>
              <w:t>神经网络改变 AI</w:t>
            </w:r>
          </w:p>
        </w:tc>
      </w:tr>
      <w:tr w14:paraId="3DE3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080575">
            <w:pPr>
              <w:spacing w:before="40" w:after="40" w:line="240" w:lineRule="auto"/>
            </w:pPr>
            <w:r>
              <w:rPr>
                <w:rFonts w:ascii="微软雅黑" w:hAnsi="微软雅黑" w:eastAsia="微软雅黑"/>
                <w:sz w:val="21"/>
              </w:rPr>
              <w:t>控制论 Cybernetics</w:t>
            </w:r>
          </w:p>
        </w:tc>
        <w:tc>
          <w:tcPr>
            <w:tcW w:w="2880" w:type="dxa"/>
          </w:tcPr>
          <w:p w14:paraId="69598223">
            <w:pPr>
              <w:spacing w:before="40" w:after="40" w:line="240" w:lineRule="auto"/>
            </w:pPr>
            <w:r>
              <w:rPr>
                <w:rFonts w:ascii="微软雅黑" w:hAnsi="微软雅黑" w:eastAsia="微软雅黑"/>
                <w:sz w:val="21"/>
              </w:rPr>
              <w:t>生物稳态 / 反馈 → 机器与社会</w:t>
            </w:r>
          </w:p>
        </w:tc>
        <w:tc>
          <w:tcPr>
            <w:tcW w:w="2880" w:type="dxa"/>
          </w:tcPr>
          <w:p w14:paraId="00953CD3">
            <w:pPr>
              <w:spacing w:before="40" w:after="40" w:line="240" w:lineRule="auto"/>
            </w:pPr>
            <w:r>
              <w:rPr>
                <w:rFonts w:ascii="微软雅黑" w:hAnsi="微软雅黑" w:eastAsia="微软雅黑"/>
                <w:sz w:val="21"/>
              </w:rPr>
              <w:t>维纳：机器、生物、社会共用一套反馈语言</w:t>
            </w:r>
          </w:p>
        </w:tc>
      </w:tr>
      <w:tr w14:paraId="4420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5F8216">
            <w:pPr>
              <w:spacing w:before="40" w:after="40" w:line="240" w:lineRule="auto"/>
            </w:pPr>
            <w:r>
              <w:rPr>
                <w:rFonts w:ascii="微软雅黑" w:hAnsi="微软雅黑" w:eastAsia="微软雅黑"/>
                <w:sz w:val="21"/>
              </w:rPr>
              <w:t>人工胰腺</w:t>
            </w:r>
          </w:p>
        </w:tc>
        <w:tc>
          <w:tcPr>
            <w:tcW w:w="2880" w:type="dxa"/>
          </w:tcPr>
          <w:p w14:paraId="767F3026">
            <w:pPr>
              <w:spacing w:before="40" w:after="40" w:line="240" w:lineRule="auto"/>
            </w:pPr>
            <w:r>
              <w:rPr>
                <w:rFonts w:ascii="微软雅黑" w:hAnsi="微软雅黑" w:eastAsia="微软雅黑"/>
                <w:sz w:val="21"/>
              </w:rPr>
              <w:t>工程闭环控制 → 血糖调控</w:t>
            </w:r>
          </w:p>
        </w:tc>
        <w:tc>
          <w:tcPr>
            <w:tcW w:w="2880" w:type="dxa"/>
          </w:tcPr>
          <w:p w14:paraId="7348DFDD">
            <w:pPr>
              <w:spacing w:before="40" w:after="40" w:line="240" w:lineRule="auto"/>
            </w:pPr>
            <w:r>
              <w:rPr>
                <w:rFonts w:ascii="微软雅黑" w:hAnsi="微软雅黑" w:eastAsia="微软雅黑"/>
                <w:sz w:val="21"/>
              </w:rPr>
              <w:t>让糖尿病患者的“负反馈”自动化</w:t>
            </w:r>
          </w:p>
        </w:tc>
      </w:tr>
      <w:tr w14:paraId="702B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744569">
            <w:pPr>
              <w:spacing w:before="40" w:after="40" w:line="240" w:lineRule="auto"/>
            </w:pPr>
            <w:r>
              <w:rPr>
                <w:rFonts w:ascii="微软雅黑" w:hAnsi="微软雅黑" w:eastAsia="微软雅黑"/>
                <w:sz w:val="21"/>
              </w:rPr>
              <w:t>模拟退火算法</w:t>
            </w:r>
          </w:p>
        </w:tc>
        <w:tc>
          <w:tcPr>
            <w:tcW w:w="2880" w:type="dxa"/>
          </w:tcPr>
          <w:p w14:paraId="5CDF694F">
            <w:pPr>
              <w:spacing w:before="40" w:after="40" w:line="240" w:lineRule="auto"/>
            </w:pPr>
            <w:r>
              <w:rPr>
                <w:rFonts w:ascii="微软雅黑" w:hAnsi="微软雅黑" w:eastAsia="微软雅黑"/>
                <w:sz w:val="21"/>
              </w:rPr>
              <w:t>冶金退火 → 计算机搜索</w:t>
            </w:r>
          </w:p>
        </w:tc>
        <w:tc>
          <w:tcPr>
            <w:tcW w:w="2880" w:type="dxa"/>
          </w:tcPr>
          <w:p w14:paraId="0C0124EE">
            <w:pPr>
              <w:spacing w:before="40" w:after="40" w:line="240" w:lineRule="auto"/>
            </w:pPr>
            <w:r>
              <w:rPr>
                <w:rFonts w:ascii="微软雅黑" w:hAnsi="微软雅黑" w:eastAsia="微软雅黑"/>
                <w:sz w:val="21"/>
              </w:rPr>
              <w:t>经典全局优化算法</w:t>
            </w:r>
          </w:p>
        </w:tc>
      </w:tr>
      <w:tr w14:paraId="7B59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227DBCD">
            <w:pPr>
              <w:spacing w:before="40" w:after="40" w:line="240" w:lineRule="auto"/>
            </w:pPr>
            <w:r>
              <w:rPr>
                <w:rFonts w:ascii="微软雅黑" w:hAnsi="微软雅黑" w:eastAsia="微软雅黑"/>
                <w:sz w:val="21"/>
              </w:rPr>
              <w:t>群论</w:t>
            </w:r>
          </w:p>
        </w:tc>
        <w:tc>
          <w:tcPr>
            <w:tcW w:w="2880" w:type="dxa"/>
          </w:tcPr>
          <w:p w14:paraId="2F8C3FD5">
            <w:pPr>
              <w:spacing w:before="40" w:after="40" w:line="240" w:lineRule="auto"/>
            </w:pPr>
            <w:r>
              <w:rPr>
                <w:rFonts w:ascii="微软雅黑" w:hAnsi="微软雅黑" w:eastAsia="微软雅黑"/>
                <w:sz w:val="21"/>
              </w:rPr>
              <w:t>纯数学 → 物理 / 化学 / 密码学</w:t>
            </w:r>
          </w:p>
        </w:tc>
        <w:tc>
          <w:tcPr>
            <w:tcW w:w="2880" w:type="dxa"/>
          </w:tcPr>
          <w:p w14:paraId="7604A418">
            <w:pPr>
              <w:spacing w:before="40" w:after="40" w:line="240" w:lineRule="auto"/>
            </w:pPr>
            <w:r>
              <w:rPr>
                <w:rFonts w:ascii="微软雅黑" w:hAnsi="微软雅黑" w:eastAsia="微软雅黑"/>
                <w:sz w:val="21"/>
              </w:rPr>
              <w:t>现代物理的骨架语言</w:t>
            </w:r>
          </w:p>
        </w:tc>
      </w:tr>
    </w:tbl>
    <w:p w14:paraId="7C07076F">
      <w:pPr>
        <w:spacing w:before="120" w:after="60"/>
        <w:jc w:val="both"/>
      </w:pPr>
      <w:r>
        <w:rPr>
          <w:rFonts w:ascii="微软雅黑" w:hAnsi="微软雅黑" w:eastAsia="微软雅黑"/>
          <w:b/>
          <w:sz w:val="22"/>
        </w:rPr>
        <w:t>共同点：两边的“骨架”——反馈、平衡、收敛、随机、竞争——是同一个，只是穿了不同领域的外衣。</w:t>
      </w:r>
    </w:p>
    <w:p w14:paraId="47DAEA19">
      <w:pPr>
        <w:spacing w:before="0" w:after="120"/>
        <w:jc w:val="both"/>
      </w:pPr>
      <w:r>
        <w:rPr>
          <w:rFonts w:ascii="微软雅黑" w:hAnsi="微软雅黑" w:eastAsia="微软雅黑"/>
          <w:b w:val="0"/>
          <w:sz w:val="22"/>
        </w:rPr>
        <w:t>所以我们要做的不是“又一个 AI 工具”，而是把“跨领域类比”本身变成方法。</w:t>
      </w:r>
    </w:p>
    <w:p w14:paraId="0A4A3EB7">
      <w:pPr>
        <w:pStyle w:val="3"/>
      </w:pPr>
      <w:r>
        <w:rPr>
          <w:rFonts w:ascii="微软雅黑" w:hAnsi="微软雅黑" w:eastAsia="微软雅黑"/>
          <w:b/>
          <w:color w:val="1F3B5C"/>
          <w:sz w:val="30"/>
        </w:rPr>
        <w:t>二、认知来源：类比在科学史上本来就常是灵感开关</w:t>
      </w:r>
    </w:p>
    <w:p w14:paraId="11F53C7A">
      <w:pPr>
        <w:spacing w:before="0" w:after="60"/>
        <w:jc w:val="both"/>
      </w:pPr>
      <w:r>
        <w:rPr>
          <w:rFonts w:ascii="微软雅黑" w:hAnsi="微软雅黑" w:eastAsia="微软雅黑"/>
          <w:b w:val="0"/>
          <w:sz w:val="22"/>
        </w:rPr>
        <w:t>• 开普勒：把行星绕日运动比作来自太阳的“磁力”式吸引——力学直觉先于牛顿定律，类比驱动了发现。</w:t>
      </w:r>
    </w:p>
    <w:p w14:paraId="5D0AFA28">
      <w:pPr>
        <w:spacing w:before="0" w:after="60"/>
        <w:jc w:val="both"/>
      </w:pPr>
      <w:r>
        <w:rPr>
          <w:rFonts w:ascii="微软雅黑" w:hAnsi="微软雅黑" w:eastAsia="微软雅黑"/>
          <w:b w:val="0"/>
          <w:sz w:val="22"/>
        </w:rPr>
        <w:t>• 达尔文 × 马尔萨斯《人口论》：从“人口增长受资源竞争约束”读出“生存竞争”，点燃了自然选择。</w:t>
      </w:r>
    </w:p>
    <w:p w14:paraId="4B9BB67B">
      <w:pPr>
        <w:spacing w:before="80" w:after="120"/>
        <w:jc w:val="both"/>
      </w:pPr>
      <w:r>
        <w:rPr>
          <w:rFonts w:ascii="微软雅黑" w:hAnsi="微软雅黑" w:eastAsia="微软雅黑"/>
          <w:b w:val="0"/>
          <w:sz w:val="22"/>
        </w:rPr>
        <w:t>反过来说明了现状的荒谬：类比如此有效，却只能靠少数人的灵光一现——它是运气，不是方法。这正是本项目想消除的痛点。</w:t>
      </w:r>
    </w:p>
    <w:p w14:paraId="08E5A0C9">
      <w:pPr>
        <w:pStyle w:val="3"/>
      </w:pPr>
      <w:r>
        <w:rPr>
          <w:rFonts w:ascii="微软雅黑" w:hAnsi="微软雅黑" w:eastAsia="微软雅黑"/>
          <w:b/>
          <w:color w:val="1F3B5C"/>
          <w:sz w:val="30"/>
        </w:rPr>
        <w:t>三、现实范例：不同语言讲同一个故事的“活样本”</w:t>
      </w:r>
    </w:p>
    <w:p w14:paraId="70ED8BEC">
      <w:pPr>
        <w:pStyle w:val="4"/>
      </w:pPr>
      <w:r>
        <w:rPr>
          <w:rFonts w:ascii="微软雅黑" w:hAnsi="微软雅黑" w:eastAsia="微软雅黑"/>
          <w:b/>
          <w:color w:val="1F3B5C"/>
          <w:sz w:val="25"/>
        </w:rPr>
        <w:t>3.1　免疫学 × 计算机系统（demo1 的母本）</w:t>
      </w:r>
    </w:p>
    <w:p w14:paraId="3FA47FE1">
      <w:pPr>
        <w:spacing w:before="0" w:after="160"/>
        <w:jc w:val="both"/>
      </w:pPr>
      <w:r>
        <w:rPr>
          <w:rFonts w:ascii="微软雅黑" w:hAnsi="微软雅黑" w:eastAsia="微软雅黑"/>
          <w:b w:val="0"/>
          <w:sz w:val="22"/>
        </w:rPr>
        <w:t>T细胞 ⟷ 服务端；FOXP3/CTLA-4 ⟷ 熔断器；负反馈机制 ⟷ 自我保护机制。一个医学生和一个程序员，用各自的语言讲出了同一个故事。</w:t>
      </w:r>
    </w:p>
    <w:p w14:paraId="0BD2B66D">
      <w:pPr>
        <w:pStyle w:val="4"/>
      </w:pPr>
      <w:r>
        <w:rPr>
          <w:rFonts w:ascii="微软雅黑" w:hAnsi="微软雅黑" w:eastAsia="微软雅黑"/>
          <w:b/>
          <w:color w:val="1F3B5C"/>
          <w:sz w:val="25"/>
        </w:rPr>
        <w:t>3.2　免疫稳态 × PID 控制</w:t>
      </w:r>
    </w:p>
    <w:p w14:paraId="798475D2">
      <w:pPr>
        <w:spacing w:before="0" w:after="160"/>
        <w:jc w:val="both"/>
      </w:pPr>
      <w:r>
        <w:rPr>
          <w:rFonts w:ascii="微软雅黑" w:hAnsi="微软雅黑" w:eastAsia="微软雅黑"/>
          <w:b w:val="0"/>
          <w:sz w:val="22"/>
        </w:rPr>
        <w:t>免疫学在讲稳态与负反馈时，工程学早已把同样的结构写成 PID 控制理论几十年——“你以为的新难题，工程上早就是老解法。”这正是 demo1（免疫 × 服务器同源）所验证的直觉。</w:t>
      </w:r>
    </w:p>
    <w:p w14:paraId="03088379">
      <w:pPr>
        <w:pStyle w:val="4"/>
      </w:pPr>
      <w:r>
        <w:rPr>
          <w:rFonts w:ascii="微软雅黑" w:hAnsi="微软雅黑" w:eastAsia="微软雅黑"/>
          <w:b/>
          <w:color w:val="1F3B5C"/>
          <w:sz w:val="25"/>
        </w:rPr>
        <w:t>3.3　量子 × 期权（demo2 与用户故事的母本）</w:t>
      </w:r>
    </w:p>
    <w:p w14:paraId="4C616607">
      <w:pPr>
        <w:spacing w:before="0" w:after="120"/>
        <w:jc w:val="both"/>
      </w:pPr>
      <w:r>
        <w:rPr>
          <w:rFonts w:ascii="微软雅黑" w:hAnsi="微软雅黑" w:eastAsia="微软雅黑"/>
          <w:b w:val="0"/>
          <w:sz w:val="22"/>
        </w:rPr>
        <w:t>金融里的期权定价模型，与研究中的量子叠加被视为同构，可把一整套成熟数学工具直接“借”过来用。</w:t>
      </w:r>
    </w:p>
    <w:p w14:paraId="3EB8881B">
      <w:pPr>
        <w:pStyle w:val="3"/>
      </w:pPr>
      <w:r>
        <w:rPr>
          <w:rFonts w:ascii="微软雅黑" w:hAnsi="微软雅黑" w:eastAsia="微软雅黑"/>
          <w:b/>
          <w:color w:val="1F3B5C"/>
          <w:sz w:val="30"/>
        </w:rPr>
        <w:t>四、维度来源：为什么是这 5 个（而不是随便 5 个）</w:t>
      </w:r>
    </w:p>
    <w:p w14:paraId="5B30536B">
      <w:pPr>
        <w:spacing w:before="0" w:after="120"/>
        <w:jc w:val="both"/>
      </w:pPr>
      <w:r>
        <w:rPr>
          <w:rFonts w:ascii="微软雅黑" w:hAnsi="微软雅黑" w:eastAsia="微软雅黑"/>
          <w:b w:val="0"/>
          <w:sz w:val="22"/>
        </w:rPr>
        <w:t>5 个维度是系统论、控制论、热力学、博弈论共用的跨学科元概念——“骨架卡”因此天然是跨语言的。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052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D9E2F3"/>
          </w:tcPr>
          <w:p w14:paraId="7E0C9EF7">
            <w:pPr>
              <w:spacing w:before="40" w:after="40" w:line="240" w:lineRule="auto"/>
            </w:pPr>
            <w:r>
              <w:rPr>
                <w:rFonts w:ascii="微软雅黑" w:hAnsi="微软雅黑" w:eastAsia="微软雅黑"/>
                <w:b/>
                <w:sz w:val="21"/>
              </w:rPr>
              <w:t>5 维画像维度</w:t>
            </w:r>
          </w:p>
        </w:tc>
        <w:tc>
          <w:tcPr>
            <w:tcW w:w="2880" w:type="dxa"/>
            <w:shd w:val="clear" w:color="auto" w:fill="D9E2F3"/>
          </w:tcPr>
          <w:p w14:paraId="31B219E5">
            <w:pPr>
              <w:spacing w:before="40" w:after="40" w:line="240" w:lineRule="auto"/>
            </w:pPr>
            <w:r>
              <w:rPr>
                <w:rFonts w:ascii="微软雅黑" w:hAnsi="微软雅黑" w:eastAsia="微软雅黑"/>
                <w:b/>
                <w:sz w:val="21"/>
              </w:rPr>
              <w:t>学术母体</w:t>
            </w:r>
          </w:p>
        </w:tc>
        <w:tc>
          <w:tcPr>
            <w:tcW w:w="2880" w:type="dxa"/>
            <w:shd w:val="clear" w:color="auto" w:fill="D9E2F3"/>
          </w:tcPr>
          <w:p w14:paraId="4EF6F38D">
            <w:pPr>
              <w:spacing w:before="40" w:after="40" w:line="240" w:lineRule="auto"/>
            </w:pPr>
            <w:r>
              <w:rPr>
                <w:rFonts w:ascii="微软雅黑" w:hAnsi="微软雅黑" w:eastAsia="微软雅黑"/>
                <w:b/>
                <w:sz w:val="21"/>
              </w:rPr>
              <w:t>看什么</w:t>
            </w:r>
          </w:p>
        </w:tc>
      </w:tr>
      <w:tr w14:paraId="34EA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3FAD8E">
            <w:pPr>
              <w:spacing w:before="40" w:after="40" w:line="240" w:lineRule="auto"/>
            </w:pPr>
            <w:r>
              <w:rPr>
                <w:rFonts w:ascii="微软雅黑" w:hAnsi="微软雅黑" w:eastAsia="微软雅黑"/>
                <w:sz w:val="21"/>
              </w:rPr>
              <w:t>系统封闭性</w:t>
            </w:r>
          </w:p>
        </w:tc>
        <w:tc>
          <w:tcPr>
            <w:tcW w:w="2880" w:type="dxa"/>
          </w:tcPr>
          <w:p w14:paraId="65EE2DB7">
            <w:pPr>
              <w:spacing w:before="40" w:after="40" w:line="240" w:lineRule="auto"/>
            </w:pPr>
            <w:r>
              <w:rPr>
                <w:rFonts w:ascii="微软雅黑" w:hAnsi="微软雅黑" w:eastAsia="微软雅黑"/>
                <w:sz w:val="21"/>
              </w:rPr>
              <w:t>系统论</w:t>
            </w:r>
          </w:p>
        </w:tc>
        <w:tc>
          <w:tcPr>
            <w:tcW w:w="2880" w:type="dxa"/>
          </w:tcPr>
          <w:p w14:paraId="5E173FCC">
            <w:pPr>
              <w:spacing w:before="40" w:after="40" w:line="240" w:lineRule="auto"/>
            </w:pPr>
            <w:r>
              <w:rPr>
                <w:rFonts w:ascii="微软雅黑" w:hAnsi="微软雅黑" w:eastAsia="微软雅黑"/>
                <w:sz w:val="21"/>
              </w:rPr>
              <w:t>自包含、闭环运行</w:t>
            </w:r>
          </w:p>
        </w:tc>
      </w:tr>
      <w:tr w14:paraId="301F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B38037">
            <w:pPr>
              <w:spacing w:before="40" w:after="40" w:line="240" w:lineRule="auto"/>
            </w:pPr>
            <w:r>
              <w:rPr>
                <w:rFonts w:ascii="微软雅黑" w:hAnsi="微软雅黑" w:eastAsia="微软雅黑"/>
                <w:sz w:val="21"/>
              </w:rPr>
              <w:t>因果链长度</w:t>
            </w:r>
          </w:p>
        </w:tc>
        <w:tc>
          <w:tcPr>
            <w:tcW w:w="2880" w:type="dxa"/>
          </w:tcPr>
          <w:p w14:paraId="269144B4">
            <w:pPr>
              <w:spacing w:before="40" w:after="40" w:line="240" w:lineRule="auto"/>
            </w:pPr>
            <w:r>
              <w:rPr>
                <w:rFonts w:ascii="微软雅黑" w:hAnsi="微软雅黑" w:eastAsia="微软雅黑"/>
                <w:sz w:val="21"/>
              </w:rPr>
              <w:t>系统论 / 控制论</w:t>
            </w:r>
          </w:p>
        </w:tc>
        <w:tc>
          <w:tcPr>
            <w:tcW w:w="2880" w:type="dxa"/>
          </w:tcPr>
          <w:p w14:paraId="7A6E4C76">
            <w:pPr>
              <w:spacing w:before="40" w:after="40" w:line="240" w:lineRule="auto"/>
            </w:pPr>
            <w:r>
              <w:rPr>
                <w:rFonts w:ascii="微软雅黑" w:hAnsi="微软雅黑" w:eastAsia="微软雅黑"/>
                <w:sz w:val="21"/>
              </w:rPr>
              <w:t>因果传导的深度与链条</w:t>
            </w:r>
          </w:p>
        </w:tc>
      </w:tr>
      <w:tr w14:paraId="783E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2ABC8F">
            <w:pPr>
              <w:spacing w:before="40" w:after="40" w:line="240" w:lineRule="auto"/>
            </w:pPr>
            <w:r>
              <w:rPr>
                <w:rFonts w:ascii="微软雅黑" w:hAnsi="微软雅黑" w:eastAsia="微软雅黑"/>
                <w:sz w:val="21"/>
              </w:rPr>
              <w:t>负反馈强度</w:t>
            </w:r>
          </w:p>
        </w:tc>
        <w:tc>
          <w:tcPr>
            <w:tcW w:w="2880" w:type="dxa"/>
          </w:tcPr>
          <w:p w14:paraId="2ED75762">
            <w:pPr>
              <w:spacing w:before="40" w:after="40" w:line="240" w:lineRule="auto"/>
            </w:pPr>
            <w:r>
              <w:rPr>
                <w:rFonts w:ascii="微软雅黑" w:hAnsi="微软雅黑" w:eastAsia="微软雅黑"/>
                <w:sz w:val="21"/>
              </w:rPr>
              <w:t>控制论</w:t>
            </w:r>
          </w:p>
        </w:tc>
        <w:tc>
          <w:tcPr>
            <w:tcW w:w="2880" w:type="dxa"/>
          </w:tcPr>
          <w:p w14:paraId="36213949">
            <w:pPr>
              <w:spacing w:before="40" w:after="40" w:line="240" w:lineRule="auto"/>
            </w:pPr>
            <w:r>
              <w:rPr>
                <w:rFonts w:ascii="微软雅黑" w:hAnsi="微软雅黑" w:eastAsia="微软雅黑"/>
                <w:sz w:val="21"/>
              </w:rPr>
              <w:t>自我抑制、纠错、防失控</w:t>
            </w:r>
          </w:p>
        </w:tc>
      </w:tr>
      <w:tr w14:paraId="07E3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C43D01">
            <w:pPr>
              <w:spacing w:before="40" w:after="40" w:line="240" w:lineRule="auto"/>
            </w:pPr>
            <w:r>
              <w:rPr>
                <w:rFonts w:ascii="微软雅黑" w:hAnsi="微软雅黑" w:eastAsia="微软雅黑"/>
                <w:sz w:val="21"/>
              </w:rPr>
              <w:t>随机性 / 熵值</w:t>
            </w:r>
          </w:p>
        </w:tc>
        <w:tc>
          <w:tcPr>
            <w:tcW w:w="2880" w:type="dxa"/>
          </w:tcPr>
          <w:p w14:paraId="5DC2C38D">
            <w:pPr>
              <w:spacing w:before="40" w:after="40" w:line="240" w:lineRule="auto"/>
            </w:pPr>
            <w:r>
              <w:rPr>
                <w:rFonts w:ascii="微软雅黑" w:hAnsi="微软雅黑" w:eastAsia="微软雅黑"/>
                <w:sz w:val="21"/>
              </w:rPr>
              <w:t>热力学</w:t>
            </w:r>
          </w:p>
        </w:tc>
        <w:tc>
          <w:tcPr>
            <w:tcW w:w="2880" w:type="dxa"/>
          </w:tcPr>
          <w:p w14:paraId="5D9F80FE">
            <w:pPr>
              <w:spacing w:before="40" w:after="40" w:line="240" w:lineRule="auto"/>
            </w:pPr>
            <w:r>
              <w:rPr>
                <w:rFonts w:ascii="微软雅黑" w:hAnsi="微软雅黑" w:eastAsia="微软雅黑"/>
                <w:sz w:val="21"/>
              </w:rPr>
              <w:t>无序程度与随机成分</w:t>
            </w:r>
          </w:p>
        </w:tc>
      </w:tr>
      <w:tr w14:paraId="2651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4AFD31">
            <w:pPr>
              <w:spacing w:before="40" w:after="40" w:line="240" w:lineRule="auto"/>
            </w:pPr>
            <w:r>
              <w:rPr>
                <w:rFonts w:ascii="微软雅黑" w:hAnsi="微软雅黑" w:eastAsia="微软雅黑"/>
                <w:sz w:val="21"/>
              </w:rPr>
              <w:t>资源零和性</w:t>
            </w:r>
          </w:p>
        </w:tc>
        <w:tc>
          <w:tcPr>
            <w:tcW w:w="2880" w:type="dxa"/>
          </w:tcPr>
          <w:p w14:paraId="7D92C471">
            <w:pPr>
              <w:spacing w:before="40" w:after="40" w:line="240" w:lineRule="auto"/>
            </w:pPr>
            <w:r>
              <w:rPr>
                <w:rFonts w:ascii="微软雅黑" w:hAnsi="微软雅黑" w:eastAsia="微软雅黑"/>
                <w:sz w:val="21"/>
              </w:rPr>
              <w:t>博弈论</w:t>
            </w:r>
          </w:p>
        </w:tc>
        <w:tc>
          <w:tcPr>
            <w:tcW w:w="2880" w:type="dxa"/>
          </w:tcPr>
          <w:p w14:paraId="702F1599">
            <w:pPr>
              <w:spacing w:before="40" w:after="40" w:line="240" w:lineRule="auto"/>
            </w:pPr>
            <w:r>
              <w:rPr>
                <w:rFonts w:ascii="微软雅黑" w:hAnsi="微软雅黑" w:eastAsia="微软雅黑"/>
                <w:sz w:val="21"/>
              </w:rPr>
              <w:t>竞争、守恒、此消彼长</w:t>
            </w:r>
          </w:p>
        </w:tc>
      </w:tr>
    </w:tbl>
    <w:p w14:paraId="7466E98F">
      <w:pPr>
        <w:spacing w:before="120" w:after="120"/>
        <w:jc w:val="both"/>
      </w:pPr>
      <w:r>
        <w:rPr>
          <w:rFonts w:ascii="微软雅黑" w:hAnsi="微软雅黑" w:eastAsia="微软雅黑"/>
          <w:b w:val="0"/>
          <w:sz w:val="22"/>
        </w:rPr>
        <w:t>因为母体本身跨学科，这 5 根轴才能同时丈量免疫、金融、软件与物理文本。</w:t>
      </w:r>
    </w:p>
    <w:p w14:paraId="259478E5">
      <w:pPr>
        <w:pStyle w:val="3"/>
      </w:pPr>
      <w:r>
        <w:rPr>
          <w:rFonts w:ascii="微软雅黑" w:hAnsi="微软雅黑" w:eastAsia="微软雅黑"/>
          <w:b/>
          <w:color w:val="1F3B5C"/>
          <w:sz w:val="30"/>
        </w:rPr>
        <w:t>五、技术灵感：为什么是“现在”</w:t>
      </w:r>
    </w:p>
    <w:p w14:paraId="5915140A">
      <w:pPr>
        <w:spacing w:before="0" w:after="60"/>
        <w:jc w:val="both"/>
      </w:pPr>
      <w:r>
        <w:rPr>
          <w:rFonts w:ascii="微软雅黑" w:hAnsi="微软雅黑" w:eastAsia="微软雅黑"/>
          <w:b w:val="0"/>
          <w:sz w:val="22"/>
        </w:rPr>
        <w:t>• LLM 能可靠地把文本“压”成可解释的结构化表征：一段话 3 秒出一张 5 维画像，维度人可读，能指着说“你俩在‘负反馈’上都打高分”——不像 embedding 是黑盒。（打分在 5 个逻辑维度上各打 0–100 + Top3 术语，多次采样取均值去抖：同文本两次采样余弦 ≈ 0.99。）</w:t>
      </w:r>
    </w:p>
    <w:p w14:paraId="63910BBD">
      <w:pPr>
        <w:spacing w:before="0" w:after="60"/>
        <w:jc w:val="both"/>
      </w:pPr>
      <w:r>
        <w:rPr>
          <w:rFonts w:ascii="微软雅黑" w:hAnsi="微软雅黑" w:eastAsia="微软雅黑"/>
          <w:b w:val="0"/>
          <w:sz w:val="22"/>
        </w:rPr>
        <w:t>• 判断与展示解耦：打分交给 LLM，拍板交给本地确定性数学（余弦相似度 = 同源度）。结论可复现、可解释、可演示——演示可全程离线。</w:t>
      </w:r>
    </w:p>
    <w:p w14:paraId="48A9C9FF">
      <w:pPr>
        <w:spacing w:before="80" w:after="120"/>
        <w:jc w:val="both"/>
      </w:pPr>
      <w:r>
        <w:rPr>
          <w:rFonts w:ascii="微软雅黑" w:hAnsi="微软雅黑" w:eastAsia="微软雅黑"/>
          <w:b/>
          <w:sz w:val="22"/>
        </w:rPr>
        <w:t>由此长出三阶段管线：feature_extractor（压画像）→ homonomy（算同源）→ mapper（建映射）。</w:t>
      </w:r>
    </w:p>
    <w:p w14:paraId="5FDD8DFD">
      <w:pPr>
        <w:pStyle w:val="3"/>
      </w:pPr>
      <w:r>
        <w:rPr>
          <w:rFonts w:ascii="微软雅黑" w:hAnsi="微软雅黑" w:eastAsia="微软雅黑"/>
          <w:b/>
          <w:color w:val="1F3B5C"/>
          <w:sz w:val="30"/>
        </w:rPr>
        <w:t>六、灵感 → 项目落点对照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CD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D9E2F3"/>
          </w:tcPr>
          <w:p w14:paraId="028C8E31">
            <w:pPr>
              <w:spacing w:before="40" w:after="40" w:line="240" w:lineRule="auto"/>
            </w:pPr>
            <w:r>
              <w:rPr>
                <w:rFonts w:ascii="微软雅黑" w:hAnsi="微软雅黑" w:eastAsia="微软雅黑"/>
                <w:b/>
                <w:sz w:val="21"/>
              </w:rPr>
              <w:t>灵感来源</w:t>
            </w:r>
          </w:p>
        </w:tc>
        <w:tc>
          <w:tcPr>
            <w:tcW w:w="4320" w:type="dxa"/>
            <w:shd w:val="clear" w:color="auto" w:fill="D9E2F3"/>
          </w:tcPr>
          <w:p w14:paraId="2A8F98AF">
            <w:pPr>
              <w:spacing w:before="40" w:after="40" w:line="240" w:lineRule="auto"/>
            </w:pPr>
            <w:r>
              <w:rPr>
                <w:rFonts w:ascii="微软雅黑" w:hAnsi="微软雅黑" w:eastAsia="微软雅黑"/>
                <w:b/>
                <w:sz w:val="21"/>
              </w:rPr>
              <w:t>在项目里的落点</w:t>
            </w:r>
          </w:p>
        </w:tc>
      </w:tr>
      <w:tr w14:paraId="0B2C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A2B2DD">
            <w:pPr>
              <w:spacing w:before="40" w:after="40" w:line="240" w:lineRule="auto"/>
            </w:pPr>
            <w:r>
              <w:rPr>
                <w:rFonts w:ascii="微软雅黑" w:hAnsi="微软雅黑" w:eastAsia="微软雅黑"/>
                <w:sz w:val="21"/>
              </w:rPr>
              <w:t>史实：跨领域迁移的里程碑</w:t>
            </w:r>
          </w:p>
        </w:tc>
        <w:tc>
          <w:tcPr>
            <w:tcW w:w="4320" w:type="dxa"/>
          </w:tcPr>
          <w:p w14:paraId="59AE4B20">
            <w:pPr>
              <w:spacing w:before="40" w:after="40" w:line="240" w:lineRule="auto"/>
            </w:pPr>
            <w:r>
              <w:rPr>
                <w:rFonts w:ascii="微软雅黑" w:hAnsi="微软雅黑" w:eastAsia="微软雅黑"/>
                <w:sz w:val="21"/>
              </w:rPr>
              <w:t>立项信念与一句 pitch：翻译思维，不翻译语言；判断“逻辑同构”而非“字面相似”</w:t>
            </w:r>
          </w:p>
        </w:tc>
      </w:tr>
      <w:tr w14:paraId="4B76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D7E84A">
            <w:pPr>
              <w:spacing w:before="40" w:after="40" w:line="240" w:lineRule="auto"/>
            </w:pPr>
            <w:r>
              <w:rPr>
                <w:rFonts w:ascii="微软雅黑" w:hAnsi="微软雅黑" w:eastAsia="微软雅黑"/>
                <w:sz w:val="21"/>
              </w:rPr>
              <w:t>类比只能靠灵感、不可复制</w:t>
            </w:r>
          </w:p>
        </w:tc>
        <w:tc>
          <w:tcPr>
            <w:tcW w:w="4320" w:type="dxa"/>
          </w:tcPr>
          <w:p w14:paraId="67D76020">
            <w:pPr>
              <w:spacing w:before="40" w:after="40" w:line="240" w:lineRule="auto"/>
            </w:pPr>
            <w:r>
              <w:rPr>
                <w:rFonts w:ascii="微软雅黑" w:hAnsi="微软雅黑" w:eastAsia="微软雅黑"/>
                <w:sz w:val="21"/>
              </w:rPr>
              <w:t>用“可解释骨架卡 + 确定性判定”，把类比做成可重复的方法</w:t>
            </w:r>
          </w:p>
        </w:tc>
      </w:tr>
      <w:tr w14:paraId="0C89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A73941">
            <w:pPr>
              <w:spacing w:before="40" w:after="40" w:line="240" w:lineRule="auto"/>
            </w:pPr>
            <w:r>
              <w:rPr>
                <w:rFonts w:ascii="微软雅黑" w:hAnsi="微软雅黑" w:eastAsia="微软雅黑"/>
                <w:sz w:val="21"/>
              </w:rPr>
              <w:t>免疫 × 服务器、量子 × 期权</w:t>
            </w:r>
          </w:p>
        </w:tc>
        <w:tc>
          <w:tcPr>
            <w:tcW w:w="4320" w:type="dxa"/>
          </w:tcPr>
          <w:p w14:paraId="6E495659">
            <w:pPr>
              <w:spacing w:before="40" w:after="40" w:line="240" w:lineRule="auto"/>
            </w:pPr>
            <w:r>
              <w:rPr>
                <w:rFonts w:ascii="微软雅黑" w:hAnsi="微软雅黑" w:eastAsia="微软雅黑"/>
                <w:sz w:val="21"/>
              </w:rPr>
              <w:t>demo1 / demo2 演示对与术语映射样例（T细胞 ⟷ 服务端 …）</w:t>
            </w:r>
          </w:p>
        </w:tc>
      </w:tr>
      <w:tr w14:paraId="1EB7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E1F0F6">
            <w:pPr>
              <w:spacing w:before="40" w:after="40" w:line="240" w:lineRule="auto"/>
            </w:pPr>
            <w:r>
              <w:rPr>
                <w:rFonts w:ascii="微软雅黑" w:hAnsi="微软雅黑" w:eastAsia="微软雅黑"/>
                <w:sz w:val="21"/>
              </w:rPr>
              <w:t>学术母体：系统 / 控制 / 热力 / 博弈</w:t>
            </w:r>
          </w:p>
        </w:tc>
        <w:tc>
          <w:tcPr>
            <w:tcW w:w="4320" w:type="dxa"/>
          </w:tcPr>
          <w:p w14:paraId="7086F453">
            <w:pPr>
              <w:spacing w:before="40" w:after="40" w:line="240" w:lineRule="auto"/>
            </w:pPr>
            <w:r>
              <w:rPr>
                <w:rFonts w:ascii="微软雅黑" w:hAnsi="微软雅黑" w:eastAsia="微软雅黑"/>
                <w:sz w:val="21"/>
              </w:rPr>
              <w:t>选定 5 个跨学科元概念作为“骨架卡”维度</w:t>
            </w:r>
          </w:p>
        </w:tc>
      </w:tr>
      <w:tr w14:paraId="5C80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7B3615">
            <w:pPr>
              <w:spacing w:before="40" w:after="40" w:line="240" w:lineRule="auto"/>
            </w:pPr>
            <w:r>
              <w:rPr>
                <w:rFonts w:ascii="微软雅黑" w:hAnsi="微软雅黑" w:eastAsia="微软雅黑"/>
                <w:sz w:val="21"/>
              </w:rPr>
              <w:t>免疫稳态 × PID 控制</w:t>
            </w:r>
          </w:p>
        </w:tc>
        <w:tc>
          <w:tcPr>
            <w:tcW w:w="4320" w:type="dxa"/>
          </w:tcPr>
          <w:p w14:paraId="64D5B72C">
            <w:pPr>
              <w:spacing w:before="40" w:after="40" w:line="240" w:lineRule="auto"/>
            </w:pPr>
            <w:r>
              <w:rPr>
                <w:rFonts w:ascii="微软雅黑" w:hAnsi="微软雅黑" w:eastAsia="微软雅黑"/>
                <w:sz w:val="21"/>
              </w:rPr>
              <w:t>抓“负反馈”这类跨域共性——判断文本同源，而非字面相似</w:t>
            </w:r>
          </w:p>
        </w:tc>
      </w:tr>
      <w:tr w14:paraId="15EA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F96162">
            <w:pPr>
              <w:spacing w:before="40" w:after="40" w:line="240" w:lineRule="auto"/>
            </w:pPr>
            <w:r>
              <w:rPr>
                <w:rFonts w:ascii="微软雅黑" w:hAnsi="微软雅黑" w:eastAsia="微软雅黑"/>
                <w:sz w:val="21"/>
              </w:rPr>
              <w:t>LLM 压表征 + 本地判定</w:t>
            </w:r>
          </w:p>
        </w:tc>
        <w:tc>
          <w:tcPr>
            <w:tcW w:w="4320" w:type="dxa"/>
          </w:tcPr>
          <w:p w14:paraId="5E5B5F58">
            <w:pPr>
              <w:spacing w:before="40" w:after="40" w:line="240" w:lineRule="auto"/>
            </w:pPr>
            <w:r>
              <w:rPr>
                <w:rFonts w:ascii="微软雅黑" w:hAnsi="微软雅黑" w:eastAsia="微软雅黑"/>
                <w:sz w:val="21"/>
              </w:rPr>
              <w:t>三阶段管线；多次采样去抖；离线可复现的现场演示</w:t>
            </w:r>
          </w:p>
        </w:tc>
      </w:tr>
      <w:tr w14:paraId="5D19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0CC207">
            <w:pPr>
              <w:spacing w:before="40" w:after="40" w:line="240" w:lineRule="auto"/>
            </w:pPr>
            <w:r>
              <w:rPr>
                <w:rFonts w:ascii="微软雅黑" w:hAnsi="微软雅黑" w:eastAsia="微软雅黑"/>
                <w:sz w:val="21"/>
              </w:rPr>
              <w:t>反例才有可信度</w:t>
            </w:r>
          </w:p>
        </w:tc>
        <w:tc>
          <w:tcPr>
            <w:tcW w:w="4320" w:type="dxa"/>
          </w:tcPr>
          <w:p w14:paraId="10C9931C">
            <w:pPr>
              <w:spacing w:before="40" w:after="40" w:line="240" w:lineRule="auto"/>
            </w:pPr>
            <w:r>
              <w:rPr>
                <w:rFonts w:ascii="微软雅黑" w:hAnsi="微软雅黑" w:eastAsia="微软雅黑"/>
                <w:sz w:val="21"/>
              </w:rPr>
              <w:t>内置异源对照（免疫 × 量子明显低于阈值），演示必须带反例</w:t>
            </w:r>
          </w:p>
        </w:tc>
      </w:tr>
      <w:tr w14:paraId="2D19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61F46C">
            <w:pPr>
              <w:spacing w:before="40" w:after="40" w:line="240" w:lineRule="auto"/>
            </w:pPr>
            <w:r>
              <w:rPr>
                <w:rFonts w:ascii="微软雅黑" w:hAnsi="微软雅黑" w:eastAsia="微软雅黑"/>
                <w:sz w:val="21"/>
              </w:rPr>
              <w:t>时机：赶在 embedding 检索同质化之前</w:t>
            </w:r>
          </w:p>
        </w:tc>
        <w:tc>
          <w:tcPr>
            <w:tcW w:w="4320" w:type="dxa"/>
          </w:tcPr>
          <w:p w14:paraId="634E4561">
            <w:pPr>
              <w:spacing w:before="40" w:after="40" w:line="240" w:lineRule="auto"/>
            </w:pPr>
            <w:r>
              <w:rPr>
                <w:rFonts w:ascii="微软雅黑" w:hAnsi="微软雅黑" w:eastAsia="微软雅黑"/>
                <w:sz w:val="21"/>
              </w:rPr>
              <w:t>切入更本质的维度——逻辑结构，而非语义近似</w:t>
            </w:r>
          </w:p>
        </w:tc>
      </w:tr>
    </w:tbl>
    <w:p w14:paraId="7CCEBF56">
      <w:pPr>
        <w:spacing w:before="80" w:after="120"/>
        <w:jc w:val="both"/>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9B12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1098</Words>
  <Characters>1208</Characters>
  <Lines>0</Lines>
  <Paragraphs>0</Paragraphs>
  <TotalTime>0</TotalTime>
  <ScaleCrop>false</ScaleCrop>
  <LinksUpToDate>false</LinksUpToDate>
  <CharactersWithSpaces>1274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杨紫彧</cp:lastModifiedBy>
  <dcterms:modified xsi:type="dcterms:W3CDTF">2026-09-06T07:54:38Z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eyJoZGlkIjoiZDUzMzAwZjI3ZjIxYzM2MzM0MTA3ZTVlZTkzOGMwNGQiLCJ1c2VySWQiOiIxNjU2MTAyNjQyIn0=</vt:lpwstr>
  </property>
  <property fmtid="{D5CDD505-2E9C-101B-9397-08002B2CF9AE}" pid="3" name="KSOProductBuildVer">
    <vt:lpwstr>2052-12.1.0.22529</vt:lpwstr>
  </property>
  <property fmtid="{D5CDD505-2E9C-101B-9397-08002B2CF9AE}" pid="4" name="ICV">
    <vt:lpwstr>9C44990D04D3465B85A97E0642628066_12</vt:lpwstr>
  </property>
</Properties>
</file>