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D352">
      <w:pP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附件3 揭榜挂帅赛评审标准如下：</w:t>
      </w:r>
    </w:p>
    <w:p w14:paraId="462656AD"/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721"/>
        <w:gridCol w:w="5807"/>
      </w:tblGrid>
      <w:tr w14:paraId="0EAB8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03CAD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面向浙江文旅传播的AIGC城市短视频自动生成系统</w:t>
            </w:r>
          </w:p>
        </w:tc>
      </w:tr>
      <w:tr w14:paraId="534DA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7F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E8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9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4D7F7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664E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06608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场景完整性与应用价值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89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贴合浙江文旅传播真实需求、场景设计清晰性、推广应用价值</w:t>
            </w:r>
          </w:p>
        </w:tc>
      </w:tr>
      <w:tr w14:paraId="4513A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B2BA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024D6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AIGC生成效果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9A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文案、图片、配音、音乐、视频等内容的生成质量、画面美感、风格一致性、传播感染力</w:t>
            </w:r>
          </w:p>
        </w:tc>
      </w:tr>
      <w:tr w14:paraId="64C30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66E1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7301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技术方案与创新性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29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多模态生成、素材融合、智能体协同、个性化生成、内容编排等技术方案的合理性与创新性</w:t>
            </w:r>
          </w:p>
        </w:tc>
      </w:tr>
      <w:tr w14:paraId="6AF5C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2B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122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系统体验与作品完整度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A5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系统交互流程、生成效率、编辑预览能力、导出能力、演示效果及项目报告完整性</w:t>
            </w:r>
          </w:p>
        </w:tc>
      </w:tr>
    </w:tbl>
    <w:p w14:paraId="171EB66D">
      <w:pPr>
        <w:jc w:val="center"/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721"/>
        <w:gridCol w:w="5807"/>
      </w:tblGrid>
      <w:tr w14:paraId="06414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0D8E7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多模态K12人工智能通识课教学助手对话智能体</w:t>
            </w:r>
          </w:p>
        </w:tc>
      </w:tr>
      <w:tr w14:paraId="5F5C6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40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02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1C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44262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5A6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FF4B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智能体设计合理性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DB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智能体架构设计清晰性、分工合理性、大模型调用策略高效性、年级自适应机制完善性</w:t>
            </w:r>
          </w:p>
        </w:tc>
      </w:tr>
      <w:tr w14:paraId="047D9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4132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07E2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多模态交互质量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65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多模态交互方式的丰富度、内容生成的准确性、教学效果及视觉呈现质量</w:t>
            </w:r>
          </w:p>
        </w:tc>
      </w:tr>
      <w:tr w14:paraId="76878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FBEE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5D4C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教育适配性与实用性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26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不同学段学生的适配程度、知识内容的科学性与准确性、学习路径的个性化程度</w:t>
            </w:r>
          </w:p>
        </w:tc>
      </w:tr>
      <w:tr w14:paraId="3307F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72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6B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用户体验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E7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系统界面设计、交互流畅度、响应速度、游戏化练习的趣味性和激励效果</w:t>
            </w:r>
          </w:p>
        </w:tc>
      </w:tr>
      <w:tr w14:paraId="48A55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10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DC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创新性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50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技术路线、交互设计或教育模式上的创新突破</w:t>
            </w:r>
          </w:p>
        </w:tc>
      </w:tr>
    </w:tbl>
    <w:p w14:paraId="483A551A">
      <w:pPr>
        <w:jc w:val="center"/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720"/>
        <w:gridCol w:w="5810"/>
      </w:tblGrid>
      <w:tr w14:paraId="60F0C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36879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四足机器人复杂场景中的综合应用</w:t>
            </w:r>
          </w:p>
        </w:tc>
      </w:tr>
      <w:tr w14:paraId="50142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BB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FE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E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00F36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0C78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B055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客观任务分</w:t>
            </w:r>
          </w:p>
        </w:tc>
        <w:tc>
          <w:tcPr>
            <w:tcW w:w="3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96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障碍通行、信号决策、协同交接、搜救停留、定点物资投放</w:t>
            </w:r>
          </w:p>
        </w:tc>
      </w:tr>
      <w:tr w14:paraId="3F7CB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C064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2FCB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主观评价分</w:t>
            </w:r>
          </w:p>
        </w:tc>
        <w:tc>
          <w:tcPr>
            <w:tcW w:w="3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0F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任务理解与分解、系统架构与技术路线、异常工况应对、图文呈现效果、技术理解深度、问题定位与改进、临场表达、团队协同、工程规范等</w:t>
            </w:r>
          </w:p>
        </w:tc>
      </w:tr>
      <w:tr w14:paraId="04DB1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0E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BD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总分相同排序</w:t>
            </w:r>
          </w:p>
          <w:p w14:paraId="186BF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规则</w:t>
            </w:r>
          </w:p>
        </w:tc>
        <w:tc>
          <w:tcPr>
            <w:tcW w:w="3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66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客观任务分高者优先；</w:t>
            </w:r>
            <w:r>
              <w:rPr>
                <w:rFonts w:hint="eastAsia" w:ascii="微软雅黑" w:hAnsi="微软雅黑" w:eastAsia="微软雅黑"/>
                <w:b w:val="0"/>
                <w:sz w:val="20"/>
              </w:rPr>
              <w:t>任务五（定点物资投放）的单项得分高者胜出</w:t>
            </w:r>
            <w:r>
              <w:rPr>
                <w:rFonts w:ascii="微软雅黑" w:hAnsi="微软雅黑" w:eastAsia="微软雅黑"/>
                <w:b w:val="0"/>
                <w:sz w:val="20"/>
              </w:rPr>
              <w:t>；用时短者优先；扣分少者优先</w:t>
            </w:r>
          </w:p>
        </w:tc>
      </w:tr>
    </w:tbl>
    <w:p w14:paraId="6B546D40">
      <w:pPr>
        <w:jc w:val="center"/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721"/>
        <w:gridCol w:w="5807"/>
      </w:tblGrid>
      <w:tr w14:paraId="6C686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14E6A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基于国产信创开源鸿蒙AI+边缘智能应用系统设计</w:t>
            </w:r>
          </w:p>
        </w:tc>
      </w:tr>
      <w:tr w14:paraId="2A2D7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4C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46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E6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43E42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0D54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1838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组网性能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4A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在组建至少3个节点的网络并实现传感器数据上报的基础上，需满足端到端平均时延≤20ms，且无干扰时丢包率≤5%、模拟干扰时≤10%。</w:t>
            </w:r>
          </w:p>
        </w:tc>
      </w:tr>
      <w:tr w14:paraId="0F951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BDCC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1CD0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系统闭环与稳定性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54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在全链路响应≤500ms的前提下，系统稳定运行无宕机、无死机。</w:t>
            </w:r>
          </w:p>
        </w:tc>
      </w:tr>
      <w:tr w14:paraId="3E8D9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708E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8C0C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鸿蒙基础交互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A8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在实时准确展示所有节点数据及状态的基础上，需支持手动与自动模式无缝切换，且切换过程不卡顿、状态不丢失。</w:t>
            </w:r>
          </w:p>
        </w:tc>
      </w:tr>
      <w:tr w14:paraId="3F353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73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63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算力底座与边缘智能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82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成功运行轻量级AI模型，实现单次推理≤200ms并展示昇腾CANN优化证明，同时具备多模态融合或自主决策能力，而不仅是单一阈值判断。</w:t>
            </w:r>
          </w:p>
        </w:tc>
      </w:tr>
      <w:tr w14:paraId="5A4E7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8E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8F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软硬协同与扩展集成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38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在驱动基础外设基础上，成功集成并稳定控制复杂执行机构，且能利用设备特性实现关键控制，而不仅是常规数据上报。</w:t>
            </w:r>
          </w:p>
        </w:tc>
      </w:tr>
      <w:tr w14:paraId="62976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73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18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行业落地与生态融合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BF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方案紧扣行业特殊需求，形成“感知-决策-执行-反馈”完整闭环，具备执行失败重试/告警及自动模式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动态维持阈值能力，并利用DAYU200或手机端提供直观监控。</w:t>
            </w:r>
          </w:p>
        </w:tc>
      </w:tr>
    </w:tbl>
    <w:p w14:paraId="4B079989">
      <w:pPr>
        <w:jc w:val="center"/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721"/>
        <w:gridCol w:w="5807"/>
      </w:tblGrid>
      <w:tr w14:paraId="6FED1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7CCF0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院校智能辅助场景基于AI Coding或OpenClaw引擎规范</w:t>
            </w:r>
          </w:p>
        </w:tc>
      </w:tr>
      <w:tr w14:paraId="0C8D3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1C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99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22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2961B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E242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EC59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业务场景价值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C7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贴合院校真实业务痛点，覆盖教学、实训、作业批阅、学情分析等院校刚需；解决老师 / 学生实际工作学习问题，具备校园落地复用价值，不是 Demo 玩具。</w:t>
            </w:r>
          </w:p>
        </w:tc>
      </w:tr>
      <w:tr w14:paraId="78C79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547A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7C78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引擎技术实现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0C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合理使用 OpenClaw Skill 编排或 AI Coding 能力；知识库、工具调用、任务链路编排完整；代码 / Agent 技能规范，架构清晰，可维护，无明显安全漏洞。</w:t>
            </w:r>
          </w:p>
        </w:tc>
      </w:tr>
      <w:tr w14:paraId="31D49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503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57B1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功能闭环与效果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82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指令到结果完整闭环；输入自然语言指令，可自动完成对应院校任务；输出结果准确率高，幻觉少；边界场景、异常输入具备容错处理。</w:t>
            </w:r>
          </w:p>
        </w:tc>
      </w:tr>
      <w:tr w14:paraId="12FC9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11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C4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方案文档与创新性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67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需求分析、架构设计、测试用例完整齐全；具备创新点，例如 AI 助教、自动实训批改、学情智能分析；提供演示、测试案例，可复现验证效果。</w:t>
            </w:r>
          </w:p>
        </w:tc>
      </w:tr>
    </w:tbl>
    <w:p w14:paraId="16360DD4">
      <w:pPr>
        <w:jc w:val="center"/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721"/>
        <w:gridCol w:w="5807"/>
      </w:tblGrid>
      <w:tr w14:paraId="62EA9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73DCC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文旅智能辅助场景基于AI Coding或OpenClaw引擎规范</w:t>
            </w:r>
          </w:p>
        </w:tc>
      </w:tr>
      <w:tr w14:paraId="60F00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E4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94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9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47147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C8E3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003B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业务场景价值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FE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贴合文旅行业真实痛点，游客咨询、导览、文旅内容生成、景区运营数据分析；面向游客 / 文旅运营方，具备商业化落地潜力。</w:t>
            </w:r>
          </w:p>
        </w:tc>
      </w:tr>
      <w:tr w14:paraId="34BDE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75A7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4576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引擎技术实现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65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深度使用 OpenClaw Agent 编排或者 AI Coding 能力；对接文旅知识库、外部工具；Skill / 代码工程规范，链路逻辑合理，错误捕获完备。</w:t>
            </w:r>
          </w:p>
        </w:tc>
      </w:tr>
      <w:tr w14:paraId="3188C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A88B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CD79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功能闭环与效果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31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自然语言驱动完成文旅全流程任务；输出文旅内容准确，景点信息、路线规划无错误；多轮对话稳定，复杂任务能够分步完成，失败可降级。</w:t>
            </w:r>
          </w:p>
        </w:tc>
      </w:tr>
      <w:tr w14:paraId="76D4A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8D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CD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方案文档与创新性。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4E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完整的方案设计、业务调研、测试案例；创新点体现在智能文旅导览、文旅内容创作、运营自动化；可复现演示，产出物完整</w:t>
            </w:r>
          </w:p>
        </w:tc>
      </w:tr>
    </w:tbl>
    <w:p w14:paraId="76244844">
      <w:pPr>
        <w:jc w:val="center"/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2"/>
        <w:gridCol w:w="1718"/>
        <w:gridCol w:w="2"/>
        <w:gridCol w:w="5809"/>
      </w:tblGrid>
      <w:tr w14:paraId="05F5C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757D2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基于面向智慧零售的可控自主服务机器人研发与应用</w:t>
            </w:r>
          </w:p>
        </w:tc>
      </w:tr>
      <w:tr w14:paraId="5908F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34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0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C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DD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4D931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883C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0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40AC55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功能实现</w:t>
            </w:r>
          </w:p>
        </w:tc>
        <w:tc>
          <w:tcPr>
            <w:tcW w:w="3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197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评价机器人功能的完整性与实用性</w:t>
            </w:r>
          </w:p>
        </w:tc>
      </w:tr>
      <w:tr w14:paraId="646AE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D211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0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67EA9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智能交互</w:t>
            </w:r>
          </w:p>
        </w:tc>
        <w:tc>
          <w:tcPr>
            <w:tcW w:w="3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A56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评价机器人自主决策与人机交互能力</w:t>
            </w:r>
          </w:p>
        </w:tc>
      </w:tr>
      <w:tr w14:paraId="5A536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F230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0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3FB37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系统性能</w:t>
            </w:r>
          </w:p>
        </w:tc>
        <w:tc>
          <w:tcPr>
            <w:tcW w:w="3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EFE3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评价系统运行的稳定性与响应效率</w:t>
            </w:r>
          </w:p>
        </w:tc>
      </w:tr>
      <w:tr w14:paraId="66696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3A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2DBB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技术创新</w:t>
            </w:r>
          </w:p>
        </w:tc>
        <w:tc>
          <w:tcPr>
            <w:tcW w:w="3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F51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评价技术方案的创新性与应用价值</w:t>
            </w:r>
          </w:p>
        </w:tc>
      </w:tr>
      <w:tr w14:paraId="20CCC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10778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工业图像异常检测与定位算法挑战赛</w:t>
            </w:r>
          </w:p>
        </w:tc>
      </w:tr>
      <w:tr w14:paraId="00759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1B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0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4D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E5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240A3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00FD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0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B66CD9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算法性能</w:t>
            </w:r>
          </w:p>
        </w:tc>
        <w:tc>
          <w:tcPr>
            <w:tcW w:w="340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3F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Omni-AD 的测试集子集（含标注，部分为未公开的数据）测试的结果，重点从两个层面评估了检测效果：一是像素级的缺陷定位精度，二是图像级的缺陷有无判定精度。</w:t>
            </w:r>
          </w:p>
        </w:tc>
      </w:tr>
      <w:tr w14:paraId="0B2A2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7F2C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0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D9AC6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部署成本</w:t>
            </w:r>
          </w:p>
        </w:tc>
        <w:tc>
          <w:tcPr>
            <w:tcW w:w="340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40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在效率评估方面，我们关注训练耗时、推理耗时及推理时的显存峰值。其中，训练与推理耗时属于“越小越优”型指标，用以衡量算法的时间成本；显存峰值则反映了模型在推理阶段的资源占用上限。</w:t>
            </w:r>
          </w:p>
        </w:tc>
      </w:tr>
      <w:tr w14:paraId="04E8D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07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100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CCC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技术先进性</w:t>
            </w:r>
          </w:p>
        </w:tc>
        <w:tc>
          <w:tcPr>
            <w:tcW w:w="340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3A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模型的原创性与学术贡献，设置了特别加分点，具备以下特征者予以加分：</w:t>
            </w:r>
          </w:p>
          <w:p w14:paraId="2A492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架构创新性：方法主体基于 Transformer 架构；</w:t>
            </w:r>
          </w:p>
          <w:p w14:paraId="45AF6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泛化能力：能够通过单模型覆盖并处理多个产品类别。</w:t>
            </w:r>
          </w:p>
        </w:tc>
      </w:tr>
    </w:tbl>
    <w:p w14:paraId="5332B452">
      <w:pPr>
        <w:jc w:val="center"/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721"/>
        <w:gridCol w:w="5807"/>
      </w:tblGrid>
      <w:tr w14:paraId="61F47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2DB47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基于图像识别的大田农作物病虫害智能检测与预警系统</w:t>
            </w:r>
          </w:p>
        </w:tc>
      </w:tr>
      <w:tr w14:paraId="43C0A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54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C6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67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43A7C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B898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5767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功能完备性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D9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大田农作物病虫害识别功能、交互功能、田间环境获取与处理、分析研判与决策预警机制。</w:t>
            </w:r>
          </w:p>
        </w:tc>
      </w:tr>
      <w:tr w14:paraId="2B308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92A3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7201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技术实用性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60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鲁棒性与异常处理、部署可行性与运行效率、农作物应用范围</w:t>
            </w:r>
          </w:p>
        </w:tc>
      </w:tr>
      <w:tr w14:paraId="6277E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537F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7942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技术创新性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27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引入数字孪生场景应用、通过AI实现环境预测能力等相关创新技术应用。</w:t>
            </w:r>
          </w:p>
        </w:tc>
      </w:tr>
      <w:tr w14:paraId="76D4D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D1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19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设计文档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48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设计说明书等相关交付文档质量。</w:t>
            </w:r>
          </w:p>
        </w:tc>
      </w:tr>
      <w:tr w14:paraId="2A2C4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97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48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实用与落地性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C6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方便部署、接口开放能力，后期是否可以实现其他农作物病害训练与预警。</w:t>
            </w:r>
          </w:p>
        </w:tc>
      </w:tr>
    </w:tbl>
    <w:p w14:paraId="7BAA4FC5">
      <w:pPr>
        <w:jc w:val="center"/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721"/>
        <w:gridCol w:w="5807"/>
      </w:tblGrid>
      <w:tr w14:paraId="46464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1555E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纺织多模态有监督质量检测算法挑战赛</w:t>
            </w:r>
          </w:p>
        </w:tc>
      </w:tr>
      <w:tr w14:paraId="0224C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98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AF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E7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3F8FB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4BD8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17A9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检测精度与泛化能力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28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缺陷检出率、过检率与误检率、小样本（1/3/5/10-shot）平均检出率、跨面料泛化能力</w:t>
            </w:r>
          </w:p>
        </w:tc>
      </w:tr>
      <w:tr w14:paraId="57E62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9AFA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183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算法效率与工程实现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EA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推理速度、代码规范性、系统鲁棒性、多模态融合策略合理性</w:t>
            </w:r>
          </w:p>
        </w:tc>
      </w:tr>
      <w:tr w14:paraId="36A80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AF49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AEF2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创新性与技术深度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D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多模态对齐与融合创新性、小样本/长尾问题处理方法、模型基座选择与持续学习策略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不要求全部解决，侧重一方面也可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）</w:t>
            </w:r>
          </w:p>
        </w:tc>
      </w:tr>
      <w:tr w14:paraId="430D1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62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A7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文档与成果呈现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3C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技术报告质量、答辩PPT质量、演示视频完整度</w:t>
            </w:r>
          </w:p>
        </w:tc>
      </w:tr>
    </w:tbl>
    <w:p w14:paraId="7D3370E8">
      <w:pPr>
        <w:jc w:val="center"/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721"/>
        <w:gridCol w:w="5807"/>
      </w:tblGrid>
      <w:tr w14:paraId="2DDE4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5000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D9E1F4"/>
            <w:vAlign w:val="center"/>
          </w:tcPr>
          <w:p w14:paraId="6C116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大口径供水管网安全风险智能评估与决策</w:t>
            </w:r>
          </w:p>
        </w:tc>
      </w:tr>
      <w:tr w14:paraId="6B90F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7F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0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D7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评审总则</w:t>
            </w:r>
          </w:p>
        </w:tc>
        <w:tc>
          <w:tcPr>
            <w:tcW w:w="3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87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评审内容</w:t>
            </w:r>
          </w:p>
        </w:tc>
      </w:tr>
      <w:tr w14:paraId="3AC4D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3072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7EA1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风险识别与预测精度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D4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高风险管段识别能力、风险等级划分合理性、爆管/漏损概率预测准确性、多源数据融合有效性</w:t>
            </w:r>
          </w:p>
        </w:tc>
      </w:tr>
      <w:tr w14:paraId="3FFA5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685A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C0F4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根因分析与决策支持能力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0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关键风险因子识别深度、可解释性报告质量、运维决策建议的可操作性、应急处置支撑能力</w:t>
            </w:r>
          </w:p>
        </w:tc>
      </w:tr>
      <w:tr w14:paraId="1893D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49C1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A7DD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技术方案质量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31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技术路线合理性、算法设计科学性、数据处理有效性、模型性能与可复现性</w:t>
            </w:r>
          </w:p>
        </w:tc>
      </w:tr>
      <w:tr w14:paraId="25158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58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47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创新性与落地性</w:t>
            </w:r>
          </w:p>
        </w:tc>
        <w:tc>
          <w:tcPr>
            <w:tcW w:w="5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21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  <w:t>技术方案创新性、应用模式新颖性、实际场景部署可行性、可视化交互展示效果</w:t>
            </w:r>
          </w:p>
        </w:tc>
      </w:tr>
    </w:tbl>
    <w:p w14:paraId="749496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2Y2NjMTA2OGY2YzgxNDNlNTNhZjEzMjRhOTZiNTEifQ=="/>
  </w:docVars>
  <w:rsids>
    <w:rsidRoot w:val="00000000"/>
    <w:rsid w:val="06257970"/>
    <w:rsid w:val="0A2F386B"/>
    <w:rsid w:val="0E163773"/>
    <w:rsid w:val="0FA252C9"/>
    <w:rsid w:val="10465E59"/>
    <w:rsid w:val="11164A85"/>
    <w:rsid w:val="1209283C"/>
    <w:rsid w:val="13637D2A"/>
    <w:rsid w:val="177C0809"/>
    <w:rsid w:val="19B906A4"/>
    <w:rsid w:val="1A5B5BFF"/>
    <w:rsid w:val="1B7E6BE8"/>
    <w:rsid w:val="1C2C0B46"/>
    <w:rsid w:val="1D0D1432"/>
    <w:rsid w:val="1D3E783E"/>
    <w:rsid w:val="1E4F7829"/>
    <w:rsid w:val="25D80104"/>
    <w:rsid w:val="27BF3329"/>
    <w:rsid w:val="27E30E13"/>
    <w:rsid w:val="28DA4193"/>
    <w:rsid w:val="2AC82E3D"/>
    <w:rsid w:val="2B2142FB"/>
    <w:rsid w:val="2B6202D0"/>
    <w:rsid w:val="2C713B2E"/>
    <w:rsid w:val="2EB1700A"/>
    <w:rsid w:val="2F9257C7"/>
    <w:rsid w:val="31753F70"/>
    <w:rsid w:val="32950EC6"/>
    <w:rsid w:val="32E825DF"/>
    <w:rsid w:val="35B73253"/>
    <w:rsid w:val="37313452"/>
    <w:rsid w:val="377B46F5"/>
    <w:rsid w:val="38264736"/>
    <w:rsid w:val="38A74091"/>
    <w:rsid w:val="3BE850ED"/>
    <w:rsid w:val="3C2679C3"/>
    <w:rsid w:val="3CBB5822"/>
    <w:rsid w:val="3DB57251"/>
    <w:rsid w:val="3FB06DF4"/>
    <w:rsid w:val="426378C8"/>
    <w:rsid w:val="42CD0626"/>
    <w:rsid w:val="434A5AD5"/>
    <w:rsid w:val="443609BF"/>
    <w:rsid w:val="445157F9"/>
    <w:rsid w:val="462E5B03"/>
    <w:rsid w:val="467F664E"/>
    <w:rsid w:val="46B207D1"/>
    <w:rsid w:val="471C3E9C"/>
    <w:rsid w:val="49BC3CDF"/>
    <w:rsid w:val="4A4F32CC"/>
    <w:rsid w:val="4E6C395B"/>
    <w:rsid w:val="4F9D18F3"/>
    <w:rsid w:val="51164525"/>
    <w:rsid w:val="536966BB"/>
    <w:rsid w:val="53702556"/>
    <w:rsid w:val="55943798"/>
    <w:rsid w:val="56D674D1"/>
    <w:rsid w:val="5AF31186"/>
    <w:rsid w:val="61490800"/>
    <w:rsid w:val="618065AE"/>
    <w:rsid w:val="6A3A789C"/>
    <w:rsid w:val="6D055865"/>
    <w:rsid w:val="6D4318D3"/>
    <w:rsid w:val="6DEA2E29"/>
    <w:rsid w:val="6E9B274D"/>
    <w:rsid w:val="6FE25CC3"/>
    <w:rsid w:val="70BB14F9"/>
    <w:rsid w:val="711F62B3"/>
    <w:rsid w:val="724E4FA2"/>
    <w:rsid w:val="75EE6984"/>
    <w:rsid w:val="76774ECB"/>
    <w:rsid w:val="76C9109B"/>
    <w:rsid w:val="77B94F26"/>
    <w:rsid w:val="78A21BA4"/>
    <w:rsid w:val="7BE9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2358</Words>
  <Characters>2473</Characters>
  <Lines>0</Lines>
  <Paragraphs>0</Paragraphs>
  <TotalTime>0</TotalTime>
  <ScaleCrop>false</ScaleCrop>
  <LinksUpToDate>false</LinksUpToDate>
  <CharactersWithSpaces>2504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2025-08-13T05:42:00Z</dcterms:created>
  <dc:creator>86135</dc:creator>
  <cp:lastModifiedBy>ZS</cp:lastModifiedBy>
  <dcterms:modified xsi:type="dcterms:W3CDTF">2026-08-27T07:53:53Z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422A644164B44F4AAD033CD42D6F0467_12</vt:lpwstr>
  </property>
  <property fmtid="{D5CDD505-2E9C-101B-9397-08002B2CF9AE}" pid="4" name="KSOTemplateDocerSaveRecord">
    <vt:lpwstr>eyJoZGlkIjoiYzQ0YmM5NTE4ZmI3ZTE0MDYxYzMxMDJkYmY0YzcxMzYiLCJ1c2VySWQiOiIxOTgyNDI4MzcifQ==</vt:lpwstr>
  </property>
</Properties>
</file>