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32" w:leftChars="0" w:hanging="432"/>
        <w:jc w:val="center"/>
        <w:rPr>
          <w:rFonts w:hint="eastAsia" w:eastAsiaTheme="minorEastAsia"/>
          <w:b/>
          <w:lang w:val="en-US" w:eastAsia="zh-CN" w:bidi="ar-SA"/>
        </w:rPr>
      </w:pPr>
      <w:r>
        <w:rPr>
          <w:rFonts w:hint="eastAsia" w:eastAsiaTheme="minorEastAsia"/>
          <w:b/>
          <w:lang w:val="en-US" w:eastAsia="zh-CN" w:bidi="ar-SA"/>
        </w:rPr>
        <w:t>蓝鸥e家</w:t>
      </w:r>
      <w:r>
        <w:rPr>
          <w:rFonts w:hint="default" w:eastAsiaTheme="minorEastAsia"/>
          <w:b/>
          <w:lang w:val="en-US" w:eastAsia="zh-CN" w:bidi="ar-SA"/>
        </w:rPr>
        <w:t>——</w:t>
      </w:r>
      <w:r>
        <w:rPr>
          <w:rFonts w:hint="eastAsia" w:eastAsiaTheme="minorEastAsia"/>
          <w:b/>
          <w:lang w:val="en-US" w:eastAsia="zh-CN" w:bidi="ar-SA"/>
        </w:rPr>
        <w:t>资源回收O2O平台</w:t>
      </w:r>
    </w:p>
    <w:p>
      <w:pPr>
        <w:pStyle w:val="14"/>
        <w:outlineLvl w:val="0"/>
        <w:rPr>
          <w:rFonts w:hint="eastAsia" w:ascii="宋体" w:hAnsi="宋体"/>
          <w:color w:val="auto"/>
        </w:rPr>
      </w:pPr>
      <w:bookmarkStart w:id="0" w:name="_Toc8419"/>
      <w:r>
        <w:rPr>
          <w:rFonts w:hint="eastAsia" w:ascii="宋体" w:hAnsi="宋体"/>
          <w:color w:val="auto"/>
        </w:rPr>
        <w:t>--</w:t>
      </w:r>
      <w:r>
        <w:rPr>
          <w:rFonts w:hint="eastAsia" w:ascii="宋体" w:hAnsi="宋体"/>
          <w:color w:val="auto"/>
          <w:lang w:val="en-US" w:eastAsia="zh-CN"/>
        </w:rPr>
        <w:t>可行性分析报告</w:t>
      </w:r>
      <w:r>
        <w:rPr>
          <w:rFonts w:hint="eastAsia" w:ascii="宋体" w:hAnsi="宋体"/>
          <w:color w:val="auto"/>
        </w:rPr>
        <w:t>--</w:t>
      </w:r>
      <w:bookmarkEnd w:id="0"/>
    </w:p>
    <w:p>
      <w:pPr>
        <w:pStyle w:val="14"/>
        <w:outlineLvl w:val="0"/>
        <w:rPr>
          <w:rFonts w:hint="eastAsia" w:ascii="宋体" w:hAnsi="宋体"/>
          <w:color w:val="auto"/>
        </w:rPr>
      </w:pPr>
    </w:p>
    <w:p>
      <w:pPr>
        <w:pStyle w:val="14"/>
        <w:outlineLvl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36800" cy="2093595"/>
            <wp:effectExtent l="0" t="0" r="10160" b="9525"/>
            <wp:docPr id="4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outlineLvl w:val="0"/>
        <w:rPr>
          <w:rFonts w:hint="eastAsia" w:eastAsiaTheme="minorEastAsia"/>
          <w:lang w:eastAsia="zh-CN"/>
        </w:rPr>
      </w:pPr>
    </w:p>
    <w:tbl>
      <w:tblPr>
        <w:tblStyle w:val="13"/>
        <w:tblW w:w="48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1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771" w:type="dxa"/>
            <w:vAlign w:val="top"/>
          </w:tcPr>
          <w:p>
            <w:pPr>
              <w:spacing w:before="360" w:line="0" w:lineRule="atLeast"/>
              <w:rPr>
                <w:rFonts w:ascii="宋体" w:hAnsi="宋体"/>
                <w:b/>
                <w:sz w:val="28"/>
              </w:rPr>
            </w:pPr>
            <w:r>
              <w:rPr>
                <w:rStyle w:val="15"/>
                <w:rFonts w:hint="eastAsia"/>
                <w:b/>
                <w:color w:val="auto"/>
                <w:sz w:val="28"/>
              </w:rPr>
              <w:t>作     者</w:t>
            </w:r>
            <w:r>
              <w:rPr>
                <w:rStyle w:val="15"/>
                <w:b/>
                <w:color w:val="auto"/>
                <w:sz w:val="28"/>
              </w:rPr>
              <w:t>：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hint="eastAsia" w:ascii="宋体" w:hAnsi="宋体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厉佩强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771" w:type="dxa"/>
            <w:vAlign w:val="top"/>
          </w:tcPr>
          <w:p>
            <w:pPr>
              <w:spacing w:before="360" w:line="0" w:lineRule="atLeast"/>
              <w:rPr>
                <w:rStyle w:val="15"/>
                <w:b/>
                <w:color w:val="auto"/>
                <w:sz w:val="28"/>
              </w:rPr>
            </w:pPr>
            <w:r>
              <w:rPr>
                <w:rStyle w:val="15"/>
                <w:b/>
                <w:color w:val="auto"/>
                <w:sz w:val="28"/>
              </w:rPr>
              <w:t>日     期：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201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  <w:sz w:val="28"/>
              </w:rPr>
              <w:t>-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1-19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771" w:type="dxa"/>
            <w:vAlign w:val="top"/>
          </w:tcPr>
          <w:p>
            <w:pPr>
              <w:spacing w:before="360" w:line="0" w:lineRule="atLeast"/>
              <w:rPr>
                <w:rStyle w:val="15"/>
                <w:b/>
                <w:color w:val="auto"/>
                <w:sz w:val="28"/>
              </w:rPr>
            </w:pPr>
            <w:r>
              <w:rPr>
                <w:rStyle w:val="15"/>
                <w:rFonts w:hint="eastAsia"/>
                <w:b/>
                <w:color w:val="auto"/>
                <w:sz w:val="28"/>
              </w:rPr>
              <w:t>审     核</w:t>
            </w:r>
            <w:r>
              <w:rPr>
                <w:rStyle w:val="15"/>
                <w:b/>
                <w:color w:val="auto"/>
                <w:sz w:val="28"/>
              </w:rPr>
              <w:t>：</w:t>
            </w:r>
          </w:p>
        </w:tc>
        <w:tc>
          <w:tcPr>
            <w:tcW w:w="311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hint="eastAsia" w:ascii="宋体" w:hAnsi="宋体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全小组成员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771" w:type="dxa"/>
            <w:vAlign w:val="top"/>
          </w:tcPr>
          <w:p>
            <w:pPr>
              <w:spacing w:before="360" w:line="0" w:lineRule="atLeast"/>
              <w:ind w:right="69" w:rightChars="33"/>
              <w:rPr>
                <w:rStyle w:val="15"/>
                <w:b/>
                <w:color w:val="auto"/>
                <w:sz w:val="28"/>
              </w:rPr>
            </w:pPr>
            <w:r>
              <w:rPr>
                <w:rStyle w:val="15"/>
                <w:b/>
                <w:color w:val="auto"/>
                <w:sz w:val="28"/>
              </w:rPr>
              <w:t>日     期：</w:t>
            </w:r>
          </w:p>
        </w:tc>
        <w:tc>
          <w:tcPr>
            <w:tcW w:w="311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201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  <w:sz w:val="28"/>
              </w:rPr>
              <w:t>-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  <w:sz w:val="28"/>
              </w:rPr>
              <w:t>-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21</w:t>
            </w:r>
          </w:p>
        </w:tc>
      </w:tr>
    </w:tbl>
    <w:p>
      <w:pPr>
        <w:pStyle w:val="14"/>
        <w:outlineLvl w:val="0"/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rPr>
          <w:sz w:val="24"/>
          <w:szCs w:val="24"/>
        </w:rPr>
      </w:pPr>
      <w:r>
        <w:rPr>
          <w:rFonts w:hint="eastAsia"/>
          <w:sz w:val="24"/>
          <w:szCs w:val="24"/>
        </w:rPr>
        <w:t>组长：</w:t>
      </w:r>
      <w:r>
        <w:rPr>
          <w:rFonts w:hint="eastAsia"/>
          <w:sz w:val="24"/>
          <w:szCs w:val="24"/>
          <w:lang w:val="en-US" w:eastAsia="zh-CN"/>
        </w:rPr>
        <w:t>厉佩强</w:t>
      </w:r>
    </w:p>
    <w:p>
      <w:pPr>
        <w:pStyle w:val="1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组员：</w:t>
      </w:r>
      <w:r>
        <w:rPr>
          <w:rFonts w:hint="eastAsia"/>
          <w:sz w:val="24"/>
          <w:szCs w:val="24"/>
          <w:lang w:val="en-US" w:eastAsia="zh-CN"/>
        </w:rPr>
        <w:t>蒋家俊、金浩楠、黄鹏羽、朱赛奎</w:t>
      </w:r>
    </w:p>
    <w:p>
      <w:pPr>
        <w:pStyle w:val="16"/>
        <w:spacing w:line="240" w:lineRule="auto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  <w:lang w:val="en-US" w:eastAsia="zh-CN"/>
        </w:rPr>
        <w:t>19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3"/>
        <w:tblW w:w="84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55"/>
        <w:gridCol w:w="1266"/>
        <w:gridCol w:w="1100"/>
        <w:gridCol w:w="3020"/>
        <w:gridCol w:w="1296"/>
        <w:gridCol w:w="10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755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266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1100" w:type="dxa"/>
            <w:tcBorders>
              <w:top w:val="single" w:color="auto" w:sz="12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020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296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09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0.0.1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2018-1-19</w:t>
            </w: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厉佩强</w:t>
            </w: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完成初稿</w:t>
            </w: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全小组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26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FF0000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修订</w:t>
      </w:r>
      <w:r>
        <w:rPr>
          <w:rFonts w:hint="eastAsia" w:ascii="宋体" w:hAnsi="宋体" w:eastAsia="宋体" w:cs="宋体"/>
          <w:sz w:val="24"/>
          <w:szCs w:val="24"/>
        </w:rPr>
        <w:t>状态：S--首次编写，A--增加，M--修改，D--删除；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日期格式：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YYYY.</w:t>
      </w:r>
      <w:r>
        <w:rPr>
          <w:rFonts w:hint="eastAsia" w:ascii="宋体" w:hAnsi="宋体" w:eastAsia="宋体" w:cs="宋体"/>
          <w:sz w:val="24"/>
          <w:szCs w:val="24"/>
        </w:rPr>
        <w:t>MM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DD。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参考文献</w:t>
      </w:r>
    </w:p>
    <w:tbl>
      <w:tblPr>
        <w:tblStyle w:val="13"/>
        <w:tblW w:w="84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55"/>
        <w:gridCol w:w="5386"/>
        <w:gridCol w:w="1016"/>
        <w:gridCol w:w="12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755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lang w:val="en-US" w:eastAsia="zh-CN"/>
              </w:rPr>
              <w:t>序号</w:t>
            </w:r>
          </w:p>
        </w:tc>
        <w:tc>
          <w:tcPr>
            <w:tcW w:w="5386" w:type="dxa"/>
            <w:tcBorders>
              <w:top w:val="single" w:color="auto" w:sz="12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/>
                <w:b/>
                <w:bCs/>
                <w:szCs w:val="21"/>
                <w:lang w:val="en-US" w:eastAsia="zh-CN"/>
              </w:rPr>
              <w:t>参考文档</w:t>
            </w:r>
          </w:p>
        </w:tc>
        <w:tc>
          <w:tcPr>
            <w:tcW w:w="1016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/>
                <w:b/>
                <w:bCs/>
                <w:szCs w:val="21"/>
                <w:lang w:val="en-US" w:eastAsia="zh-CN"/>
              </w:rPr>
              <w:t>版本</w:t>
            </w:r>
          </w:p>
        </w:tc>
        <w:tc>
          <w:tcPr>
            <w:tcW w:w="1289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8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第九届中国大学生服务外包创新创业大赛A05-资源回收O2O平台</w:t>
            </w: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1.0</w:t>
            </w:r>
          </w:p>
        </w:tc>
        <w:tc>
          <w:tcPr>
            <w:tcW w:w="128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2017.</w:t>
            </w:r>
            <w:r>
              <w:rPr>
                <w:rFonts w:ascii="宋体"/>
                <w:sz w:val="18"/>
                <w:szCs w:val="18"/>
              </w:rPr>
              <w:t>1</w:t>
            </w:r>
            <w:r>
              <w:rPr>
                <w:rFonts w:hint="eastAsia" w:ascii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/>
                <w:sz w:val="18"/>
                <w:szCs w:val="18"/>
              </w:rPr>
              <w:t>.</w:t>
            </w:r>
            <w:r>
              <w:rPr>
                <w:rFonts w:hint="eastAsia" w:ascii="宋体"/>
                <w:sz w:val="18"/>
                <w:szCs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538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128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538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128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ind w:left="432" w:leftChars="0" w:hanging="432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蓝鸥e家（资源回收O2O平台）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整体背景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资源回收的巨大市场空间及交易规模：随着我国人民生活水平的提高，废旧物品产生量也在剧增。根据一份再生资源回收利用市场分析报告中写到，目前的中国再生资源回收企业有5000多家，回收加工处理工厂3000多家，年经营额在6000亿至7000亿元间。将进城收废品的农民工计算在内，从业人员接近1000万。2014年我国十大类别的再生资源回收总量约为2.56亿吨，回收总值为5902.8亿元。在所有再生资源类别中，C 端消费品可回收资源占总回收总值的27% 左右，主要包括一些废纸、废塑料、废弃电子电器产品、废木材（家具）和废纺织品等。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业务背景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互联网+废品回收的想象空间：从资源回收产业链改造的角度去说，互联网取缔了“回收站点”，将零散的回收从业者个人统一起来，使旧物直接从用户家中到达回收基地（大型回收分拣处理企业），缩短了产业链流程以节约成本，包括单人、单点覆盖面的时间成本，运输成本、层层转手产生的二次成本。如果从规模上来说，在完全规模化以后，还能实现城市回收基地的取代，直接与再生产企业建立业务往来，这中间成本几乎为零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另一方面，如果旧物回收工具能够成功进入家庭或社区，成为一道入口，在这个方向上将更加具有想象力。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4"/>
          <w:szCs w:val="24"/>
        </w:rPr>
        <w:t>通过对本项目所必需的经济、技术、设备等因素进行详细分析，推论出本项目是否可行。</w:t>
      </w:r>
    </w:p>
    <w:p>
      <w:pPr>
        <w:pStyle w:val="2"/>
        <w:ind w:left="432" w:leftChars="0" w:hanging="432" w:firstLineChars="0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可行性分析的前提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项目要求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技术要求</w:t>
      </w:r>
    </w:p>
    <w:p>
      <w:pPr>
        <w:pStyle w:val="1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前端技术：js、jQuery、H-UI等前端框架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后端技术：Java、Python等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eb容器：tomcat、Jboss等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基于微信公众号的开发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SOA架构体系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任务要求</w:t>
      </w:r>
    </w:p>
    <w:p>
      <w:pPr>
        <w:pStyle w:val="1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需求分析文档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系统设计文档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测试案例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源码与数据库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部署测试环境测试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7"/>
        <w:numPr>
          <w:numId w:val="0"/>
        </w:numPr>
        <w:jc w:val="both"/>
        <w:rPr>
          <w:rFonts w:hint="eastAsia" w:eastAsia="宋体" w:asciiTheme="minorHAnsi" w:hAnsiTheme="minorHAnsi" w:cstheme="minorBidi"/>
          <w:b/>
          <w:kern w:val="2"/>
          <w:sz w:val="24"/>
          <w:szCs w:val="24"/>
          <w:lang w:val="en-US" w:eastAsia="zh-CN"/>
        </w:rPr>
      </w:pPr>
      <w:r>
        <w:rPr>
          <w:rFonts w:hint="eastAsia" w:eastAsia="宋体" w:asciiTheme="minorHAnsi" w:hAnsiTheme="minorHAnsi" w:cstheme="minorBidi"/>
          <w:b/>
          <w:kern w:val="2"/>
          <w:sz w:val="24"/>
          <w:szCs w:val="24"/>
          <w:lang w:val="en-US" w:eastAsia="zh-CN"/>
        </w:rPr>
        <w:t>提交文档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项目概要介绍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项目简介ppt。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项目详细方案。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系统演示视频。</w:t>
      </w:r>
    </w:p>
    <w:p>
      <w:pPr>
        <w:pStyle w:val="1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需求分析文档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系统概要设计。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系统详细设计。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测试案例。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测试报告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项目目标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实现社区用户下单，提交废品回收订单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系统自动派单给相应的废品回收员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废品回收员上门收废品，完成订单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平台对社区用户的订单进行支付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废品种类可管理、订单可管理、社区用户可管理、废品回收可管理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基于微信公众号实现整体业务，便于线上推广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条件、资源的限制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对于微信公众号的理解与使用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对于SOA架构的理解与运用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前端框架的应用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前后端之间的数据传递</w:t>
      </w:r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可行性分析的方法</w:t>
      </w:r>
    </w:p>
    <w:p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经济可行性：</w:t>
      </w:r>
    </w:p>
    <w:p>
      <w:pPr>
        <w:ind w:left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该系统开发主要是大学生提高自身的外包项目，目前的书籍，软件，均无开销，因此可行。</w:t>
      </w:r>
    </w:p>
    <w:p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技术可行性：</w:t>
      </w:r>
    </w:p>
    <w:p>
      <w:pPr>
        <w:ind w:left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该项目由5人共同开发，界面原型用AxureRP制作，前端用HTML5语言，后端使用Java语言，数据库方面使用Mysql进行数据存储，这些都是我们5人大学期间学过的内容，几个重要的技术部分基本都有，在操作上基本没有什么困难，所以可行。</w:t>
      </w:r>
    </w:p>
    <w:p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设备</w:t>
      </w:r>
      <w:r>
        <w:rPr>
          <w:rFonts w:ascii="宋体" w:hAnsi="宋体"/>
          <w:sz w:val="24"/>
          <w:szCs w:val="24"/>
        </w:rPr>
        <w:t>可行性：</w:t>
      </w:r>
    </w:p>
    <w:p>
      <w:pPr>
        <w:ind w:left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所有的设备基本都能够完成各个技术所需要的软件，（webstorm，eclipse，wechat）所以可行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法律可行性：</w:t>
      </w:r>
    </w:p>
    <w:p>
      <w:pPr>
        <w:ind w:left="420"/>
      </w:pPr>
      <w:r>
        <w:rPr>
          <w:rFonts w:hint="eastAsia"/>
        </w:rPr>
        <w:t>该项目由我们小组独立开发，并没有抄袭其他现有的项目，不存在侵犯专利权、侵犯版权等问题。这是一个微信公众号，不存在侵犯国家、集体和他人的利益。</w:t>
      </w:r>
    </w:p>
    <w:p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用户使用可行性</w:t>
      </w:r>
      <w:r>
        <w:rPr>
          <w:rFonts w:ascii="宋体" w:hAnsi="宋体"/>
          <w:sz w:val="24"/>
          <w:szCs w:val="24"/>
        </w:rPr>
        <w:t>：</w:t>
      </w:r>
    </w:p>
    <w:p>
      <w:pPr>
        <w:ind w:left="420"/>
        <w:rPr>
          <w:rFonts w:ascii="宋体" w:hAnsi="宋体"/>
          <w:sz w:val="24"/>
          <w:szCs w:val="24"/>
        </w:rPr>
      </w:pPr>
      <w:r>
        <w:rPr>
          <w:rFonts w:hint="eastAsia"/>
        </w:rPr>
        <w:t>该公众号操作简单，并配有用户使用手册和帮助中心，无需对用户进行培训，可以满足大部分用户的要求。</w:t>
      </w:r>
    </w:p>
    <w:p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推广的可行性：</w:t>
      </w:r>
    </w:p>
    <w:p>
      <w:pPr>
        <w:ind w:left="42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/>
          <w:sz w:val="24"/>
          <w:szCs w:val="24"/>
        </w:rPr>
        <w:t>目前的公众号上有类似的废品回收公众号，但这其中一些是回收公司的品牌介绍，一些与本项目的类似的公众号还有欠缺，而且基于现在的微信的普及，公众号的推广成本较低，所以可行。</w:t>
      </w:r>
    </w:p>
    <w:p>
      <w:pPr>
        <w:pStyle w:val="2"/>
        <w:ind w:left="432" w:leftChars="0" w:hanging="432" w:firstLineChars="0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对系统功能的主要说明</w:t>
      </w:r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功能图</w:t>
      </w:r>
    </w:p>
    <w:p>
      <w:pPr>
        <w:rPr>
          <w:rFonts w:hint="eastAsia"/>
          <w:lang w:val="en-US" w:eastAsia="zh-CN"/>
        </w:rPr>
      </w:pPr>
      <w:r>
        <w:object>
          <v:shape id="_x0000_i1025" o:spt="75" type="#_x0000_t75" style="height:224.25pt;width:414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管理员功能概要</w:t>
      </w:r>
    </w:p>
    <w:p>
      <w:pPr>
        <w:pStyle w:val="1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管理用户类别。</w:t>
      </w:r>
    </w:p>
    <w:p>
      <w:pPr>
        <w:pStyle w:val="1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已交易订单的管理。</w:t>
      </w:r>
    </w:p>
    <w:p>
      <w:pPr>
        <w:pStyle w:val="1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未交易订单的管理。</w:t>
      </w:r>
    </w:p>
    <w:p>
      <w:pPr>
        <w:pStyle w:val="1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重置用户密码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废品类别的管理。</w:t>
      </w:r>
    </w:p>
    <w:p>
      <w:pPr>
        <w:pStyle w:val="1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获取微信用户信息授权。</w:t>
      </w:r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用户功能概要</w:t>
      </w:r>
    </w:p>
    <w:p>
      <w:pPr>
        <w:pStyle w:val="17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交易订单查询功能。</w:t>
      </w:r>
    </w:p>
    <w:p>
      <w:pPr>
        <w:pStyle w:val="17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订单状态查询。</w:t>
      </w:r>
    </w:p>
    <w:p>
      <w:pPr>
        <w:pStyle w:val="17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取消订单。（涉及系列待定问题）。</w:t>
      </w:r>
    </w:p>
    <w:p>
      <w:pPr>
        <w:pStyle w:val="17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收益查询功能。</w:t>
      </w:r>
    </w:p>
    <w:p>
      <w:pPr>
        <w:pStyle w:val="17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用户反馈。</w:t>
      </w:r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废品回收商贩功能概要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查看当前订单情况，显示地理位置，顾客电话，可回收的物品名称，数量</w:t>
      </w:r>
      <w:r>
        <w:rPr>
          <w:rFonts w:hint="eastAsia"/>
          <w:lang w:eastAsia="zh-CN"/>
        </w:rPr>
        <w:t>。（</w:t>
      </w:r>
      <w:r>
        <w:rPr>
          <w:rFonts w:hint="eastAsia"/>
          <w:lang w:val="en-US" w:eastAsia="zh-CN"/>
        </w:rPr>
        <w:t>订单信息待定</w:t>
      </w:r>
      <w:r>
        <w:rPr>
          <w:rFonts w:hint="eastAsia"/>
          <w:lang w:eastAsia="zh-CN"/>
        </w:rPr>
        <w:t>）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交易订单查询功能。（按日期分类）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查看所有待接订单，（可根据地域分类）（自动按距离排序）。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完成订单付款。</w:t>
      </w:r>
      <w:bookmarkStart w:id="1" w:name="_GoBack"/>
      <w:bookmarkEnd w:id="1"/>
    </w:p>
    <w:p>
      <w:pPr>
        <w:pStyle w:val="2"/>
        <w:keepNext/>
        <w:keepLines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431" w:leftChars="0" w:right="0" w:rightChars="0" w:hanging="431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方案概要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目标问题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详见《第九届中国大学生服务外包创新创业大赛企业命题类赛题手册》赛题05，问题描述。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主体思路</w:t>
      </w:r>
    </w:p>
    <w:p>
      <w:pPr>
        <w:spacing w:line="360" w:lineRule="auto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</w:rPr>
        <w:t>首先对本项目进行可行性分析，确定用户需求，在明确需求之后制定合理的项目计划，确定项目的主要目标，在需求文档明确的情况下，开始项目开发，了解项目所需的开发语言以及开发平台，开发接口，选定开发语言之后，若有需要进一步学习，则安排合适人选在规定时间内完成学习，充分利用现有的资源，由于本项目基于微信公众号的开发，在此之前并没有接触过相关项目，所以还需增强对微信公众号开发的了解，开发完成后，再对其进行测试，最后移交给用户使用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做法</w:t>
      </w:r>
    </w:p>
    <w:p>
      <w:pPr>
        <w:pStyle w:val="18"/>
        <w:spacing w:before="156" w:beforeLines="50" w:after="156" w:afterLines="50"/>
        <w:ind w:right="57" w:rightChars="27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</w:rPr>
        <w:t>管理员管理平台与用户使用平台在WEB端采用HTML5语言进行开发，后端运用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集成开发环境，</w:t>
      </w:r>
      <w:r>
        <w:rPr>
          <w:rFonts w:hint="eastAsia" w:ascii="宋体" w:hAnsi="宋体" w:eastAsia="宋体" w:cs="宋体"/>
          <w:kern w:val="2"/>
          <w:sz w:val="24"/>
          <w:szCs w:val="24"/>
        </w:rPr>
        <w:t>实现前后端的数据交互，并用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java</w:t>
      </w:r>
      <w:r>
        <w:rPr>
          <w:rFonts w:hint="eastAsia" w:ascii="宋体" w:hAnsi="宋体" w:eastAsia="宋体" w:cs="宋体"/>
          <w:kern w:val="2"/>
          <w:sz w:val="24"/>
          <w:szCs w:val="24"/>
        </w:rPr>
        <w:t>实现数据处理系统，用于对数据库进行数据操作并返回相应的内容。用户端在web开发完成后接入到微信公众号接口中进行使用。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亮点</w:t>
      </w:r>
    </w:p>
    <w:p>
      <w:pPr>
        <w:numPr>
          <w:ilvl w:val="0"/>
          <w:numId w:val="11"/>
        </w:numPr>
        <w:ind w:left="425" w:leftChars="0" w:hanging="425"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响应废品资源回收的巨大市场空间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 w:val="24"/>
          <w:szCs w:val="24"/>
        </w:rPr>
        <w:t>使废品回收效率更高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pStyle w:val="2"/>
        <w:keepNext/>
        <w:keepLines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431" w:leftChars="0" w:right="0" w:rightChars="0" w:hanging="431" w:firstLineChars="0"/>
        <w:jc w:val="center"/>
        <w:textAlignment w:val="auto"/>
        <w:outlineLvl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风险管理</w:t>
      </w:r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可能存在的问题</w:t>
      </w:r>
    </w:p>
    <w:p>
      <w:pPr>
        <w:pStyle w:val="1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小组成员</w:t>
      </w:r>
      <w:r>
        <w:rPr>
          <w:rFonts w:hint="eastAsia"/>
          <w:sz w:val="24"/>
          <w:szCs w:val="24"/>
          <w:lang w:val="en-US" w:eastAsia="zh-CN"/>
        </w:rPr>
        <w:t>中途退出</w:t>
      </w:r>
    </w:p>
    <w:p>
      <w:pPr>
        <w:pStyle w:val="1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无法按时提交任务</w:t>
      </w:r>
    </w:p>
    <w:p>
      <w:pPr>
        <w:pStyle w:val="1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组内成员出现矛盾</w:t>
      </w:r>
    </w:p>
    <w:p>
      <w:pPr>
        <w:pStyle w:val="1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开发设备故障</w:t>
      </w:r>
    </w:p>
    <w:p>
      <w:pPr>
        <w:pStyle w:val="1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需求确定的不够详细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开发语言不够熟练</w:t>
      </w:r>
    </w:p>
    <w:p>
      <w:pPr>
        <w:pStyle w:val="3"/>
        <w:ind w:left="575" w:leftChars="0" w:hanging="575" w:firstLineChars="0"/>
      </w:pPr>
      <w:r>
        <w:rPr>
          <w:rFonts w:hint="eastAsia"/>
          <w:b/>
          <w:lang w:val="en-US" w:eastAsia="zh-CN"/>
        </w:rPr>
        <w:t>不确定性分析</w:t>
      </w:r>
    </w:p>
    <w:p>
      <w:pPr>
        <w:pStyle w:val="17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项目开发成本的不确定性。</w:t>
      </w:r>
    </w:p>
    <w:p>
      <w:pPr>
        <w:pStyle w:val="17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项目开发所需技术的不确定性。</w:t>
      </w:r>
    </w:p>
    <w:p>
      <w:pPr>
        <w:pStyle w:val="17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项目开发环境的不确定性。</w:t>
      </w:r>
    </w:p>
    <w:p>
      <w:pPr>
        <w:pStyle w:val="17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项目开发所需资源的不确定性。</w:t>
      </w:r>
    </w:p>
    <w:p>
      <w:pPr>
        <w:pStyle w:val="17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项目开发人员状况的不确定性。</w:t>
      </w:r>
    </w:p>
    <w:p>
      <w:pPr>
        <w:pStyle w:val="17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项目开发成果的不确定性。</w:t>
      </w:r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风险控制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组内成员人身遇到突发状况的风险：上报项目经理，重新规划分配任务。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组内尚未完全具备完成任务的知识水平的风险：项目经理主动承担责任，并且分配具备知识技能的组员完成，当全部不具备该知识技能时，指定某组员学习。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开发设备故障自行解决。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需求组内成员确定后不可多次修改。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625509"/>
    <w:multiLevelType w:val="multilevel"/>
    <w:tmpl w:val="ED6255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0757D"/>
    <w:multiLevelType w:val="multilevel"/>
    <w:tmpl w:val="02E075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13DCE4"/>
    <w:multiLevelType w:val="singleLevel"/>
    <w:tmpl w:val="0313DC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F9B8552"/>
    <w:multiLevelType w:val="multilevel"/>
    <w:tmpl w:val="0F9B8552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>
    <w:nsid w:val="2D560677"/>
    <w:multiLevelType w:val="multilevel"/>
    <w:tmpl w:val="2D5606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99233F"/>
    <w:multiLevelType w:val="multilevel"/>
    <w:tmpl w:val="339923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042B3E"/>
    <w:multiLevelType w:val="multilevel"/>
    <w:tmpl w:val="3F042B3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7E224C"/>
    <w:multiLevelType w:val="multilevel"/>
    <w:tmpl w:val="497E22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3401CB"/>
    <w:multiLevelType w:val="multilevel"/>
    <w:tmpl w:val="4C3401CB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6A3819"/>
    <w:multiLevelType w:val="multilevel"/>
    <w:tmpl w:val="506A38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FDE8BD"/>
    <w:multiLevelType w:val="singleLevel"/>
    <w:tmpl w:val="57FDE8BD"/>
    <w:lvl w:ilvl="0" w:tentative="0">
      <w:start w:val="1"/>
      <w:numFmt w:val="decimal"/>
      <w:suff w:val="nothing"/>
      <w:lvlText w:val="(%1)"/>
      <w:lvlJc w:val="left"/>
      <w:rPr>
        <w:rFonts w:cs="Times New Roman"/>
      </w:rPr>
    </w:lvl>
  </w:abstractNum>
  <w:abstractNum w:abstractNumId="11">
    <w:nsid w:val="682E01BC"/>
    <w:multiLevelType w:val="multilevel"/>
    <w:tmpl w:val="682E01BC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3610D1"/>
    <w:multiLevelType w:val="multilevel"/>
    <w:tmpl w:val="6C3610D1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3E0B9F"/>
    <w:multiLevelType w:val="multilevel"/>
    <w:tmpl w:val="723E0B9F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8"/>
  </w:num>
  <w:num w:numId="5">
    <w:abstractNumId w:val="11"/>
  </w:num>
  <w:num w:numId="6">
    <w:abstractNumId w:val="6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265990"/>
    <w:rsid w:val="0AF529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  <w:pPr>
      <w:tabs>
        <w:tab w:val="right" w:leader="dot" w:pos="8222"/>
      </w:tabs>
      <w:spacing w:before="120"/>
    </w:pPr>
    <w:rPr>
      <w:sz w:val="28"/>
    </w:rPr>
  </w:style>
  <w:style w:type="paragraph" w:customStyle="1" w:styleId="14">
    <w:name w:val="Smt文档名称 + 自动设置 + 蓝色"/>
    <w:basedOn w:val="1"/>
    <w:qFormat/>
    <w:uiPriority w:val="0"/>
    <w:pPr>
      <w:widowControl/>
      <w:adjustRightInd w:val="0"/>
      <w:spacing w:line="240" w:lineRule="auto"/>
      <w:jc w:val="center"/>
      <w:textAlignment w:val="baseline"/>
    </w:pPr>
    <w:rPr>
      <w:rFonts w:ascii="Book Antiqua" w:hAnsi="Book Antiqua"/>
      <w:b/>
      <w:bCs/>
      <w:color w:val="0000FF"/>
      <w:kern w:val="0"/>
      <w:sz w:val="44"/>
      <w:szCs w:val="36"/>
    </w:rPr>
  </w:style>
  <w:style w:type="character" w:customStyle="1" w:styleId="15">
    <w:name w:val="Highlighted Variable"/>
    <w:qFormat/>
    <w:uiPriority w:val="0"/>
    <w:rPr>
      <w:rFonts w:ascii="宋体" w:hAnsi="宋体" w:eastAsia="宋体"/>
      <w:color w:val="0000FF"/>
      <w:sz w:val="20"/>
    </w:rPr>
  </w:style>
  <w:style w:type="paragraph" w:customStyle="1" w:styleId="16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17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8">
    <w:name w:val="文档标题"/>
    <w:basedOn w:val="1"/>
    <w:qFormat/>
    <w:uiPriority w:val="0"/>
    <w:pPr>
      <w:tabs>
        <w:tab w:val="left" w:pos="0"/>
      </w:tabs>
      <w:autoSpaceDE w:val="0"/>
      <w:autoSpaceDN w:val="0"/>
      <w:adjustRightInd w:val="0"/>
      <w:spacing w:before="300" w:after="300" w:line="360" w:lineRule="auto"/>
      <w:jc w:val="center"/>
    </w:pPr>
    <w:rPr>
      <w:rFonts w:ascii="Arial" w:hAnsi="Arial" w:eastAsia="黑体" w:cs="Times New Roman"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佩强</dc:creator>
  <cp:lastModifiedBy>→_→ </cp:lastModifiedBy>
  <dcterms:modified xsi:type="dcterms:W3CDTF">2018-01-21T07:20:25Z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