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sz w:val="36"/>
          <w:szCs w:val="36"/>
        </w:rPr>
        <w:t>中国原油期货分析</w:t>
      </w:r>
    </w:p>
    <w:p>
      <w:pPr>
        <w:spacing w:line="360" w:lineRule="auto"/>
        <w:jc w:val="left"/>
        <w:rPr>
          <w:rFonts w:asciiTheme="majorEastAsia" w:hAnsiTheme="majorEastAsia" w:eastAsiaTheme="majorEastAsia"/>
        </w:rPr>
      </w:pPr>
    </w:p>
    <w:p>
      <w:pPr>
        <w:spacing w:line="360" w:lineRule="auto"/>
        <w:jc w:val="left"/>
        <w:rPr>
          <w:rFonts w:hint="eastAsia" w:asciiTheme="majorEastAsia" w:hAnsiTheme="majorEastAsia" w:eastAsiaTheme="majorEastAsia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</w:rPr>
        <w:t>中国原油需求总量排名全球第二</w:t>
      </w:r>
      <w:r>
        <w:rPr>
          <w:rFonts w:hint="eastAsia" w:asciiTheme="majorEastAsia" w:hAnsiTheme="majorEastAsia" w:eastAsiaTheme="majorEastAsia"/>
        </w:rPr>
        <w:t>，预计2</w:t>
      </w:r>
      <w:r>
        <w:rPr>
          <w:rFonts w:asciiTheme="majorEastAsia" w:hAnsiTheme="majorEastAsia" w:eastAsiaTheme="majorEastAsia"/>
        </w:rPr>
        <w:t>020年中国原油进口会突破</w:t>
      </w:r>
      <w:r>
        <w:rPr>
          <w:rFonts w:hint="eastAsia" w:asciiTheme="majorEastAsia" w:hAnsiTheme="majorEastAsia" w:eastAsiaTheme="majorEastAsia"/>
        </w:rPr>
        <w:t>5亿吨。</w:t>
      </w:r>
      <w:r>
        <w:rPr>
          <w:rFonts w:asciiTheme="majorEastAsia" w:hAnsiTheme="majorEastAsia" w:eastAsiaTheme="majorEastAsia"/>
        </w:rPr>
        <w:t>同时庞大的现货产量和需求量均能保证原油期货正常运转</w:t>
      </w:r>
      <w:r>
        <w:rPr>
          <w:rFonts w:hint="eastAsia" w:asciiTheme="majorEastAsia" w:hAnsiTheme="majorEastAsia" w:eastAsiaTheme="majorEastAsia"/>
        </w:rPr>
        <w:t>。</w:t>
      </w:r>
      <w:r>
        <w:rPr>
          <w:rFonts w:hint="eastAsia" w:asciiTheme="majorEastAsia" w:hAnsiTheme="majorEastAsia" w:eastAsiaTheme="majorEastAsia"/>
          <w:color w:val="000000"/>
        </w:rPr>
        <w:t>西德克萨斯轻质原油（WTI）于1</w:t>
      </w:r>
      <w:r>
        <w:rPr>
          <w:rFonts w:asciiTheme="majorEastAsia" w:hAnsiTheme="majorEastAsia" w:eastAsiaTheme="majorEastAsia"/>
          <w:color w:val="000000"/>
        </w:rPr>
        <w:t>982年在</w:t>
      </w:r>
      <w:r>
        <w:rPr>
          <w:rFonts w:hint="eastAsia" w:asciiTheme="majorEastAsia" w:hAnsiTheme="majorEastAsia" w:eastAsiaTheme="majorEastAsia"/>
          <w:color w:val="000000"/>
        </w:rPr>
        <w:t>N</w:t>
      </w:r>
      <w:r>
        <w:rPr>
          <w:rFonts w:asciiTheme="majorEastAsia" w:hAnsiTheme="majorEastAsia" w:eastAsiaTheme="majorEastAsia"/>
          <w:color w:val="000000"/>
        </w:rPr>
        <w:t>YMEX推出</w:t>
      </w:r>
      <w:r>
        <w:rPr>
          <w:rFonts w:hint="eastAsia" w:asciiTheme="majorEastAsia" w:hAnsiTheme="majorEastAsia" w:eastAsiaTheme="majorEastAsia"/>
          <w:color w:val="000000"/>
        </w:rPr>
        <w:t>，Brent原油期货合约于1</w:t>
      </w:r>
      <w:r>
        <w:rPr>
          <w:rFonts w:asciiTheme="majorEastAsia" w:hAnsiTheme="majorEastAsia" w:eastAsiaTheme="majorEastAsia"/>
          <w:color w:val="000000"/>
        </w:rPr>
        <w:t>988年在</w:t>
      </w:r>
      <w:r>
        <w:rPr>
          <w:rFonts w:hint="eastAsia" w:asciiTheme="majorEastAsia" w:hAnsiTheme="majorEastAsia" w:eastAsiaTheme="majorEastAsia"/>
          <w:color w:val="000000"/>
        </w:rPr>
        <w:t>伦敦国际石油交易所（IPE）推出，这两者经过几十年的发展，已成为全球最重要的基准油之一。</w:t>
      </w:r>
      <w:r>
        <w:rPr>
          <w:rFonts w:asciiTheme="majorEastAsia" w:hAnsiTheme="majorEastAsia" w:eastAsiaTheme="majorEastAsia"/>
          <w:color w:val="000000"/>
        </w:rPr>
        <w:t>而</w:t>
      </w:r>
      <w:r>
        <w:rPr>
          <w:rFonts w:hint="eastAsia" w:asciiTheme="majorEastAsia" w:hAnsiTheme="majorEastAsia" w:eastAsiaTheme="majorEastAsia"/>
          <w:color w:val="000000"/>
        </w:rPr>
        <w:t>“中国版”原油期货在2</w:t>
      </w:r>
      <w:r>
        <w:rPr>
          <w:rFonts w:asciiTheme="majorEastAsia" w:hAnsiTheme="majorEastAsia" w:eastAsiaTheme="majorEastAsia"/>
          <w:color w:val="000000"/>
        </w:rPr>
        <w:t>018年</w:t>
      </w:r>
      <w:r>
        <w:rPr>
          <w:rFonts w:hint="eastAsia" w:asciiTheme="majorEastAsia" w:hAnsiTheme="majorEastAsia" w:eastAsiaTheme="majorEastAsia"/>
          <w:color w:val="000000"/>
        </w:rPr>
        <w:t>3月2</w:t>
      </w:r>
      <w:r>
        <w:rPr>
          <w:rFonts w:asciiTheme="majorEastAsia" w:hAnsiTheme="majorEastAsia" w:eastAsiaTheme="majorEastAsia"/>
          <w:color w:val="000000"/>
        </w:rPr>
        <w:t>6日早上</w:t>
      </w:r>
      <w:r>
        <w:rPr>
          <w:rFonts w:hint="eastAsia" w:asciiTheme="majorEastAsia" w:hAnsiTheme="majorEastAsia" w:eastAsiaTheme="majorEastAsia"/>
          <w:color w:val="000000"/>
        </w:rPr>
        <w:t>9点在上海国际能源中心（I</w:t>
      </w:r>
      <w:r>
        <w:rPr>
          <w:rFonts w:asciiTheme="majorEastAsia" w:hAnsiTheme="majorEastAsia" w:eastAsiaTheme="majorEastAsia"/>
          <w:color w:val="000000"/>
        </w:rPr>
        <w:t>NE</w:t>
      </w:r>
      <w:r>
        <w:rPr>
          <w:rFonts w:hint="eastAsia" w:asciiTheme="majorEastAsia" w:hAnsiTheme="majorEastAsia" w:eastAsiaTheme="majorEastAsia"/>
          <w:color w:val="000000"/>
        </w:rPr>
        <w:t>）挂盘交易，</w:t>
      </w:r>
      <w:r>
        <w:rPr>
          <w:rFonts w:asciiTheme="majorEastAsia" w:hAnsiTheme="majorEastAsia" w:eastAsiaTheme="majorEastAsia"/>
          <w:color w:val="000000"/>
        </w:rPr>
        <w:t>首日交易就取的开门红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开盘价格为</w:t>
      </w:r>
      <w:r>
        <w:rPr>
          <w:rFonts w:hint="eastAsia" w:asciiTheme="majorEastAsia" w:hAnsiTheme="majorEastAsia" w:eastAsiaTheme="majorEastAsia"/>
          <w:color w:val="000000"/>
        </w:rPr>
        <w:t>4</w:t>
      </w:r>
      <w:r>
        <w:rPr>
          <w:rFonts w:asciiTheme="majorEastAsia" w:hAnsiTheme="majorEastAsia" w:eastAsiaTheme="majorEastAsia"/>
          <w:color w:val="000000"/>
        </w:rPr>
        <w:t>40元</w:t>
      </w:r>
      <w:r>
        <w:rPr>
          <w:rFonts w:hint="eastAsia" w:asciiTheme="majorEastAsia" w:hAnsiTheme="majorEastAsia" w:eastAsiaTheme="majorEastAsia"/>
          <w:color w:val="000000"/>
        </w:rPr>
        <w:t>/</w:t>
      </w:r>
      <w:r>
        <w:rPr>
          <w:rFonts w:asciiTheme="majorEastAsia" w:hAnsiTheme="majorEastAsia" w:eastAsiaTheme="majorEastAsia"/>
          <w:color w:val="000000"/>
        </w:rPr>
        <w:t>桶</w:t>
      </w:r>
      <w:r>
        <w:rPr>
          <w:rFonts w:hint="eastAsia" w:asciiTheme="majorEastAsia" w:hAnsiTheme="majorEastAsia" w:eastAsiaTheme="majorEastAsia"/>
          <w:color w:val="000000"/>
        </w:rPr>
        <w:t>。中国原油期货以人民币计价，且可以转化成黄金。由于各大原油期货在全球原油定价方面都有不少影响，尤其是W</w:t>
      </w:r>
      <w:r>
        <w:rPr>
          <w:rFonts w:asciiTheme="majorEastAsia" w:hAnsiTheme="majorEastAsia" w:eastAsiaTheme="majorEastAsia"/>
          <w:color w:val="000000"/>
        </w:rPr>
        <w:t>TI和</w:t>
      </w:r>
      <w:r>
        <w:rPr>
          <w:rFonts w:hint="eastAsia" w:asciiTheme="majorEastAsia" w:hAnsiTheme="majorEastAsia" w:eastAsiaTheme="majorEastAsia"/>
          <w:color w:val="000000"/>
        </w:rPr>
        <w:t>Brent。所以，接下来我们需要检验Brent和W</w:t>
      </w:r>
      <w:r>
        <w:rPr>
          <w:rFonts w:asciiTheme="majorEastAsia" w:hAnsiTheme="majorEastAsia" w:eastAsiaTheme="majorEastAsia"/>
          <w:color w:val="000000"/>
        </w:rPr>
        <w:t>TI对中国最新原油期货的价差和相关性</w:t>
      </w:r>
      <w:r>
        <w:rPr>
          <w:rFonts w:hint="eastAsia" w:asciiTheme="majorEastAsia" w:hAnsiTheme="majorEastAsia" w:eastAsiaTheme="majorEastAsia"/>
          <w:color w:val="000000"/>
        </w:rPr>
        <w:t>。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color w:val="00000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我们分别从</w:t>
      </w:r>
      <w:r>
        <w:rPr>
          <w:rFonts w:hint="eastAsia" w:asciiTheme="majorEastAsia" w:hAnsiTheme="majorEastAsia" w:eastAsiaTheme="majorEastAsia"/>
          <w:color w:val="000000"/>
        </w:rPr>
        <w:t>Wind平台拉下了</w:t>
      </w:r>
      <w:r>
        <w:rPr>
          <w:rFonts w:asciiTheme="majorEastAsia" w:hAnsiTheme="majorEastAsia" w:eastAsiaTheme="majorEastAsia"/>
          <w:color w:val="000000"/>
        </w:rPr>
        <w:t>Brent</w:t>
      </w:r>
      <w:r>
        <w:rPr>
          <w:rFonts w:hint="eastAsia" w:asciiTheme="majorEastAsia" w:hAnsiTheme="majorEastAsia" w:eastAsiaTheme="majorEastAsia"/>
          <w:color w:val="000000"/>
        </w:rPr>
        <w:t>，W</w:t>
      </w:r>
      <w:r>
        <w:rPr>
          <w:rFonts w:asciiTheme="majorEastAsia" w:hAnsiTheme="majorEastAsia" w:eastAsiaTheme="majorEastAsia"/>
          <w:color w:val="000000"/>
        </w:rPr>
        <w:t>TI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和</w:t>
      </w:r>
      <w:r>
        <w:rPr>
          <w:rFonts w:hint="eastAsia" w:asciiTheme="majorEastAsia" w:hAnsiTheme="majorEastAsia" w:eastAsiaTheme="majorEastAsia"/>
          <w:color w:val="000000"/>
        </w:rPr>
        <w:t>中国原油期货所有5分钟、</w:t>
      </w:r>
      <w:r>
        <w:rPr>
          <w:rFonts w:asciiTheme="majorEastAsia" w:hAnsiTheme="majorEastAsia" w:eastAsiaTheme="majorEastAsia"/>
          <w:color w:val="000000"/>
        </w:rPr>
        <w:t>30分钟</w:t>
      </w:r>
      <w:r>
        <w:rPr>
          <w:rFonts w:hint="eastAsia" w:asciiTheme="majorEastAsia" w:hAnsiTheme="majorEastAsia" w:eastAsiaTheme="majorEastAsia"/>
          <w:color w:val="000000"/>
        </w:rPr>
        <w:t>、6</w:t>
      </w:r>
      <w:r>
        <w:rPr>
          <w:rFonts w:asciiTheme="majorEastAsia" w:hAnsiTheme="majorEastAsia" w:eastAsiaTheme="majorEastAsia"/>
          <w:color w:val="000000"/>
        </w:rPr>
        <w:t>0分钟</w:t>
      </w:r>
      <w:r>
        <w:rPr>
          <w:rFonts w:hint="eastAsia" w:asciiTheme="majorEastAsia" w:hAnsiTheme="majorEastAsia" w:eastAsiaTheme="majorEastAsia"/>
          <w:color w:val="000000"/>
        </w:rPr>
        <w:t>收盘价数据，时间段为2</w:t>
      </w:r>
      <w:r>
        <w:rPr>
          <w:rFonts w:asciiTheme="majorEastAsia" w:hAnsiTheme="majorEastAsia" w:eastAsiaTheme="majorEastAsia"/>
          <w:color w:val="000000"/>
        </w:rPr>
        <w:t>018年</w:t>
      </w:r>
      <w:r>
        <w:rPr>
          <w:rFonts w:hint="eastAsia" w:asciiTheme="majorEastAsia" w:hAnsiTheme="majorEastAsia" w:eastAsiaTheme="majorEastAsia"/>
          <w:color w:val="000000"/>
        </w:rPr>
        <w:t>3月2</w:t>
      </w:r>
      <w:r>
        <w:rPr>
          <w:rFonts w:asciiTheme="majorEastAsia" w:hAnsiTheme="majorEastAsia" w:eastAsiaTheme="majorEastAsia"/>
          <w:color w:val="000000"/>
        </w:rPr>
        <w:t>6日</w:t>
      </w:r>
      <w:r>
        <w:rPr>
          <w:rFonts w:hint="eastAsia" w:asciiTheme="majorEastAsia" w:hAnsiTheme="majorEastAsia" w:eastAsiaTheme="majorEastAsia"/>
          <w:color w:val="000000"/>
        </w:rPr>
        <w:t>9点起至今，见图1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（价格换算汇率之后）</w:t>
      </w:r>
      <w:r>
        <w:rPr>
          <w:rFonts w:hint="eastAsia" w:asciiTheme="majorEastAsia" w:hAnsiTheme="majorEastAsia" w:eastAsiaTheme="majorEastAsia"/>
          <w:color w:val="000000"/>
        </w:rPr>
        <w:t>。</w:t>
      </w:r>
    </w:p>
    <w:p>
      <w:pPr>
        <w:spacing w:line="360" w:lineRule="auto"/>
        <w:ind w:firstLine="3240" w:firstLineChars="1800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57150</wp:posOffset>
            </wp:positionV>
            <wp:extent cx="5273040" cy="3954780"/>
            <wp:effectExtent l="0" t="0" r="3810" b="7620"/>
            <wp:wrapTopAndBottom/>
            <wp:docPr id="6" name="图片 6" descr="Price of Three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ice of Three_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000000"/>
          <w:sz w:val="18"/>
          <w:szCs w:val="18"/>
        </w:rPr>
        <w:t>图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/>
          <w:color w:val="000000"/>
          <w:sz w:val="18"/>
          <w:szCs w:val="18"/>
        </w:rPr>
        <w:t>三个期货的收盘价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由于三者看盘时间都有所不同，经过处理筛选出匹配中国原油期货的时间点后，我们先其进行价差和基础分析，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价</w:t>
      </w:r>
      <w:bookmarkStart w:id="0" w:name="_GoBack"/>
      <w:bookmarkEnd w:id="0"/>
      <w:r>
        <w:rPr>
          <w:rFonts w:hint="eastAsia" w:asciiTheme="majorEastAsia" w:hAnsiTheme="majorEastAsia" w:eastAsiaTheme="majorEastAsia"/>
          <w:color w:val="000000"/>
          <w:lang w:val="en-US" w:eastAsia="zh-CN"/>
        </w:rPr>
        <w:t>差=价格高的合约价格/汇率－价格低的合约价格，</w:t>
      </w:r>
      <w:r>
        <w:rPr>
          <w:rFonts w:hint="eastAsia" w:asciiTheme="majorEastAsia" w:hAnsiTheme="majorEastAsia" w:eastAsiaTheme="majorEastAsia"/>
          <w:color w:val="000000"/>
        </w:rPr>
        <w:t>见图</w:t>
      </w:r>
      <w:r>
        <w:rPr>
          <w:rFonts w:asciiTheme="majorEastAsia" w:hAnsiTheme="majorEastAsia" w:eastAsiaTheme="majorEastAsia"/>
          <w:color w:val="000000"/>
        </w:rPr>
        <w:t>2</w:t>
      </w:r>
      <w:r>
        <w:rPr>
          <w:rFonts w:hint="eastAsia" w:asciiTheme="majorEastAsia" w:hAnsiTheme="majorEastAsia" w:eastAsiaTheme="majorEastAsia"/>
          <w:color w:val="000000"/>
        </w:rPr>
        <w:t>。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color w:val="000000"/>
          <w:lang w:eastAsia="zh-CN"/>
        </w:rPr>
      </w:pPr>
    </w:p>
    <w:p>
      <w:pPr>
        <w:spacing w:line="360" w:lineRule="auto"/>
        <w:ind w:left="2520" w:firstLine="1260" w:firstLineChars="6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Theme="majorEastAsia" w:hAnsiTheme="majorEastAsia" w:eastAsiaTheme="majorEastAsia"/>
          <w:color w:val="00000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17145</wp:posOffset>
            </wp:positionV>
            <wp:extent cx="5273040" cy="3954780"/>
            <wp:effectExtent l="0" t="0" r="3810" b="7620"/>
            <wp:wrapTopAndBottom/>
            <wp:docPr id="5" name="图片 5" descr="Price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iceDi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000000"/>
          <w:sz w:val="18"/>
          <w:szCs w:val="18"/>
        </w:rPr>
        <w:t>图2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价差</w:t>
      </w:r>
    </w:p>
    <w:p>
      <w:pPr>
        <w:spacing w:line="360" w:lineRule="auto"/>
        <w:ind w:left="2520" w:firstLine="1080" w:firstLineChars="600"/>
        <w:rPr>
          <w:rFonts w:hint="eastAsia"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可以看到两者的价差还是有些许不同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asciiTheme="majorEastAsia" w:hAnsiTheme="majorEastAsia" w:eastAsiaTheme="majorEastAsia"/>
          <w:color w:val="000000"/>
        </w:rPr>
        <w:t>为了进一步分析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我们利用</w:t>
      </w:r>
      <w:r>
        <w:rPr>
          <w:rFonts w:hint="eastAsia" w:asciiTheme="majorEastAsia" w:hAnsiTheme="majorEastAsia" w:eastAsiaTheme="majorEastAsia"/>
          <w:color w:val="000000"/>
        </w:rPr>
        <w:t>Python计算三方的均值和Pearson相关系数，结果如下所示。</w:t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224155</wp:posOffset>
            </wp:positionV>
            <wp:extent cx="3886835" cy="1857375"/>
            <wp:effectExtent l="0" t="0" r="18415" b="9525"/>
            <wp:wrapTopAndBottom/>
            <wp:docPr id="4" name="图片 4" descr="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R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不难看到，中国原油期货和Brent的相关性0</w:t>
      </w:r>
      <w:r>
        <w:rPr>
          <w:rFonts w:asciiTheme="majorEastAsia" w:hAnsiTheme="majorEastAsia" w:eastAsiaTheme="majorEastAsia"/>
          <w:color w:val="000000"/>
        </w:rPr>
        <w:t>.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9623</w:t>
      </w:r>
      <w:r>
        <w:rPr>
          <w:rFonts w:hint="eastAsia" w:asciiTheme="majorEastAsia" w:hAnsiTheme="majorEastAsia" w:eastAsiaTheme="majorEastAsia"/>
          <w:color w:val="000000"/>
        </w:rPr>
        <w:t>是比和W</w:t>
      </w:r>
      <w:r>
        <w:rPr>
          <w:rFonts w:asciiTheme="majorEastAsia" w:hAnsiTheme="majorEastAsia" w:eastAsiaTheme="majorEastAsia"/>
          <w:color w:val="000000"/>
        </w:rPr>
        <w:t>TI的相关性</w:t>
      </w:r>
      <w:r>
        <w:rPr>
          <w:rFonts w:hint="eastAsia" w:asciiTheme="majorEastAsia" w:hAnsiTheme="majorEastAsia" w:eastAsiaTheme="majorEastAsia"/>
          <w:color w:val="000000"/>
        </w:rPr>
        <w:t>0</w:t>
      </w:r>
      <w:r>
        <w:rPr>
          <w:rFonts w:asciiTheme="majorEastAsia" w:hAnsiTheme="majorEastAsia" w:eastAsiaTheme="majorEastAsia"/>
          <w:color w:val="000000"/>
        </w:rPr>
        <w:t>.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9116</w:t>
      </w:r>
      <w:r>
        <w:rPr>
          <w:rFonts w:asciiTheme="majorEastAsia" w:hAnsiTheme="majorEastAsia" w:eastAsiaTheme="majorEastAsia"/>
          <w:color w:val="000000"/>
        </w:rPr>
        <w:t>要高出不少的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，且更接近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1说明线性相关程度很高</w:t>
      </w:r>
      <w:r>
        <w:rPr>
          <w:rFonts w:hint="eastAsia" w:asciiTheme="majorEastAsia" w:hAnsiTheme="majorEastAsia" w:eastAsiaTheme="majorEastAsia"/>
          <w:color w:val="000000"/>
        </w:rPr>
        <w:t>。由此可见，其实Brent期货对中国原油期货的定价影响会更大。事实上，从最近几年的价格曲线看来，Brent与其他国际原油都有一个相对平和、稳定的价差关系，但W</w:t>
      </w:r>
      <w:r>
        <w:rPr>
          <w:rFonts w:asciiTheme="majorEastAsia" w:hAnsiTheme="majorEastAsia" w:eastAsiaTheme="majorEastAsia"/>
          <w:color w:val="000000"/>
        </w:rPr>
        <w:t>TI却出现重大错位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asciiTheme="majorEastAsia" w:hAnsiTheme="majorEastAsia" w:eastAsiaTheme="majorEastAsia"/>
          <w:color w:val="000000"/>
        </w:rPr>
        <w:t>由于IPE</w:t>
      </w:r>
      <w:r>
        <w:rPr>
          <w:rFonts w:hint="eastAsia" w:asciiTheme="majorEastAsia" w:hAnsiTheme="majorEastAsia" w:eastAsiaTheme="majorEastAsia"/>
          <w:color w:val="000000"/>
        </w:rPr>
        <w:t>的体系的饱满和完善，Brent原油在全球原油定价的地位也日益攀升，全球约有6</w:t>
      </w:r>
      <w:r>
        <w:rPr>
          <w:rFonts w:asciiTheme="majorEastAsia" w:hAnsiTheme="majorEastAsia" w:eastAsiaTheme="majorEastAsia"/>
          <w:color w:val="000000"/>
        </w:rPr>
        <w:t>0</w:t>
      </w:r>
      <w:r>
        <w:rPr>
          <w:rFonts w:hint="eastAsia" w:asciiTheme="majorEastAsia" w:hAnsiTheme="majorEastAsia" w:eastAsiaTheme="majorEastAsia"/>
          <w:color w:val="000000"/>
        </w:rPr>
        <w:t>%</w:t>
      </w:r>
      <w:r>
        <w:rPr>
          <w:rFonts w:asciiTheme="majorEastAsia" w:hAnsiTheme="majorEastAsia" w:eastAsiaTheme="majorEastAsia"/>
          <w:color w:val="000000"/>
        </w:rPr>
        <w:t>的原油交易量以</w:t>
      </w:r>
      <w:r>
        <w:rPr>
          <w:rFonts w:hint="eastAsia" w:asciiTheme="majorEastAsia" w:hAnsiTheme="majorEastAsia" w:eastAsiaTheme="majorEastAsia"/>
          <w:color w:val="000000"/>
        </w:rPr>
        <w:t>Brent原油作为基准油来定价。值得一提的是，近些年来，Brent原油现货和期货在交割月份的差价不超过1%，这也反映出了Brent期货定价的准确性。因此这些报道也符合了我们的测试，更看好Brent对中国原油期货价格走势的相关性。</w:t>
      </w: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ind w:left="6300" w:firstLine="420"/>
        <w:rPr>
          <w:rFonts w:ascii="微软雅黑" w:hAnsi="微软雅黑" w:eastAsia="微软雅黑"/>
          <w:color w:val="000000"/>
        </w:rPr>
      </w:pPr>
    </w:p>
    <w:p>
      <w:pPr>
        <w:ind w:left="6300" w:firstLine="420"/>
        <w:rPr>
          <w:rFonts w:ascii="微软雅黑" w:hAnsi="微软雅黑" w:eastAsia="微软雅黑"/>
          <w:color w:val="000000"/>
        </w:rPr>
      </w:pPr>
    </w:p>
    <w:p>
      <w:pPr>
        <w:ind w:left="6300" w:firstLine="420"/>
        <w:rPr>
          <w:rFonts w:ascii="微软雅黑" w:hAnsi="微软雅黑" w:eastAsia="微软雅黑"/>
          <w:color w:val="000000"/>
        </w:rPr>
      </w:pPr>
    </w:p>
    <w:p>
      <w:pPr>
        <w:ind w:left="6300" w:leftChars="0" w:firstLine="420" w:firstLineChars="0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易则投资</w:t>
      </w:r>
    </w:p>
    <w:p>
      <w:pPr>
        <w:rPr>
          <w:rFonts w:hint="eastAsia"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hint="eastAsia" w:ascii="微软雅黑" w:hAnsi="微软雅黑" w:eastAsia="微软雅黑"/>
          <w:color w:val="000000"/>
        </w:rPr>
        <w:t>2</w:t>
      </w:r>
      <w:r>
        <w:rPr>
          <w:rFonts w:ascii="微软雅黑" w:hAnsi="微软雅黑" w:eastAsia="微软雅黑"/>
          <w:color w:val="000000"/>
        </w:rPr>
        <w:t>018</w:t>
      </w:r>
      <w:r>
        <w:rPr>
          <w:rFonts w:hint="eastAsia" w:ascii="微软雅黑" w:hAnsi="微软雅黑" w:eastAsia="微软雅黑"/>
          <w:color w:val="000000"/>
        </w:rPr>
        <w:t>/</w:t>
      </w:r>
      <w:r>
        <w:rPr>
          <w:rFonts w:ascii="微软雅黑" w:hAnsi="微软雅黑" w:eastAsia="微软雅黑"/>
          <w:color w:val="000000"/>
        </w:rPr>
        <w:t>5/29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AF"/>
    <w:rsid w:val="000A0DA0"/>
    <w:rsid w:val="001838E8"/>
    <w:rsid w:val="00301E68"/>
    <w:rsid w:val="003301AF"/>
    <w:rsid w:val="0033432E"/>
    <w:rsid w:val="00CB07B9"/>
    <w:rsid w:val="00E24A05"/>
    <w:rsid w:val="00E61B5E"/>
    <w:rsid w:val="00E759FD"/>
    <w:rsid w:val="1BF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01986-9E90-45EF-B5DE-C03A7C928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782</Characters>
  <Lines>6</Lines>
  <Paragraphs>1</Paragraphs>
  <ScaleCrop>false</ScaleCrop>
  <LinksUpToDate>false</LinksUpToDate>
  <CharactersWithSpaces>918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2018-05-29T09:59:00Z</dcterms:created>
  <dc:creator>Windows 用户</dc:creator>
  <cp:lastModifiedBy>Think</cp:lastModifiedBy>
  <dcterms:modified xsi:type="dcterms:W3CDTF">2018-05-29T10:41:59Z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