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129F79F5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8B34D3">
              <w:rPr>
                <w:rFonts w:ascii="Arial" w:hAnsi="Arial"/>
                <w:b/>
                <w:noProof/>
                <w:sz w:val="20"/>
                <w:szCs w:val="16"/>
              </w:rPr>
              <w:t>21.06.2024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86335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86335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931A6F">
      <w:pPr>
        <w:pStyle w:val="SourceCode"/>
        <w:rPr>
          <w:color w:val="000000"/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lastRenderedPageBreak/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lastRenderedPageBreak/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5497EDD" w:rsidR="00E757BB" w:rsidRDefault="00E757BB" w:rsidP="00863351">
      <w:pPr>
        <w:pStyle w:val="Wcicienormalne"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86335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86335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86335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86335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86335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8A385B">
      <w:pPr>
        <w:pStyle w:val="SourceCode"/>
      </w:pPr>
      <w:r>
        <w:t>&lt;xsd:simpleType name="ST_XmlName"&gt;</w:t>
      </w:r>
    </w:p>
    <w:p w14:paraId="35CABC38" w14:textId="54DF992D" w:rsidR="008A385B" w:rsidRDefault="008A385B" w:rsidP="008A385B">
      <w:pPr>
        <w:pStyle w:val="SourceCode"/>
      </w:pPr>
      <w:r>
        <w:lastRenderedPageBreak/>
        <w:t xml:space="preserve">  &lt;xsd:restriction base="xsd:NCName"&gt;</w:t>
      </w:r>
    </w:p>
    <w:p w14:paraId="3DA376B4" w14:textId="77D27720" w:rsidR="008A385B" w:rsidRDefault="008A385B" w:rsidP="008A385B">
      <w:pPr>
        <w:pStyle w:val="SourceCode"/>
      </w:pPr>
      <w:r>
        <w:t xml:space="preserve">    &lt;xsd:minLength value="1"/&gt;</w:t>
      </w:r>
    </w:p>
    <w:p w14:paraId="430DA05F" w14:textId="35A32F85" w:rsidR="008A385B" w:rsidRDefault="008A385B" w:rsidP="008A385B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8A385B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8A385B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8A385B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8A385B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8A385B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8A385B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8A385B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8A385B">
      <w:pPr>
        <w:pStyle w:val="SourceCode"/>
      </w:pPr>
      <w:r>
        <w:t>&lt;xsd:simpleType name="ST_Em"&gt;</w:t>
      </w:r>
    </w:p>
    <w:p w14:paraId="28C1F69E" w14:textId="3A6124A3" w:rsidR="008A385B" w:rsidRDefault="008A385B" w:rsidP="008A385B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8A385B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8A385B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8A385B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8A385B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8A385B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8A385B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8A385B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8A385B">
      <w:pPr>
        <w:pStyle w:val="SourceCode"/>
      </w:pPr>
      <w:r>
        <w:t>&lt;xsd:simpleType name="ST_Integer255"&gt;</w:t>
      </w:r>
    </w:p>
    <w:p w14:paraId="390E6DF4" w14:textId="30FEE667" w:rsidR="008A385B" w:rsidRDefault="008A385B" w:rsidP="008A385B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8A385B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8A385B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8A385B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8A385B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9F3C2C">
      <w:pPr>
        <w:pStyle w:val="SourceCode"/>
      </w:pPr>
      <w:r>
        <w:t>&lt;xsd:simpleType name="ST_FixedAngle"&gt;</w:t>
      </w:r>
    </w:p>
    <w:p w14:paraId="44999AC8" w14:textId="131D8431" w:rsidR="009F3C2C" w:rsidRDefault="009F3C2C" w:rsidP="009F3C2C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9F3C2C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9F3C2C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9F3C2C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9F3C2C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5A7DECBF" w:rsidR="00345330" w:rsidRDefault="00345330" w:rsidP="00345330">
      <w:pPr>
        <w:pStyle w:val="Listapunktowana"/>
      </w:pPr>
      <w:r w:rsidRPr="00345330">
        <w:rPr>
          <w:rStyle w:val="NazwaProgramowa"/>
        </w:rPr>
        <w:t>BaseNamespaceI</w:t>
      </w:r>
      <w:r w:rsidR="008B34D3"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lastRenderedPageBreak/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0D3F93">
      <w:pPr>
        <w:pStyle w:val="SourceCode"/>
      </w:pPr>
      <w:r>
        <w:t>&lt;xsd:simpleType name="ST_Coordinate"&gt;</w:t>
      </w:r>
    </w:p>
    <w:p w14:paraId="0C790613" w14:textId="236AAEE9" w:rsidR="000D3F93" w:rsidRDefault="000D3F93" w:rsidP="000D3F93">
      <w:pPr>
        <w:pStyle w:val="SourceCode"/>
      </w:pPr>
      <w:r>
        <w:lastRenderedPageBreak/>
        <w:t xml:space="preserve">  &lt;xsd:union memberTypes="ST_CoordinateUnqualified s:ST_UniversalMeasure"/&gt;</w:t>
      </w:r>
    </w:p>
    <w:p w14:paraId="60AA267A" w14:textId="750F611F" w:rsidR="000D3F93" w:rsidRDefault="000D3F93" w:rsidP="000D3F93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646DAF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646DAF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646DAF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646DAF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646DAF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646DAF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646DAF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646DAF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646DAF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7777777" w:rsidR="00386208" w:rsidRPr="00386208" w:rsidRDefault="00386208" w:rsidP="00386208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386208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386208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listowymi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 xml:space="preserve">Elementy składowe listy 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lastRenderedPageBreak/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16868C33" w14:textId="1489E42C" w:rsidR="008B34D3" w:rsidRDefault="008B34D3" w:rsidP="00A501BB">
      <w:pPr>
        <w:pStyle w:val="Wcicienormalne"/>
      </w:pPr>
      <w:r>
        <w:t xml:space="preserve">Typy złożone są rejestrowane w tabeli </w:t>
      </w:r>
      <w:r w:rsidRPr="008B34D3">
        <w:rPr>
          <w:rStyle w:val="NazwaProgramowa"/>
        </w:rPr>
        <w:t>SchemaComplexTypes</w:t>
      </w:r>
      <w:r>
        <w:t xml:space="preserve">. Encja </w:t>
      </w:r>
      <w:r w:rsidRPr="008B34D3">
        <w:rPr>
          <w:rStyle w:val="NazwaProgramowa"/>
        </w:rPr>
        <w:t>SchemaComplexType</w:t>
      </w:r>
      <w:r>
        <w:t xml:space="preserve"> ma następujące właściwości:</w:t>
      </w:r>
    </w:p>
    <w:p w14:paraId="711C2BB6" w14:textId="77777777" w:rsidR="008B34D3" w:rsidRDefault="008B34D3" w:rsidP="008B34D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410F5D" w14:textId="77777777" w:rsidR="008B34D3" w:rsidRDefault="008B34D3" w:rsidP="008B34D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zdefiniowany dany typ,</w:t>
      </w:r>
    </w:p>
    <w:p w14:paraId="14F721CE" w14:textId="77777777" w:rsidR="008B34D3" w:rsidRDefault="008B34D3" w:rsidP="008B34D3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67D88619" w14:textId="1514FBBC" w:rsidR="008B34D3" w:rsidRDefault="008B34D3" w:rsidP="008B34D3">
      <w:pPr>
        <w:pStyle w:val="Listapunktowana"/>
      </w:pPr>
      <w:r w:rsidRPr="00345330">
        <w:rPr>
          <w:rStyle w:val="NazwaProgramowa"/>
        </w:rPr>
        <w:t>BaseNamespaceI</w:t>
      </w:r>
      <w:r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 typu bazowego (pomijany, gdy typ bazowy jest zdefiniowany w tej samej przestrzeni nazw),</w:t>
      </w:r>
    </w:p>
    <w:p w14:paraId="789D48A4" w14:textId="7FAF660B" w:rsidR="008B34D3" w:rsidRDefault="008B34D3" w:rsidP="008B34D3">
      <w:pPr>
        <w:pStyle w:val="Listapunktowana"/>
      </w:pPr>
      <w:r>
        <w:rPr>
          <w:rStyle w:val="NazwaProgramowa"/>
        </w:rPr>
        <w:t>BaseTypeName</w:t>
      </w:r>
      <w:r w:rsidRPr="00146E5A">
        <w:rPr>
          <w:rStyle w:val="NazwaProgramowa"/>
        </w:rPr>
        <w:t>: string</w:t>
      </w:r>
      <w:r>
        <w:t>– nazwa typu bazowego,</w:t>
      </w:r>
      <w:r w:rsidR="00343C93">
        <w:t xml:space="preserve"> może to być zarówno typ złożony, jak i typ prosty.</w:t>
      </w:r>
    </w:p>
    <w:p w14:paraId="5B8F58DC" w14:textId="7FB1BA28" w:rsidR="008B34D3" w:rsidRDefault="00FE1953" w:rsidP="008B34D3">
      <w:pPr>
        <w:pStyle w:val="Listapunktowana"/>
      </w:pPr>
      <w:r w:rsidRPr="00FE1953">
        <w:rPr>
          <w:rStyle w:val="NazwaProgramowa"/>
        </w:rPr>
        <w:t>ContentType: ContentType</w:t>
      </w:r>
      <w:r>
        <w:t xml:space="preserve"> – typ zawartości </w:t>
      </w:r>
      <w:r w:rsidRPr="00343C93">
        <w:rPr>
          <w:rStyle w:val="NazwaProgramowa"/>
        </w:rPr>
        <w:t>(</w:t>
      </w:r>
      <w:r w:rsidR="00343C93" w:rsidRPr="00343C93">
        <w:rPr>
          <w:rStyle w:val="NazwaProgramowa"/>
        </w:rPr>
        <w:t>TextOnly</w:t>
      </w:r>
      <w:r w:rsidR="00343C93">
        <w:t xml:space="preserve">, </w:t>
      </w:r>
      <w:r w:rsidR="00343C93" w:rsidRPr="00343C93">
        <w:rPr>
          <w:rStyle w:val="NazwaProgramowa"/>
        </w:rPr>
        <w:t>Empty</w:t>
      </w:r>
      <w:r w:rsidR="00343C93">
        <w:t xml:space="preserve">, </w:t>
      </w:r>
      <w:r w:rsidR="00343C93" w:rsidRPr="00343C93">
        <w:rPr>
          <w:rStyle w:val="NazwaProgramowa"/>
        </w:rPr>
        <w:t>ElementOnly</w:t>
      </w:r>
      <w:r w:rsidR="00343C93">
        <w:t xml:space="preserve">, </w:t>
      </w:r>
      <w:r w:rsidR="00343C93" w:rsidRPr="00343C93">
        <w:rPr>
          <w:rStyle w:val="NazwaProgramowa"/>
        </w:rPr>
        <w:t>Mixed</w:t>
      </w:r>
      <w:r>
        <w:t>)</w:t>
      </w:r>
      <w:r w:rsidR="00343C93">
        <w:t>.</w:t>
      </w:r>
    </w:p>
    <w:p w14:paraId="62D3BC31" w14:textId="55E4D042" w:rsidR="00282B1F" w:rsidRDefault="0070430A" w:rsidP="00A501BB">
      <w:pPr>
        <w:pStyle w:val="Wcicienormalne"/>
      </w:pPr>
      <w:r>
        <w:t>Definicje</w:t>
      </w:r>
      <w:r w:rsidR="00282B1F">
        <w:t xml:space="preserve"> typów złożonych</w:t>
      </w:r>
      <w:r>
        <w:t xml:space="preserve"> zawierają w sobie deklaracje atrybutów oraz ewentualnie elementów składowych.</w:t>
      </w:r>
    </w:p>
    <w:p w14:paraId="3CB0F7B9" w14:textId="3635C7E1" w:rsidR="00B92F28" w:rsidRDefault="00B92F28" w:rsidP="00B92F28">
      <w:pPr>
        <w:pStyle w:val="Nagwek4"/>
      </w:pPr>
      <w:r>
        <w:t>Atrybuty</w:t>
      </w:r>
    </w:p>
    <w:p w14:paraId="1FA4235D" w14:textId="63D37819" w:rsidR="00B92F28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9A0AE3">
        <w:t>, np.:</w:t>
      </w:r>
    </w:p>
    <w:p w14:paraId="03340BFB" w14:textId="702B8893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>&lt;xsd:complexType name="CT_Boolean"&gt;</w:t>
      </w:r>
    </w:p>
    <w:p w14:paraId="7EBC5E57" w14:textId="5480C175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 xml:space="preserve">  &lt;xsd:attribute name="val" type="xsd:boolean" use="optional" default="true"/&gt;</w:t>
      </w:r>
    </w:p>
    <w:p w14:paraId="1FB4CD92" w14:textId="5CCB9595" w:rsidR="00B92F28" w:rsidRPr="00B92F28" w:rsidRDefault="00B92F28" w:rsidP="00B92F28">
      <w:pPr>
        <w:pStyle w:val="SourceCode"/>
        <w:rPr>
          <w:rStyle w:val="NazwaProgramowa"/>
        </w:rPr>
      </w:pPr>
      <w:r w:rsidRPr="00B92F28">
        <w:rPr>
          <w:rStyle w:val="NazwaProgramowa"/>
        </w:rPr>
        <w:t>&lt;/xsd:complexType&gt;</w:t>
      </w:r>
    </w:p>
    <w:p w14:paraId="0C4491D0" w14:textId="12A4BEAF" w:rsidR="00B92F28" w:rsidRDefault="009A0AE3" w:rsidP="00B92F28">
      <w:pPr>
        <w:pStyle w:val="Wcicienormalne"/>
      </w:pPr>
      <w:r>
        <w:t xml:space="preserve">Encja </w:t>
      </w:r>
      <w:r w:rsidRPr="009A0AE3">
        <w:rPr>
          <w:rStyle w:val="NazwaProgramowa"/>
        </w:rPr>
        <w:t>SchemaAttribute</w:t>
      </w:r>
      <w:r>
        <w:t xml:space="preserve"> ma następujące właściwości:</w:t>
      </w:r>
    </w:p>
    <w:p w14:paraId="68CBACD8" w14:textId="77777777" w:rsidR="009A0AE3" w:rsidRDefault="009A0AE3" w:rsidP="009A0AE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CE3C5E" w14:textId="48EE0463" w:rsidR="00A9401B" w:rsidRDefault="00A9401B" w:rsidP="00A9401B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</w:t>
      </w:r>
      <w:r>
        <w:t>typu złożonego</w:t>
      </w:r>
      <w:r>
        <w:t>, w któr</w:t>
      </w:r>
      <w:r>
        <w:t>ym</w:t>
      </w:r>
      <w:r>
        <w:t xml:space="preserve"> jest </w:t>
      </w:r>
      <w:r>
        <w:t>zadeklarowany</w:t>
      </w:r>
      <w:r>
        <w:t xml:space="preserve"> dany </w:t>
      </w:r>
      <w:r>
        <w:t>atrybut</w:t>
      </w:r>
      <w:r>
        <w:t>,</w:t>
      </w:r>
    </w:p>
    <w:p w14:paraId="08E0FDD0" w14:textId="5035FAA6" w:rsidR="00A9401B" w:rsidRDefault="00A9401B" w:rsidP="00A9401B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</w:t>
      </w:r>
      <w:r>
        <w:t xml:space="preserve">alternatywnie stosowany </w:t>
      </w:r>
      <w:r>
        <w:t xml:space="preserve">identyfikator </w:t>
      </w:r>
      <w:r>
        <w:t>grupy atrybutów</w:t>
      </w:r>
      <w:r>
        <w:t>, w którym jest zadeklarowany dany atrybut,</w:t>
      </w:r>
    </w:p>
    <w:p w14:paraId="68B2CFE1" w14:textId="2E386B38" w:rsidR="009A0AE3" w:rsidRDefault="009A0AE3" w:rsidP="009A0AE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</w:t>
      </w:r>
      <w:r w:rsidR="00A9401B">
        <w:t xml:space="preserve">alternatywnie stosowany </w:t>
      </w:r>
      <w:r>
        <w:t xml:space="preserve">identyfikator przestrzeni nazw, w której jest zdefiniowany dany </w:t>
      </w:r>
      <w:r w:rsidR="00A9401B">
        <w:t>atrybut (dotyczy atrybutów globalnych)</w:t>
      </w:r>
      <w:r>
        <w:t>,</w:t>
      </w:r>
    </w:p>
    <w:p w14:paraId="57E44D98" w14:textId="1CEB9E59" w:rsidR="005E2360" w:rsidRDefault="005E2360" w:rsidP="005E2360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atrybutu redefiniowanego,</w:t>
      </w:r>
    </w:p>
    <w:p w14:paraId="78EFC232" w14:textId="18F49552" w:rsidR="005E2360" w:rsidRDefault="005E2360" w:rsidP="005E2360">
      <w:pPr>
        <w:pStyle w:val="Listapunktowana"/>
      </w:pPr>
      <w:r w:rsidRPr="005E2360">
        <w:rPr>
          <w:rStyle w:val="NazwaProgramowa"/>
        </w:rPr>
        <w:t>AttributeName: string</w:t>
      </w:r>
      <w:r>
        <w:t xml:space="preserve"> – nazwa deklarowanego atrybutu,</w:t>
      </w:r>
    </w:p>
    <w:p w14:paraId="5372AA8B" w14:textId="77777777" w:rsidR="005E2360" w:rsidRDefault="005E2360" w:rsidP="005E2360">
      <w:pPr>
        <w:pStyle w:val="Listapunktowana"/>
      </w:pPr>
      <w:r w:rsidRPr="005E2360">
        <w:rPr>
          <w:rStyle w:val="NazwaProgramowa"/>
        </w:rPr>
        <w:lastRenderedPageBreak/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typu atrybutu (pomijany, gdy typ atrybutu jest zdefiniowany w tej samej przestrzeni nazw),</w:t>
      </w:r>
    </w:p>
    <w:p w14:paraId="44A9CF46" w14:textId="7EFB3469" w:rsidR="009A0AE3" w:rsidRDefault="005E2360" w:rsidP="009A0AE3">
      <w:pPr>
        <w:pStyle w:val="Listapunktowana"/>
      </w:pPr>
      <w:r w:rsidRPr="005E2360">
        <w:rPr>
          <w:rStyle w:val="NazwaProgramowa"/>
        </w:rPr>
        <w:t>TypeName: string</w:t>
      </w:r>
      <w:r>
        <w:t xml:space="preserve"> – nazwa typu atrybutu,</w:t>
      </w:r>
    </w:p>
    <w:p w14:paraId="2D4BC57E" w14:textId="57E4EB1C" w:rsidR="005E2360" w:rsidRDefault="005E2360" w:rsidP="009A0AE3">
      <w:pPr>
        <w:pStyle w:val="Listapunktowana"/>
      </w:pPr>
      <w:r w:rsidRPr="005E2360">
        <w:rPr>
          <w:rStyle w:val="NazwaProgramowa"/>
        </w:rPr>
        <w:t>Use: AttributeUse</w:t>
      </w:r>
      <w:r>
        <w:t xml:space="preserve"> – sposób użycia atrybutu </w:t>
      </w:r>
      <w:r w:rsidRPr="005E2360">
        <w:rPr>
          <w:rStyle w:val="NazwaProgramowa"/>
        </w:rPr>
        <w:t>(Optional</w:t>
      </w:r>
      <w:r>
        <w:t xml:space="preserve">, </w:t>
      </w:r>
      <w:r w:rsidRPr="005E2360">
        <w:rPr>
          <w:rStyle w:val="NazwaProgramowa"/>
        </w:rPr>
        <w:t>Prohibited</w:t>
      </w:r>
      <w:r>
        <w:t xml:space="preserve">, </w:t>
      </w:r>
      <w:r w:rsidRPr="005E2360">
        <w:rPr>
          <w:rStyle w:val="NazwaProgramowa"/>
        </w:rPr>
        <w:t>Required</w:t>
      </w:r>
      <w:r>
        <w:t>),</w:t>
      </w:r>
    </w:p>
    <w:p w14:paraId="5B236F4D" w14:textId="704E80D3" w:rsidR="005E2360" w:rsidRDefault="005E2360" w:rsidP="009A0AE3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387011F8" w14:textId="06040A93" w:rsidR="005E2360" w:rsidRDefault="005E2360" w:rsidP="009A0AE3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</w:t>
      </w:r>
      <w:r w:rsidR="00364054">
        <w:t xml:space="preserve"> plikach XSD).</w:t>
      </w:r>
    </w:p>
    <w:p w14:paraId="6A72C103" w14:textId="4680F401" w:rsidR="00A734F0" w:rsidRDefault="00A734F0" w:rsidP="00A734F0">
      <w:pPr>
        <w:pStyle w:val="Wcicienormalne"/>
      </w:pPr>
      <w:r>
        <w:t xml:space="preserve">Jeśli 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827BEF">
        <w:t>ma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RefNamespaceId</w:t>
      </w:r>
      <w:r w:rsidR="00827BEF">
        <w:t xml:space="preserve">, to znaczy, że redefiniuje atrybut </w:t>
      </w:r>
      <w:r w:rsidR="00827BEF" w:rsidRPr="00827BEF">
        <w:t>zdefiniowany</w:t>
      </w:r>
      <w:r w:rsidR="00827BEF">
        <w:t xml:space="preserve"> w innej przestrzeni nazw</w:t>
      </w:r>
      <w:r w:rsidR="00C2557E">
        <w:t xml:space="preserve">, np. poniższa deklaracja redefiniuje atrybut globalny </w:t>
      </w:r>
      <w:r w:rsidR="00C2557E" w:rsidRPr="00C2557E">
        <w:rPr>
          <w:rStyle w:val="NazwaProgramowa"/>
        </w:rPr>
        <w:t>id</w:t>
      </w:r>
      <w:r w:rsidR="00C2557E">
        <w:t xml:space="preserve"> zdefiniowany w przestrzeni nazw </w:t>
      </w:r>
      <w:r w:rsidR="00C2557E" w:rsidRPr="00C2557E">
        <w:rPr>
          <w:rStyle w:val="NazwaProgramowa"/>
        </w:rPr>
        <w:t>http://purl.oclc.org/ooxml/</w:t>
      </w:r>
      <w:r w:rsidR="00C2557E">
        <w:rPr>
          <w:rStyle w:val="NazwaProgramowa"/>
          <w:rFonts w:ascii="Arial" w:hAnsi="Arial" w:cs="Arial"/>
        </w:rPr>
        <w:t> </w:t>
      </w:r>
      <w:r w:rsidR="00C2557E" w:rsidRPr="00C2557E">
        <w:rPr>
          <w:rStyle w:val="NazwaProgramowa"/>
        </w:rPr>
        <w:t>officeDocument/relationships</w:t>
      </w:r>
      <w:r w:rsidR="00C2557E">
        <w:t>:</w:t>
      </w:r>
    </w:p>
    <w:p w14:paraId="249DBB5E" w14:textId="65C1A027" w:rsidR="00C2557E" w:rsidRDefault="00C2557E" w:rsidP="00C2557E">
      <w:pPr>
        <w:pStyle w:val="SourceCode"/>
      </w:pPr>
      <w:r>
        <w:t>&lt;xsd:complexType name="CT_RelId"&gt;</w:t>
      </w:r>
    </w:p>
    <w:p w14:paraId="5229D087" w14:textId="732A7D33" w:rsidR="00C2557E" w:rsidRDefault="00C2557E" w:rsidP="00C2557E">
      <w:pPr>
        <w:pStyle w:val="SourceCode"/>
      </w:pPr>
      <w:r>
        <w:t xml:space="preserve">  &lt;xsd:attribute ref="r:id" use="required"/&gt;</w:t>
      </w:r>
    </w:p>
    <w:p w14:paraId="7742E986" w14:textId="10468971" w:rsidR="00C2557E" w:rsidRDefault="00C2557E" w:rsidP="00C2557E">
      <w:pPr>
        <w:pStyle w:val="SourceCode"/>
      </w:pPr>
      <w:r>
        <w:t>&lt;/xsd:complexType&gt;</w:t>
      </w:r>
    </w:p>
    <w:p w14:paraId="5132C768" w14:textId="77777777" w:rsidR="00C2557E" w:rsidRPr="00B92F28" w:rsidRDefault="00C2557E" w:rsidP="00C2557E">
      <w:pPr>
        <w:pStyle w:val="Wcicienormalne"/>
      </w:pPr>
    </w:p>
    <w:p w14:paraId="54BD9A72" w14:textId="20A0F66F" w:rsidR="00353EB0" w:rsidRDefault="00353EB0" w:rsidP="00353EB0">
      <w:pPr>
        <w:pStyle w:val="Nagwek3"/>
      </w:pPr>
      <w:r>
        <w:t>Grupy elementów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38C45884" w14:textId="6B06299F" w:rsidR="00353EB0" w:rsidRPr="00353EB0" w:rsidRDefault="00353EB0" w:rsidP="00353EB0">
      <w:pPr>
        <w:pStyle w:val="Nagwek3"/>
      </w:pPr>
      <w:r>
        <w:t>Atrybuty globalne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34764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9"/>
  </w:num>
  <w:num w:numId="11" w16cid:durableId="1721517412">
    <w:abstractNumId w:val="3"/>
  </w:num>
  <w:num w:numId="12" w16cid:durableId="1321273531">
    <w:abstractNumId w:val="9"/>
  </w:num>
  <w:num w:numId="13" w16cid:durableId="1227372468">
    <w:abstractNumId w:val="3"/>
  </w:num>
  <w:num w:numId="14" w16cid:durableId="679164998">
    <w:abstractNumId w:val="9"/>
  </w:num>
  <w:num w:numId="15" w16cid:durableId="407844329">
    <w:abstractNumId w:val="7"/>
  </w:num>
  <w:num w:numId="16" w16cid:durableId="1707214707">
    <w:abstractNumId w:val="7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7"/>
  </w:num>
  <w:num w:numId="20" w16cid:durableId="777792372">
    <w:abstractNumId w:val="7"/>
  </w:num>
  <w:num w:numId="21" w16cid:durableId="783768167">
    <w:abstractNumId w:val="7"/>
  </w:num>
  <w:num w:numId="22" w16cid:durableId="2072461642">
    <w:abstractNumId w:val="7"/>
  </w:num>
  <w:num w:numId="23" w16cid:durableId="1911235958">
    <w:abstractNumId w:val="7"/>
  </w:num>
  <w:num w:numId="24" w16cid:durableId="1598322017">
    <w:abstractNumId w:val="7"/>
  </w:num>
  <w:num w:numId="25" w16cid:durableId="1583562347">
    <w:abstractNumId w:val="7"/>
  </w:num>
  <w:num w:numId="26" w16cid:durableId="1164593285">
    <w:abstractNumId w:val="7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7"/>
  </w:num>
  <w:num w:numId="30" w16cid:durableId="492450954">
    <w:abstractNumId w:val="7"/>
  </w:num>
  <w:num w:numId="31" w16cid:durableId="1526554514">
    <w:abstractNumId w:val="7"/>
  </w:num>
  <w:num w:numId="32" w16cid:durableId="637691709">
    <w:abstractNumId w:val="7"/>
  </w:num>
  <w:num w:numId="33" w16cid:durableId="466819881">
    <w:abstractNumId w:val="6"/>
  </w:num>
  <w:num w:numId="34" w16cid:durableId="104282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3823"/>
    <w:rsid w:val="00024DD4"/>
    <w:rsid w:val="000312A0"/>
    <w:rsid w:val="00036EC8"/>
    <w:rsid w:val="00046787"/>
    <w:rsid w:val="00046C7A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586C"/>
    <w:rsid w:val="001C6E6F"/>
    <w:rsid w:val="001D1920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5F"/>
    <w:rsid w:val="00261D69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C7D"/>
    <w:rsid w:val="00364054"/>
    <w:rsid w:val="003668F4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25BF"/>
    <w:rsid w:val="00533201"/>
    <w:rsid w:val="00534D3F"/>
    <w:rsid w:val="00536A53"/>
    <w:rsid w:val="00543FA2"/>
    <w:rsid w:val="005460F6"/>
    <w:rsid w:val="00551B72"/>
    <w:rsid w:val="00554DED"/>
    <w:rsid w:val="00561172"/>
    <w:rsid w:val="0056231A"/>
    <w:rsid w:val="005835F1"/>
    <w:rsid w:val="005914EB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30CDC"/>
    <w:rsid w:val="00741C8C"/>
    <w:rsid w:val="00756E55"/>
    <w:rsid w:val="00761A16"/>
    <w:rsid w:val="00764D00"/>
    <w:rsid w:val="00766415"/>
    <w:rsid w:val="007711AA"/>
    <w:rsid w:val="00773B05"/>
    <w:rsid w:val="007744CE"/>
    <w:rsid w:val="00784517"/>
    <w:rsid w:val="00787971"/>
    <w:rsid w:val="00790574"/>
    <w:rsid w:val="00790E05"/>
    <w:rsid w:val="007A47FD"/>
    <w:rsid w:val="007B6691"/>
    <w:rsid w:val="007C2957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5565"/>
    <w:rsid w:val="008176FF"/>
    <w:rsid w:val="00826FA0"/>
    <w:rsid w:val="00827BEF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38EF"/>
    <w:rsid w:val="00A368A0"/>
    <w:rsid w:val="00A374DA"/>
    <w:rsid w:val="00A4219E"/>
    <w:rsid w:val="00A42EDA"/>
    <w:rsid w:val="00A465A7"/>
    <w:rsid w:val="00A501BB"/>
    <w:rsid w:val="00A54332"/>
    <w:rsid w:val="00A55307"/>
    <w:rsid w:val="00A57944"/>
    <w:rsid w:val="00A609DF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7D40"/>
    <w:rsid w:val="00AA3E88"/>
    <w:rsid w:val="00AA5214"/>
    <w:rsid w:val="00AB25B5"/>
    <w:rsid w:val="00AB2763"/>
    <w:rsid w:val="00AC11D8"/>
    <w:rsid w:val="00AC1828"/>
    <w:rsid w:val="00AC5A7F"/>
    <w:rsid w:val="00AD19BC"/>
    <w:rsid w:val="00AD6B20"/>
    <w:rsid w:val="00AE176C"/>
    <w:rsid w:val="00AF046F"/>
    <w:rsid w:val="00AF6CA4"/>
    <w:rsid w:val="00AF7FF8"/>
    <w:rsid w:val="00B02BC8"/>
    <w:rsid w:val="00B10C8E"/>
    <w:rsid w:val="00B13F28"/>
    <w:rsid w:val="00B22FFD"/>
    <w:rsid w:val="00B32CD9"/>
    <w:rsid w:val="00B35EF3"/>
    <w:rsid w:val="00B43AF0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12AE"/>
    <w:rsid w:val="00B92F28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2557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65CB1"/>
    <w:rsid w:val="00C70B54"/>
    <w:rsid w:val="00C7483D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4405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2555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F76"/>
    <w:rsid w:val="00F74BBD"/>
    <w:rsid w:val="00F85B3B"/>
    <w:rsid w:val="00F92731"/>
    <w:rsid w:val="00F94EDC"/>
    <w:rsid w:val="00FA01AE"/>
    <w:rsid w:val="00FB10C9"/>
    <w:rsid w:val="00FB1E23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12</Pages>
  <Words>3164</Words>
  <Characters>18985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98</cp:revision>
  <dcterms:created xsi:type="dcterms:W3CDTF">2024-06-09T20:00:00Z</dcterms:created>
  <dcterms:modified xsi:type="dcterms:W3CDTF">2024-06-21T19:02:00Z</dcterms:modified>
</cp:coreProperties>
</file>