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70C1" w14:textId="77777777" w:rsidR="005E04FA" w:rsidRPr="005E04FA" w:rsidRDefault="005E04FA" w:rsidP="005E04FA">
      <w:pPr>
        <w:pStyle w:val="MDPI21heading1"/>
        <w:rPr>
          <w:bCs/>
          <w:szCs w:val="24"/>
        </w:rPr>
      </w:pPr>
      <w:bookmarkStart w:id="0" w:name="_Hlk181004646"/>
      <w:r w:rsidRPr="005E04FA">
        <w:rPr>
          <w:bCs/>
          <w:szCs w:val="24"/>
        </w:rPr>
        <w:t>Appendix A. Extended Landscape of Existing AI Infrastructure Metric Families</w:t>
      </w:r>
    </w:p>
    <w:p w14:paraId="23803D75" w14:textId="77777777" w:rsidR="005E04FA" w:rsidRPr="005E04FA" w:rsidRDefault="005E04FA" w:rsidP="005E04FA">
      <w:pPr>
        <w:pStyle w:val="MDPI31text"/>
        <w:spacing w:line="280" w:lineRule="exact"/>
        <w:jc w:val="left"/>
        <w:rPr>
          <w:lang w:val="en"/>
        </w:rPr>
      </w:pPr>
      <w:r w:rsidRPr="005E04FA">
        <w:rPr>
          <w:lang w:val="en"/>
        </w:rPr>
        <w:t>AI infrastructure metrics did not emerge from a single analytical tradition. They were developed in different engineering, computing, and economic communities, often for different operational purposes and under different measurement boundaries. As a result, the current landscape is rich but heterogeneous. The objective of this appendix is not to provide an exhaustive catalogue of all available indicators, but to document the principal metric families that most directly affect capital intensity, operating expenditure, lifecycle cost, risk exposure, productivity, and sustainability-linked financial outcomes in modern AI infrastructure.</w:t>
      </w:r>
    </w:p>
    <w:p w14:paraId="09C284D4" w14:textId="77777777" w:rsidR="005E04FA" w:rsidRPr="005E04FA" w:rsidRDefault="005E04FA" w:rsidP="005E04FA">
      <w:pPr>
        <w:pStyle w:val="MDPI31text"/>
        <w:spacing w:line="280" w:lineRule="exact"/>
        <w:jc w:val="left"/>
        <w:rPr>
          <w:lang w:val="en"/>
        </w:rPr>
      </w:pPr>
      <w:r w:rsidRPr="005E04FA">
        <w:rPr>
          <w:lang w:val="en"/>
        </w:rPr>
        <w:t>This appendix serves two purposes. First, it provides a compact reference map for the major metric families discussed in the main text. Second, it makes explicit why these families, although individually useful, do not by themselves provide a decision-ready system for cross-layer planning, boundary-consistent comparison, or traceable metric synthesis.</w:t>
      </w:r>
    </w:p>
    <w:p w14:paraId="066E7766" w14:textId="77777777" w:rsidR="005E04FA" w:rsidRPr="005E04FA" w:rsidRDefault="005E04FA" w:rsidP="005E04FA">
      <w:pPr>
        <w:pStyle w:val="MDPI31text"/>
        <w:spacing w:line="280" w:lineRule="exact"/>
        <w:jc w:val="left"/>
        <w:rPr>
          <w:b/>
          <w:bCs/>
          <w:lang w:val="en"/>
        </w:rPr>
      </w:pPr>
      <w:r w:rsidRPr="005E04FA">
        <w:rPr>
          <w:b/>
          <w:bCs/>
          <w:lang w:val="en"/>
        </w:rPr>
        <w:t>A.1. Facility efficiency and resource-overhead metrics</w:t>
      </w:r>
    </w:p>
    <w:p w14:paraId="56E72CA1" w14:textId="77777777" w:rsidR="005E04FA" w:rsidRPr="005E04FA" w:rsidRDefault="005E04FA" w:rsidP="005E04FA">
      <w:pPr>
        <w:pStyle w:val="MDPI31text"/>
        <w:spacing w:line="280" w:lineRule="exact"/>
        <w:jc w:val="left"/>
        <w:rPr>
          <w:lang w:val="en"/>
        </w:rPr>
      </w:pPr>
      <w:r w:rsidRPr="005E04FA">
        <w:rPr>
          <w:lang w:val="en"/>
        </w:rPr>
        <w:t xml:space="preserve">One major family originates in data-center engineering and thermodynamics. These metrics focus on how much non-IT overhead is required to support IT load, especially through power conversion, cooling, water use, and heat rejection. The best-known examples are the </w:t>
      </w:r>
      <w:proofErr w:type="spellStart"/>
      <w:r w:rsidRPr="005E04FA">
        <w:rPr>
          <w:lang w:val="en"/>
        </w:rPr>
        <w:t>xUE</w:t>
      </w:r>
      <w:proofErr w:type="spellEnd"/>
      <w:r w:rsidRPr="005E04FA">
        <w:rPr>
          <w:lang w:val="en"/>
        </w:rPr>
        <w:t xml:space="preserve"> family, including power usage effectiveness (PUE), water usage effectiveness (WUE), carbon usage effectiveness (CUE), and energy reuse effectiveness (ERE). Related indicators include cooling power ratio, thermal design margin, and other measures of facility overhead and thermodynamic constraint.</w:t>
      </w:r>
    </w:p>
    <w:p w14:paraId="7DA7F0E4" w14:textId="77777777" w:rsidR="005E04FA" w:rsidRPr="005E04FA" w:rsidRDefault="005E04FA" w:rsidP="005E04FA">
      <w:pPr>
        <w:pStyle w:val="MDPI31text"/>
        <w:spacing w:line="280" w:lineRule="exact"/>
        <w:jc w:val="left"/>
        <w:rPr>
          <w:lang w:val="en"/>
        </w:rPr>
      </w:pPr>
      <w:r w:rsidRPr="005E04FA">
        <w:rPr>
          <w:lang w:val="en"/>
        </w:rPr>
        <w:t xml:space="preserve">These metrics are economically important because they shape recurring operating </w:t>
      </w:r>
      <w:proofErr w:type="gramStart"/>
      <w:r w:rsidRPr="005E04FA">
        <w:rPr>
          <w:lang w:val="en"/>
        </w:rPr>
        <w:t>cost</w:t>
      </w:r>
      <w:proofErr w:type="gramEnd"/>
      <w:r w:rsidRPr="005E04FA">
        <w:rPr>
          <w:lang w:val="en"/>
        </w:rPr>
        <w:t xml:space="preserve"> and infrastructure requirements. A change in PUE, for example, directly changes the amount of purchased electricity required to support a fixed IT load, which in turn affects electricity expenditure, cooling-related </w:t>
      </w:r>
      <w:proofErr w:type="spellStart"/>
      <w:r w:rsidRPr="005E04FA">
        <w:rPr>
          <w:lang w:val="en"/>
        </w:rPr>
        <w:t>OpEx</w:t>
      </w:r>
      <w:proofErr w:type="spellEnd"/>
      <w:r w:rsidRPr="005E04FA">
        <w:rPr>
          <w:lang w:val="en"/>
        </w:rPr>
        <w:t xml:space="preserve">, carbon-valued exposure, and in some cases future cooling </w:t>
      </w:r>
      <w:proofErr w:type="spellStart"/>
      <w:r w:rsidRPr="005E04FA">
        <w:rPr>
          <w:lang w:val="en"/>
        </w:rPr>
        <w:t>CapEx</w:t>
      </w:r>
      <w:proofErr w:type="spellEnd"/>
      <w:r w:rsidRPr="005E04FA">
        <w:rPr>
          <w:lang w:val="en"/>
        </w:rPr>
        <w:t>. WUE and related water-intensity measures matter when cooling feasibility is constrained by water availability, water rights, or local environmental regulation.</w:t>
      </w:r>
    </w:p>
    <w:p w14:paraId="2ED15F9A" w14:textId="3F331D6E" w:rsidR="005E04FA" w:rsidRPr="005E04FA" w:rsidRDefault="005E04FA" w:rsidP="005E04FA">
      <w:pPr>
        <w:pStyle w:val="MDPI31text"/>
        <w:spacing w:line="280" w:lineRule="exact"/>
        <w:jc w:val="left"/>
        <w:rPr>
          <w:rFonts w:eastAsiaTheme="minorEastAsia" w:hint="eastAsia"/>
          <w:lang w:val="en" w:eastAsia="zh-CN"/>
        </w:rPr>
      </w:pPr>
      <w:r w:rsidRPr="005E04FA">
        <w:rPr>
          <w:lang w:val="en"/>
        </w:rPr>
        <w:t>At the same time, facility metrics are limited by their boundary. They describe physical overhead at the facility level, but they do not explain whether an observed change in energy use or cost is driven by facility design, workload behavior, hardware utilization, grid conditions, or some interaction among them. They are therefore informative but incomplete when the goal is system-level planning rather than isolated facility benchmarking.</w:t>
      </w:r>
      <w:r>
        <w:rPr>
          <w:rFonts w:eastAsiaTheme="minorEastAsia" w:hint="eastAsia"/>
          <w:lang w:val="en" w:eastAsia="zh-CN"/>
        </w:rPr>
        <w:t xml:space="preserve"> </w:t>
      </w:r>
      <w:r w:rsidRPr="005E04FA">
        <w:rPr>
          <w:rFonts w:eastAsiaTheme="minorEastAsia"/>
          <w:lang w:eastAsia="zh-CN"/>
        </w:rPr>
        <w:t>Table A1 provides a compact cross-</w:t>
      </w:r>
      <w:r w:rsidRPr="005E04FA">
        <w:rPr>
          <w:rFonts w:eastAsiaTheme="minorEastAsia"/>
          <w:lang w:eastAsia="zh-CN"/>
        </w:rPr>
        <w:lastRenderedPageBreak/>
        <w:t>family summary of the principal metric traditions, their primary analytical focus, and their decision relevance.</w:t>
      </w:r>
    </w:p>
    <w:p w14:paraId="1D34E44C" w14:textId="77777777" w:rsidR="005E04FA" w:rsidRPr="00B622DA" w:rsidRDefault="005E04FA" w:rsidP="005E04FA">
      <w:pPr>
        <w:pStyle w:val="MDPI41tablecaption"/>
        <w:rPr>
          <w:lang w:val="en"/>
        </w:rPr>
      </w:pPr>
      <w:r w:rsidRPr="00D21AD6">
        <w:rPr>
          <w:b/>
        </w:rPr>
        <w:t xml:space="preserve">Table 1. </w:t>
      </w:r>
      <w:proofErr w:type="gramStart"/>
      <w:r w:rsidRPr="00BF05D5">
        <w:rPr>
          <w:snapToGrid w:val="0"/>
          <w:lang w:val="en"/>
        </w:rPr>
        <w:t>Economically-Relevant</w:t>
      </w:r>
      <w:proofErr w:type="gramEnd"/>
      <w:r w:rsidRPr="00BF05D5">
        <w:rPr>
          <w:snapToGrid w:val="0"/>
          <w:lang w:val="en"/>
        </w:rPr>
        <w:t xml:space="preserve"> Families of AI Infrastructure Metrics and Their Technical Origins</w:t>
      </w:r>
    </w:p>
    <w:tbl>
      <w:tblPr>
        <w:tblW w:w="8217"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54"/>
        <w:gridCol w:w="1984"/>
        <w:gridCol w:w="1418"/>
        <w:gridCol w:w="1701"/>
      </w:tblGrid>
      <w:tr w:rsidR="005E04FA" w14:paraId="75E9BA35" w14:textId="77777777" w:rsidTr="00DC0531">
        <w:trPr>
          <w:trHeight w:val="74"/>
          <w:jc w:val="right"/>
        </w:trPr>
        <w:tc>
          <w:tcPr>
            <w:tcW w:w="1560" w:type="dxa"/>
            <w:vAlign w:val="center"/>
          </w:tcPr>
          <w:p w14:paraId="1126F4D4"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Metric Family</w:t>
            </w:r>
          </w:p>
        </w:tc>
        <w:tc>
          <w:tcPr>
            <w:tcW w:w="1554" w:type="dxa"/>
            <w:vAlign w:val="center"/>
          </w:tcPr>
          <w:p w14:paraId="1E8B2BDB"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Originating Discipline</w:t>
            </w:r>
          </w:p>
        </w:tc>
        <w:tc>
          <w:tcPr>
            <w:tcW w:w="1984" w:type="dxa"/>
            <w:vAlign w:val="center"/>
          </w:tcPr>
          <w:p w14:paraId="5C1E24EF" w14:textId="77777777" w:rsidR="005E04FA" w:rsidRDefault="005E04FA" w:rsidP="00DC0531">
            <w:pPr>
              <w:spacing w:line="160" w:lineRule="exact"/>
              <w:jc w:val="center"/>
              <w:rPr>
                <w:rFonts w:ascii="Times New Roman" w:eastAsia="Times New Roman" w:hAnsi="Times New Roman"/>
                <w:b/>
                <w:bCs/>
                <w:sz w:val="14"/>
                <w:szCs w:val="14"/>
              </w:rPr>
            </w:pPr>
            <w:proofErr w:type="gramStart"/>
            <w:r>
              <w:rPr>
                <w:rFonts w:ascii="Times New Roman" w:eastAsia="Times New Roman" w:hAnsi="Times New Roman"/>
                <w:b/>
                <w:bCs/>
                <w:sz w:val="14"/>
                <w:szCs w:val="14"/>
              </w:rPr>
              <w:t>Economic</w:t>
            </w:r>
            <w:proofErr w:type="gramEnd"/>
            <w:r>
              <w:rPr>
                <w:rFonts w:ascii="Times New Roman" w:eastAsia="Times New Roman" w:hAnsi="Times New Roman"/>
                <w:b/>
                <w:bCs/>
                <w:sz w:val="14"/>
                <w:szCs w:val="14"/>
              </w:rPr>
              <w:t xml:space="preserve"> / Financial Relevance</w:t>
            </w:r>
          </w:p>
        </w:tc>
        <w:tc>
          <w:tcPr>
            <w:tcW w:w="1418" w:type="dxa"/>
            <w:vAlign w:val="center"/>
          </w:tcPr>
          <w:p w14:paraId="0B7BBD65"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Measurement Boundary</w:t>
            </w:r>
          </w:p>
        </w:tc>
        <w:tc>
          <w:tcPr>
            <w:tcW w:w="1701" w:type="dxa"/>
            <w:vAlign w:val="center"/>
          </w:tcPr>
          <w:p w14:paraId="251D73A1"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Representative Metrics (Examples)</w:t>
            </w:r>
          </w:p>
        </w:tc>
      </w:tr>
      <w:tr w:rsidR="005E04FA" w14:paraId="33D985ED" w14:textId="77777777" w:rsidTr="00DC0531">
        <w:trPr>
          <w:trHeight w:val="605"/>
          <w:jc w:val="right"/>
        </w:trPr>
        <w:tc>
          <w:tcPr>
            <w:tcW w:w="1560" w:type="dxa"/>
            <w:vAlign w:val="center"/>
          </w:tcPr>
          <w:p w14:paraId="2299717A" w14:textId="77777777" w:rsidR="005E04FA" w:rsidRDefault="005E04FA" w:rsidP="00DC0531">
            <w:pPr>
              <w:spacing w:line="160" w:lineRule="exact"/>
              <w:jc w:val="left"/>
              <w:rPr>
                <w:rFonts w:ascii="Times New Roman" w:eastAsia="Times New Roman" w:hAnsi="Times New Roman"/>
                <w:b/>
                <w:bCs/>
                <w:sz w:val="14"/>
                <w:szCs w:val="14"/>
              </w:rPr>
            </w:pPr>
            <w:r>
              <w:rPr>
                <w:rFonts w:ascii="Times New Roman" w:eastAsia="Times New Roman" w:hAnsi="Times New Roman"/>
                <w:b/>
                <w:bCs/>
                <w:sz w:val="14"/>
                <w:szCs w:val="14"/>
              </w:rPr>
              <w:t>Facility Efficiency &amp; Resource Overhead Metrics</w:t>
            </w:r>
          </w:p>
        </w:tc>
        <w:tc>
          <w:tcPr>
            <w:tcW w:w="1554" w:type="dxa"/>
            <w:vAlign w:val="center"/>
          </w:tcPr>
          <w:p w14:paraId="73A31049"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Data center engineering; ISO/IEC 30134; ASHRAE Datacom</w:t>
            </w:r>
          </w:p>
        </w:tc>
        <w:tc>
          <w:tcPr>
            <w:tcW w:w="1984" w:type="dxa"/>
            <w:vAlign w:val="center"/>
          </w:tcPr>
          <w:p w14:paraId="51B4BED9"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xml:space="preserve">Determines facility </w:t>
            </w:r>
            <w:proofErr w:type="spellStart"/>
            <w:r>
              <w:rPr>
                <w:rFonts w:ascii="Times New Roman" w:eastAsia="Times New Roman" w:hAnsi="Times New Roman"/>
                <w:sz w:val="14"/>
                <w:szCs w:val="14"/>
              </w:rPr>
              <w:t>OpEx</w:t>
            </w:r>
            <w:proofErr w:type="spellEnd"/>
            <w:r>
              <w:rPr>
                <w:rFonts w:ascii="Times New Roman" w:eastAsia="Times New Roman" w:hAnsi="Times New Roman"/>
                <w:sz w:val="14"/>
                <w:szCs w:val="14"/>
              </w:rPr>
              <w:t>, cooling cost, energy procurement exposure, carbon-embedded cost</w:t>
            </w:r>
          </w:p>
        </w:tc>
        <w:tc>
          <w:tcPr>
            <w:tcW w:w="1418" w:type="dxa"/>
            <w:vAlign w:val="center"/>
          </w:tcPr>
          <w:p w14:paraId="1E0A6E44"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Facility physical infra (power, cooling, water, heat rejection)</w:t>
            </w:r>
          </w:p>
        </w:tc>
        <w:tc>
          <w:tcPr>
            <w:tcW w:w="1701" w:type="dxa"/>
            <w:vAlign w:val="center"/>
          </w:tcPr>
          <w:p w14:paraId="1134DB9B"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PUE, WUE, CUE, ERE; Cooling Power Ratio; Thermal Design Margin</w:t>
            </w:r>
          </w:p>
        </w:tc>
      </w:tr>
      <w:tr w:rsidR="005E04FA" w14:paraId="19C41AB9" w14:textId="77777777" w:rsidTr="00DC0531">
        <w:trPr>
          <w:trHeight w:val="567"/>
          <w:jc w:val="right"/>
        </w:trPr>
        <w:tc>
          <w:tcPr>
            <w:tcW w:w="1560" w:type="dxa"/>
            <w:vAlign w:val="center"/>
          </w:tcPr>
          <w:p w14:paraId="3AF3ACEA" w14:textId="77777777" w:rsidR="005E04FA" w:rsidRDefault="005E04FA" w:rsidP="00DC0531">
            <w:pPr>
              <w:spacing w:line="160" w:lineRule="exact"/>
              <w:jc w:val="left"/>
              <w:rPr>
                <w:rFonts w:ascii="Times New Roman" w:eastAsia="Times New Roman" w:hAnsi="Times New Roman"/>
                <w:b/>
                <w:bCs/>
                <w:sz w:val="14"/>
                <w:szCs w:val="14"/>
              </w:rPr>
            </w:pPr>
            <w:proofErr w:type="gramStart"/>
            <w:r>
              <w:rPr>
                <w:rFonts w:ascii="Times New Roman" w:eastAsia="Times New Roman" w:hAnsi="Times New Roman"/>
                <w:b/>
                <w:bCs/>
                <w:sz w:val="14"/>
                <w:szCs w:val="14"/>
              </w:rPr>
              <w:t>Compute</w:t>
            </w:r>
            <w:proofErr w:type="gramEnd"/>
            <w:r>
              <w:rPr>
                <w:rFonts w:ascii="Times New Roman" w:eastAsia="Times New Roman" w:hAnsi="Times New Roman"/>
                <w:b/>
                <w:bCs/>
                <w:sz w:val="14"/>
                <w:szCs w:val="14"/>
              </w:rPr>
              <w:t xml:space="preserve"> Efficiency &amp; Device-Level Performance Metrics</w:t>
            </w:r>
          </w:p>
        </w:tc>
        <w:tc>
          <w:tcPr>
            <w:tcW w:w="1554" w:type="dxa"/>
            <w:vAlign w:val="center"/>
          </w:tcPr>
          <w:p w14:paraId="313D625A"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HPC benchmarking; GPU/TPU architecture; accelerator design</w:t>
            </w:r>
          </w:p>
        </w:tc>
        <w:tc>
          <w:tcPr>
            <w:tcW w:w="1984" w:type="dxa"/>
            <w:vAlign w:val="center"/>
          </w:tcPr>
          <w:p w14:paraId="1AF2EC44"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xml:space="preserve">Directly shapes compute-per-dollar, job duration, amortization rate of </w:t>
            </w:r>
            <w:proofErr w:type="spellStart"/>
            <w:r>
              <w:rPr>
                <w:rFonts w:ascii="Times New Roman" w:eastAsia="Times New Roman" w:hAnsi="Times New Roman"/>
                <w:sz w:val="14"/>
                <w:szCs w:val="14"/>
              </w:rPr>
              <w:t>CapEx</w:t>
            </w:r>
            <w:proofErr w:type="spellEnd"/>
            <w:r>
              <w:rPr>
                <w:rFonts w:ascii="Times New Roman" w:eastAsia="Times New Roman" w:hAnsi="Times New Roman"/>
                <w:sz w:val="14"/>
                <w:szCs w:val="14"/>
              </w:rPr>
              <w:t>, marginal cost of compute</w:t>
            </w:r>
          </w:p>
        </w:tc>
        <w:tc>
          <w:tcPr>
            <w:tcW w:w="1418" w:type="dxa"/>
            <w:vAlign w:val="center"/>
          </w:tcPr>
          <w:p w14:paraId="745EB0CF"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xml:space="preserve">Chip, GPU/TPU, node-level </w:t>
            </w:r>
            <w:proofErr w:type="spellStart"/>
            <w:r>
              <w:rPr>
                <w:rFonts w:ascii="Times New Roman" w:eastAsia="Times New Roman" w:hAnsi="Times New Roman"/>
                <w:sz w:val="14"/>
                <w:szCs w:val="14"/>
              </w:rPr>
              <w:t>compute</w:t>
            </w:r>
            <w:proofErr w:type="spellEnd"/>
            <w:r>
              <w:rPr>
                <w:rFonts w:ascii="Times New Roman" w:eastAsia="Times New Roman" w:hAnsi="Times New Roman"/>
                <w:sz w:val="14"/>
                <w:szCs w:val="14"/>
              </w:rPr>
              <w:t xml:space="preserve"> hardware</w:t>
            </w:r>
          </w:p>
        </w:tc>
        <w:tc>
          <w:tcPr>
            <w:tcW w:w="1701" w:type="dxa"/>
            <w:vAlign w:val="center"/>
          </w:tcPr>
          <w:p w14:paraId="6FB1F9AB"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FLOPs/W, joules per token, tokens/J, accelerator utilization, thermal throttling indicators</w:t>
            </w:r>
          </w:p>
        </w:tc>
      </w:tr>
      <w:tr w:rsidR="005E04FA" w14:paraId="1FA7DB61" w14:textId="77777777" w:rsidTr="00DC0531">
        <w:trPr>
          <w:trHeight w:val="850"/>
          <w:jc w:val="right"/>
        </w:trPr>
        <w:tc>
          <w:tcPr>
            <w:tcW w:w="1560" w:type="dxa"/>
            <w:vAlign w:val="center"/>
          </w:tcPr>
          <w:p w14:paraId="1341D997" w14:textId="77777777" w:rsidR="005E04FA" w:rsidRDefault="005E04FA" w:rsidP="00DC0531">
            <w:pPr>
              <w:spacing w:line="160" w:lineRule="exact"/>
              <w:jc w:val="left"/>
              <w:rPr>
                <w:rFonts w:ascii="Times New Roman" w:eastAsia="Times New Roman" w:hAnsi="Times New Roman"/>
                <w:b/>
                <w:bCs/>
                <w:sz w:val="14"/>
                <w:szCs w:val="14"/>
              </w:rPr>
            </w:pPr>
            <w:r>
              <w:rPr>
                <w:rFonts w:ascii="Times New Roman" w:eastAsia="Times New Roman" w:hAnsi="Times New Roman"/>
                <w:b/>
                <w:bCs/>
                <w:sz w:val="14"/>
                <w:szCs w:val="14"/>
              </w:rPr>
              <w:t>ML System / Workload Execution Metrics</w:t>
            </w:r>
          </w:p>
        </w:tc>
        <w:tc>
          <w:tcPr>
            <w:tcW w:w="1554" w:type="dxa"/>
            <w:vAlign w:val="center"/>
          </w:tcPr>
          <w:p w14:paraId="60453A0A"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xml:space="preserve">Distributed training systems; </w:t>
            </w:r>
            <w:proofErr w:type="spellStart"/>
            <w:r>
              <w:rPr>
                <w:rFonts w:ascii="Times New Roman" w:eastAsia="Times New Roman" w:hAnsi="Times New Roman"/>
                <w:sz w:val="14"/>
                <w:szCs w:val="14"/>
              </w:rPr>
              <w:t>MLPerf</w:t>
            </w:r>
            <w:proofErr w:type="spellEnd"/>
            <w:r>
              <w:rPr>
                <w:rFonts w:ascii="Times New Roman" w:eastAsia="Times New Roman" w:hAnsi="Times New Roman"/>
                <w:sz w:val="14"/>
                <w:szCs w:val="14"/>
              </w:rPr>
              <w:t>; model-serving research</w:t>
            </w:r>
          </w:p>
        </w:tc>
        <w:tc>
          <w:tcPr>
            <w:tcW w:w="1984" w:type="dxa"/>
            <w:vAlign w:val="center"/>
          </w:tcPr>
          <w:p w14:paraId="5AD076B6"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xml:space="preserve">Determines productivity cost (developer-time), job completion time (affects </w:t>
            </w:r>
            <w:proofErr w:type="spellStart"/>
            <w:r>
              <w:rPr>
                <w:rFonts w:ascii="Times New Roman" w:eastAsia="Times New Roman" w:hAnsi="Times New Roman"/>
                <w:sz w:val="14"/>
                <w:szCs w:val="14"/>
              </w:rPr>
              <w:t>OpEx</w:t>
            </w:r>
            <w:proofErr w:type="spellEnd"/>
            <w:r>
              <w:rPr>
                <w:rFonts w:ascii="Times New Roman" w:eastAsia="Times New Roman" w:hAnsi="Times New Roman"/>
                <w:sz w:val="14"/>
                <w:szCs w:val="14"/>
              </w:rPr>
              <w:t>), scheduling efficiency, cost/training-run</w:t>
            </w:r>
          </w:p>
        </w:tc>
        <w:tc>
          <w:tcPr>
            <w:tcW w:w="1418" w:type="dxa"/>
            <w:vAlign w:val="center"/>
          </w:tcPr>
          <w:p w14:paraId="0A66FF3C"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Job-level, pipeline-level, distributed runtime</w:t>
            </w:r>
          </w:p>
        </w:tc>
        <w:tc>
          <w:tcPr>
            <w:tcW w:w="1701" w:type="dxa"/>
            <w:vAlign w:val="center"/>
          </w:tcPr>
          <w:p w14:paraId="2C5A4F7B" w14:textId="77777777" w:rsidR="005E04FA" w:rsidRDefault="005E04FA" w:rsidP="00DC0531">
            <w:pPr>
              <w:spacing w:line="160" w:lineRule="exact"/>
              <w:jc w:val="left"/>
              <w:rPr>
                <w:rFonts w:ascii="Times New Roman" w:eastAsia="Times New Roman" w:hAnsi="Times New Roman"/>
                <w:sz w:val="14"/>
                <w:szCs w:val="14"/>
              </w:rPr>
            </w:pPr>
            <w:proofErr w:type="spellStart"/>
            <w:r>
              <w:rPr>
                <w:rFonts w:ascii="Times New Roman" w:eastAsia="Times New Roman" w:hAnsi="Times New Roman"/>
                <w:sz w:val="14"/>
                <w:szCs w:val="14"/>
              </w:rPr>
              <w:t>MLPerf</w:t>
            </w:r>
            <w:proofErr w:type="spellEnd"/>
            <w:r>
              <w:rPr>
                <w:rFonts w:ascii="Times New Roman" w:eastAsia="Times New Roman" w:hAnsi="Times New Roman"/>
                <w:sz w:val="14"/>
                <w:szCs w:val="14"/>
              </w:rPr>
              <w:t xml:space="preserve"> throughput; time-to-convergence; inference latency; inference/request; idle energy overhead</w:t>
            </w:r>
          </w:p>
        </w:tc>
      </w:tr>
      <w:tr w:rsidR="005E04FA" w14:paraId="726F7611" w14:textId="77777777" w:rsidTr="00DC0531">
        <w:trPr>
          <w:trHeight w:val="752"/>
          <w:jc w:val="right"/>
        </w:trPr>
        <w:tc>
          <w:tcPr>
            <w:tcW w:w="1560" w:type="dxa"/>
            <w:vAlign w:val="center"/>
          </w:tcPr>
          <w:p w14:paraId="0597ECD6" w14:textId="77777777" w:rsidR="005E04FA" w:rsidRDefault="005E04FA" w:rsidP="00DC0531">
            <w:pPr>
              <w:spacing w:line="160" w:lineRule="exact"/>
              <w:jc w:val="left"/>
              <w:rPr>
                <w:rFonts w:ascii="Times New Roman" w:eastAsia="Times New Roman" w:hAnsi="Times New Roman"/>
                <w:b/>
                <w:bCs/>
                <w:sz w:val="14"/>
                <w:szCs w:val="14"/>
              </w:rPr>
            </w:pPr>
            <w:r>
              <w:rPr>
                <w:rFonts w:ascii="Times New Roman" w:eastAsia="Times New Roman" w:hAnsi="Times New Roman"/>
                <w:b/>
                <w:bCs/>
                <w:sz w:val="14"/>
                <w:szCs w:val="14"/>
              </w:rPr>
              <w:t>Economic &amp; Lifecycle Cost Metrics</w:t>
            </w:r>
          </w:p>
        </w:tc>
        <w:tc>
          <w:tcPr>
            <w:tcW w:w="1554" w:type="dxa"/>
            <w:vAlign w:val="center"/>
          </w:tcPr>
          <w:p w14:paraId="306583FE"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Cloud economics; IT finance; energy economics</w:t>
            </w:r>
          </w:p>
        </w:tc>
        <w:tc>
          <w:tcPr>
            <w:tcW w:w="1984" w:type="dxa"/>
            <w:vAlign w:val="center"/>
          </w:tcPr>
          <w:p w14:paraId="41856E3B"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Captures total lifecycle cost (</w:t>
            </w:r>
            <w:proofErr w:type="spellStart"/>
            <w:r>
              <w:rPr>
                <w:rFonts w:ascii="Times New Roman" w:eastAsia="Times New Roman" w:hAnsi="Times New Roman"/>
                <w:sz w:val="14"/>
                <w:szCs w:val="14"/>
              </w:rPr>
              <w:t>CapEx</w:t>
            </w:r>
            <w:proofErr w:type="spellEnd"/>
            <w:r>
              <w:rPr>
                <w:rFonts w:ascii="Times New Roman" w:eastAsia="Times New Roman" w:hAnsi="Times New Roman"/>
                <w:sz w:val="14"/>
                <w:szCs w:val="14"/>
              </w:rPr>
              <w:t>/</w:t>
            </w:r>
            <w:proofErr w:type="spellStart"/>
            <w:r>
              <w:rPr>
                <w:rFonts w:ascii="Times New Roman" w:eastAsia="Times New Roman" w:hAnsi="Times New Roman"/>
                <w:sz w:val="14"/>
                <w:szCs w:val="14"/>
              </w:rPr>
              <w:t>OpEx</w:t>
            </w:r>
            <w:proofErr w:type="spellEnd"/>
            <w:r>
              <w:rPr>
                <w:rFonts w:ascii="Times New Roman" w:eastAsia="Times New Roman" w:hAnsi="Times New Roman"/>
                <w:sz w:val="14"/>
                <w:szCs w:val="14"/>
              </w:rPr>
              <w:t>), depreciation, cost of energy, carbon-adjusted cost, and long-run economic sustainability</w:t>
            </w:r>
          </w:p>
        </w:tc>
        <w:tc>
          <w:tcPr>
            <w:tcW w:w="1418" w:type="dxa"/>
            <w:vAlign w:val="center"/>
          </w:tcPr>
          <w:p w14:paraId="36E2A7CC"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Organizational, cluster, region, and workload levels</w:t>
            </w:r>
          </w:p>
        </w:tc>
        <w:tc>
          <w:tcPr>
            <w:tcW w:w="1701" w:type="dxa"/>
            <w:vAlign w:val="center"/>
          </w:tcPr>
          <w:p w14:paraId="304C1933"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xml:space="preserve">TCO, LCOE, </w:t>
            </w:r>
            <w:proofErr w:type="spellStart"/>
            <w:r>
              <w:rPr>
                <w:rFonts w:ascii="Times New Roman" w:eastAsia="Times New Roman" w:hAnsi="Times New Roman"/>
                <w:sz w:val="14"/>
                <w:szCs w:val="14"/>
              </w:rPr>
              <w:t>CapEx</w:t>
            </w:r>
            <w:proofErr w:type="spellEnd"/>
            <w:r>
              <w:rPr>
                <w:rFonts w:ascii="Times New Roman" w:eastAsia="Times New Roman" w:hAnsi="Times New Roman"/>
                <w:sz w:val="14"/>
                <w:szCs w:val="14"/>
              </w:rPr>
              <w:t>-to-</w:t>
            </w:r>
            <w:proofErr w:type="spellStart"/>
            <w:r>
              <w:rPr>
                <w:rFonts w:ascii="Times New Roman" w:eastAsia="Times New Roman" w:hAnsi="Times New Roman"/>
                <w:sz w:val="14"/>
                <w:szCs w:val="14"/>
              </w:rPr>
              <w:t>OpEx</w:t>
            </w:r>
            <w:proofErr w:type="spellEnd"/>
            <w:r>
              <w:rPr>
                <w:rFonts w:ascii="Times New Roman" w:eastAsia="Times New Roman" w:hAnsi="Times New Roman"/>
                <w:sz w:val="14"/>
                <w:szCs w:val="14"/>
              </w:rPr>
              <w:t xml:space="preserve"> allocation, depreciation curve, marginal cost of compute unit</w:t>
            </w:r>
          </w:p>
        </w:tc>
      </w:tr>
      <w:tr w:rsidR="005E04FA" w14:paraId="5EC6FB2E" w14:textId="77777777" w:rsidTr="00DC0531">
        <w:trPr>
          <w:trHeight w:val="511"/>
          <w:jc w:val="right"/>
        </w:trPr>
        <w:tc>
          <w:tcPr>
            <w:tcW w:w="1560" w:type="dxa"/>
            <w:vAlign w:val="center"/>
          </w:tcPr>
          <w:p w14:paraId="39116163" w14:textId="77777777" w:rsidR="005E04FA" w:rsidRDefault="005E04FA" w:rsidP="00DC0531">
            <w:pPr>
              <w:spacing w:line="160" w:lineRule="exact"/>
              <w:jc w:val="left"/>
              <w:rPr>
                <w:rFonts w:ascii="Times New Roman" w:eastAsia="Times New Roman" w:hAnsi="Times New Roman"/>
                <w:b/>
                <w:bCs/>
                <w:sz w:val="14"/>
                <w:szCs w:val="14"/>
              </w:rPr>
            </w:pPr>
            <w:r>
              <w:rPr>
                <w:rFonts w:ascii="Times New Roman" w:eastAsia="Times New Roman" w:hAnsi="Times New Roman"/>
                <w:b/>
                <w:bCs/>
                <w:sz w:val="14"/>
                <w:szCs w:val="14"/>
              </w:rPr>
              <w:t>Reliability, Service Continuity, and Risk Metrics</w:t>
            </w:r>
          </w:p>
        </w:tc>
        <w:tc>
          <w:tcPr>
            <w:tcW w:w="1554" w:type="dxa"/>
            <w:vAlign w:val="center"/>
          </w:tcPr>
          <w:p w14:paraId="6AD1EC80"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SRE engineering; reliability theory; operations research</w:t>
            </w:r>
          </w:p>
        </w:tc>
        <w:tc>
          <w:tcPr>
            <w:tcW w:w="1984" w:type="dxa"/>
            <w:vAlign w:val="center"/>
          </w:tcPr>
          <w:p w14:paraId="126AED07"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Quantifies risk cost, SLA penalty exposure, redundancy overhead, downtime loss, risk-adjusted TCO</w:t>
            </w:r>
          </w:p>
        </w:tc>
        <w:tc>
          <w:tcPr>
            <w:tcW w:w="1418" w:type="dxa"/>
            <w:vAlign w:val="center"/>
          </w:tcPr>
          <w:p w14:paraId="2B13E934"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Cluster, fleet, service, and component levels</w:t>
            </w:r>
          </w:p>
        </w:tc>
        <w:tc>
          <w:tcPr>
            <w:tcW w:w="1701" w:type="dxa"/>
            <w:vAlign w:val="center"/>
          </w:tcPr>
          <w:p w14:paraId="35E64A8E"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SLA/SLO compliance; MTBF, MTTR, restart cost, redundancy cost, expected downtime loss</w:t>
            </w:r>
          </w:p>
        </w:tc>
      </w:tr>
      <w:tr w:rsidR="005E04FA" w14:paraId="3D4E30AE" w14:textId="77777777" w:rsidTr="00DC0531">
        <w:trPr>
          <w:trHeight w:val="74"/>
          <w:jc w:val="right"/>
        </w:trPr>
        <w:tc>
          <w:tcPr>
            <w:tcW w:w="1560" w:type="dxa"/>
            <w:vAlign w:val="center"/>
          </w:tcPr>
          <w:p w14:paraId="129F0C80" w14:textId="77777777" w:rsidR="005E04FA" w:rsidRDefault="005E04FA" w:rsidP="00DC0531">
            <w:pPr>
              <w:spacing w:line="160" w:lineRule="exact"/>
              <w:jc w:val="left"/>
              <w:rPr>
                <w:rFonts w:ascii="Times New Roman" w:eastAsia="Times New Roman" w:hAnsi="Times New Roman"/>
                <w:b/>
                <w:bCs/>
                <w:sz w:val="14"/>
                <w:szCs w:val="14"/>
              </w:rPr>
            </w:pPr>
            <w:r>
              <w:rPr>
                <w:rFonts w:ascii="Times New Roman" w:eastAsia="Times New Roman" w:hAnsi="Times New Roman"/>
                <w:b/>
                <w:bCs/>
                <w:sz w:val="14"/>
                <w:szCs w:val="14"/>
              </w:rPr>
              <w:t>Grid Interaction &amp; Sustainability-Embedded Economics Metrics</w:t>
            </w:r>
          </w:p>
        </w:tc>
        <w:tc>
          <w:tcPr>
            <w:tcW w:w="1554" w:type="dxa"/>
            <w:vAlign w:val="center"/>
          </w:tcPr>
          <w:p w14:paraId="7AAF367B"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Power systems engineering; carbon accounting; energy markets</w:t>
            </w:r>
          </w:p>
        </w:tc>
        <w:tc>
          <w:tcPr>
            <w:tcW w:w="1984" w:type="dxa"/>
            <w:vAlign w:val="center"/>
          </w:tcPr>
          <w:p w14:paraId="2EC9FE6D"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Determines carbon-adjusted TCO, regional cost arbitrate, demand-response revenue, price volatility risk</w:t>
            </w:r>
          </w:p>
        </w:tc>
        <w:tc>
          <w:tcPr>
            <w:tcW w:w="1418" w:type="dxa"/>
            <w:vAlign w:val="center"/>
          </w:tcPr>
          <w:p w14:paraId="16326B40"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Regional grid, power market interface</w:t>
            </w:r>
          </w:p>
        </w:tc>
        <w:tc>
          <w:tcPr>
            <w:tcW w:w="1701" w:type="dxa"/>
            <w:vAlign w:val="center"/>
          </w:tcPr>
          <w:p w14:paraId="27492CF3"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Marginal Emissions Factor (MEF); LMP/RTM electricity price; carbon price exposure; grid-interaction cost</w:t>
            </w:r>
          </w:p>
        </w:tc>
      </w:tr>
    </w:tbl>
    <w:p w14:paraId="7BAE6B35" w14:textId="77777777" w:rsidR="005E04FA" w:rsidRPr="00023497" w:rsidRDefault="005E04FA" w:rsidP="005E04FA">
      <w:pPr>
        <w:pStyle w:val="MDPI31text"/>
        <w:rPr>
          <w:sz w:val="18"/>
          <w:szCs w:val="20"/>
          <w:lang w:val="en"/>
        </w:rPr>
      </w:pPr>
      <w:r w:rsidRPr="00D61B24">
        <w:rPr>
          <w:sz w:val="18"/>
          <w:szCs w:val="20"/>
          <w:lang w:val="en"/>
        </w:rPr>
        <w:t xml:space="preserve">Notes: This table provides a high-level orientation to the metric families discussed in this section. Detailed critique and structural limitations of these families follow in the paragraphs below. Details of all the metrics are shown in Appendix </w:t>
      </w:r>
      <w:r>
        <w:rPr>
          <w:rFonts w:eastAsiaTheme="minorEastAsia" w:hint="eastAsia"/>
          <w:sz w:val="18"/>
          <w:szCs w:val="20"/>
          <w:lang w:val="en" w:eastAsia="zh-CN"/>
        </w:rPr>
        <w:t>B</w:t>
      </w:r>
      <w:r w:rsidRPr="00D61B24">
        <w:rPr>
          <w:sz w:val="18"/>
          <w:szCs w:val="20"/>
          <w:lang w:val="en"/>
        </w:rPr>
        <w:t xml:space="preserve">, Appendix </w:t>
      </w:r>
      <w:r>
        <w:rPr>
          <w:rFonts w:eastAsiaTheme="minorEastAsia" w:hint="eastAsia"/>
          <w:sz w:val="18"/>
          <w:szCs w:val="20"/>
          <w:lang w:val="en" w:eastAsia="zh-CN"/>
        </w:rPr>
        <w:t>C</w:t>
      </w:r>
      <w:r w:rsidRPr="00D61B24">
        <w:rPr>
          <w:sz w:val="18"/>
          <w:szCs w:val="20"/>
          <w:lang w:val="en"/>
        </w:rPr>
        <w:t xml:space="preserve"> (PUE, WUE, CUE, ERE), and Appendix </w:t>
      </w:r>
      <w:r>
        <w:rPr>
          <w:rFonts w:eastAsiaTheme="minorEastAsia" w:hint="eastAsia"/>
          <w:sz w:val="18"/>
          <w:szCs w:val="20"/>
          <w:lang w:val="en" w:eastAsia="zh-CN"/>
        </w:rPr>
        <w:t>D</w:t>
      </w:r>
      <w:r w:rsidRPr="00D61B24">
        <w:rPr>
          <w:sz w:val="18"/>
          <w:szCs w:val="20"/>
          <w:lang w:val="en"/>
        </w:rPr>
        <w:t xml:space="preserve"> (TCO series). </w:t>
      </w:r>
    </w:p>
    <w:p w14:paraId="41741420" w14:textId="77777777" w:rsidR="005E04FA" w:rsidRPr="005E04FA" w:rsidRDefault="005E04FA" w:rsidP="005E04FA">
      <w:pPr>
        <w:pStyle w:val="MDPI31text"/>
        <w:spacing w:line="280" w:lineRule="exact"/>
        <w:jc w:val="left"/>
        <w:rPr>
          <w:rFonts w:eastAsiaTheme="minorEastAsia" w:hint="eastAsia"/>
          <w:lang w:val="en" w:eastAsia="zh-CN"/>
        </w:rPr>
      </w:pPr>
    </w:p>
    <w:p w14:paraId="314D6BB1" w14:textId="77777777" w:rsidR="005E04FA" w:rsidRPr="005E04FA" w:rsidRDefault="005E04FA" w:rsidP="005E04FA">
      <w:pPr>
        <w:pStyle w:val="MDPI31text"/>
        <w:spacing w:line="280" w:lineRule="exact"/>
        <w:jc w:val="left"/>
        <w:rPr>
          <w:b/>
          <w:bCs/>
          <w:lang w:val="en"/>
        </w:rPr>
      </w:pPr>
      <w:r w:rsidRPr="005E04FA">
        <w:rPr>
          <w:b/>
          <w:bCs/>
          <w:lang w:val="en"/>
        </w:rPr>
        <w:t xml:space="preserve">A.2. </w:t>
      </w:r>
      <w:proofErr w:type="gramStart"/>
      <w:r w:rsidRPr="005E04FA">
        <w:rPr>
          <w:b/>
          <w:bCs/>
          <w:lang w:val="en"/>
        </w:rPr>
        <w:t>Compute</w:t>
      </w:r>
      <w:proofErr w:type="gramEnd"/>
      <w:r w:rsidRPr="005E04FA">
        <w:rPr>
          <w:b/>
          <w:bCs/>
          <w:lang w:val="en"/>
        </w:rPr>
        <w:t xml:space="preserve"> efficiency and device-level performance metrics</w:t>
      </w:r>
    </w:p>
    <w:p w14:paraId="0229297D" w14:textId="77777777" w:rsidR="005E04FA" w:rsidRPr="005E04FA" w:rsidRDefault="005E04FA" w:rsidP="005E04FA">
      <w:pPr>
        <w:pStyle w:val="MDPI31text"/>
        <w:spacing w:line="280" w:lineRule="exact"/>
        <w:jc w:val="left"/>
        <w:rPr>
          <w:lang w:val="en"/>
        </w:rPr>
      </w:pPr>
      <w:r w:rsidRPr="005E04FA">
        <w:rPr>
          <w:lang w:val="en"/>
        </w:rPr>
        <w:t xml:space="preserve">A second family comes from high-performance computing, accelerator design, and device benchmarking. These metrics evaluate how </w:t>
      </w:r>
      <w:proofErr w:type="gramStart"/>
      <w:r w:rsidRPr="005E04FA">
        <w:rPr>
          <w:lang w:val="en"/>
        </w:rPr>
        <w:t>efficiently</w:t>
      </w:r>
      <w:proofErr w:type="gramEnd"/>
      <w:r w:rsidRPr="005E04FA">
        <w:rPr>
          <w:lang w:val="en"/>
        </w:rPr>
        <w:t xml:space="preserve"> chips, accelerators, and node-level hardware transform electrical power into raw compute capability. Representative examples include FLOPs/W, joules per token, tokens/J, accelerator utilization, temperature-dependent throttling indicators, and related device-level efficiency measures.</w:t>
      </w:r>
    </w:p>
    <w:p w14:paraId="00295F21" w14:textId="77777777" w:rsidR="005E04FA" w:rsidRPr="005E04FA" w:rsidRDefault="005E04FA" w:rsidP="005E04FA">
      <w:pPr>
        <w:pStyle w:val="MDPI31text"/>
        <w:spacing w:line="280" w:lineRule="exact"/>
        <w:jc w:val="left"/>
        <w:rPr>
          <w:lang w:val="en"/>
        </w:rPr>
      </w:pPr>
      <w:r w:rsidRPr="005E04FA">
        <w:rPr>
          <w:lang w:val="en"/>
        </w:rPr>
        <w:t xml:space="preserve">Their economic relevance is immediate even when the units are not monetary. Better device efficiency improves </w:t>
      </w:r>
      <w:proofErr w:type="gramStart"/>
      <w:r w:rsidRPr="005E04FA">
        <w:rPr>
          <w:lang w:val="en"/>
        </w:rPr>
        <w:t>compute</w:t>
      </w:r>
      <w:proofErr w:type="gramEnd"/>
      <w:r w:rsidRPr="005E04FA">
        <w:rPr>
          <w:lang w:val="en"/>
        </w:rPr>
        <w:t>-per-dollar, affects job duration, influences the amortization rate of expensive accelerator fleets, and changes the marginal cost of useful computation. In modern AI systems, these metrics are also closely tied to memory hierarchy, interconnect behavior, and thermal limits, so “compute efficiency” cannot be understood as a purely chip-level concept detached from system configuration.</w:t>
      </w:r>
    </w:p>
    <w:p w14:paraId="4E3329BD" w14:textId="77777777" w:rsidR="005E04FA" w:rsidRPr="005E04FA" w:rsidRDefault="005E04FA" w:rsidP="005E04FA">
      <w:pPr>
        <w:pStyle w:val="MDPI31text"/>
        <w:spacing w:line="280" w:lineRule="exact"/>
        <w:jc w:val="left"/>
        <w:rPr>
          <w:lang w:val="en"/>
        </w:rPr>
      </w:pPr>
      <w:r w:rsidRPr="005E04FA">
        <w:rPr>
          <w:lang w:val="en"/>
        </w:rPr>
        <w:lastRenderedPageBreak/>
        <w:t xml:space="preserve">However, this family also remains incomplete when used alone. Device-level metrics say little about facility overhead, reliability exposure, carbon boundary choice, or service-level performance. A deployment may look highly efficient at the accelerator level while still producing poor economic outcomes once cooling burden, curtailment exposure, or downstream execution inefficiencies are </w:t>
      </w:r>
      <w:proofErr w:type="gramStart"/>
      <w:r w:rsidRPr="005E04FA">
        <w:rPr>
          <w:lang w:val="en"/>
        </w:rPr>
        <w:t>taken into account</w:t>
      </w:r>
      <w:proofErr w:type="gramEnd"/>
      <w:r w:rsidRPr="005E04FA">
        <w:rPr>
          <w:lang w:val="en"/>
        </w:rPr>
        <w:t>.</w:t>
      </w:r>
    </w:p>
    <w:p w14:paraId="1BD523B4" w14:textId="77777777" w:rsidR="005E04FA" w:rsidRPr="005E04FA" w:rsidRDefault="005E04FA" w:rsidP="005E04FA">
      <w:pPr>
        <w:pStyle w:val="MDPI31text"/>
        <w:spacing w:line="280" w:lineRule="exact"/>
        <w:jc w:val="left"/>
        <w:rPr>
          <w:b/>
          <w:bCs/>
          <w:lang w:val="en"/>
        </w:rPr>
      </w:pPr>
      <w:r w:rsidRPr="005E04FA">
        <w:rPr>
          <w:b/>
          <w:bCs/>
          <w:lang w:val="en"/>
        </w:rPr>
        <w:t>A.3. ML system and workload-execution metrics</w:t>
      </w:r>
    </w:p>
    <w:p w14:paraId="5AC7771F" w14:textId="77777777" w:rsidR="005E04FA" w:rsidRPr="005E04FA" w:rsidRDefault="005E04FA" w:rsidP="005E04FA">
      <w:pPr>
        <w:pStyle w:val="MDPI31text"/>
        <w:spacing w:line="280" w:lineRule="exact"/>
        <w:jc w:val="left"/>
        <w:rPr>
          <w:lang w:val="en"/>
        </w:rPr>
      </w:pPr>
      <w:r w:rsidRPr="005E04FA">
        <w:rPr>
          <w:lang w:val="en"/>
        </w:rPr>
        <w:t>A third family is rooted in distributed systems, ML runtime optimization, benchmarking consortia, and model-serving research. These metrics describe how effectively a software and runtime stack converts installed hardware capability into realized training progress or serving performance. Important examples include throughput, time-to-convergence, latency, inference per request, idle energy overhead, distributed communication overhead, and workload-level efficiency measures such as joules per inference.</w:t>
      </w:r>
    </w:p>
    <w:p w14:paraId="3131CC16" w14:textId="77777777" w:rsidR="005E04FA" w:rsidRPr="005E04FA" w:rsidRDefault="005E04FA" w:rsidP="005E04FA">
      <w:pPr>
        <w:pStyle w:val="MDPI31text"/>
        <w:spacing w:line="280" w:lineRule="exact"/>
        <w:jc w:val="left"/>
        <w:rPr>
          <w:lang w:val="en"/>
        </w:rPr>
      </w:pPr>
      <w:proofErr w:type="spellStart"/>
      <w:r w:rsidRPr="005E04FA">
        <w:rPr>
          <w:lang w:val="en"/>
        </w:rPr>
        <w:t>MLPerf</w:t>
      </w:r>
      <w:proofErr w:type="spellEnd"/>
      <w:r w:rsidRPr="005E04FA">
        <w:rPr>
          <w:lang w:val="en"/>
        </w:rPr>
        <w:t xml:space="preserve"> has become a widely recognized benchmark suite in this area. </w:t>
      </w:r>
      <w:proofErr w:type="spellStart"/>
      <w:r w:rsidRPr="005E04FA">
        <w:rPr>
          <w:lang w:val="en"/>
        </w:rPr>
        <w:t>MLPerf</w:t>
      </w:r>
      <w:proofErr w:type="spellEnd"/>
      <w:r w:rsidRPr="005E04FA">
        <w:rPr>
          <w:lang w:val="en"/>
        </w:rPr>
        <w:t xml:space="preserve"> Training emphasizes time-to-convergence under fixed accuracy conditions, while </w:t>
      </w:r>
      <w:proofErr w:type="spellStart"/>
      <w:r w:rsidRPr="005E04FA">
        <w:rPr>
          <w:lang w:val="en"/>
        </w:rPr>
        <w:t>MLPerf</w:t>
      </w:r>
      <w:proofErr w:type="spellEnd"/>
      <w:r w:rsidRPr="005E04FA">
        <w:rPr>
          <w:lang w:val="en"/>
        </w:rPr>
        <w:t xml:space="preserve"> Inference emphasizes latency and throughput under specified serving scenarios. These measures matter economically because they shape developer productivity, experimentation speed, model-iteration cost, scheduling efficiency, and serving economics.</w:t>
      </w:r>
    </w:p>
    <w:p w14:paraId="5E6F2A14" w14:textId="77777777" w:rsidR="005E04FA" w:rsidRPr="005E04FA" w:rsidRDefault="005E04FA" w:rsidP="005E04FA">
      <w:pPr>
        <w:pStyle w:val="MDPI31text"/>
        <w:spacing w:line="280" w:lineRule="exact"/>
        <w:jc w:val="left"/>
        <w:rPr>
          <w:lang w:val="en"/>
        </w:rPr>
      </w:pPr>
      <w:r w:rsidRPr="005E04FA">
        <w:rPr>
          <w:lang w:val="en"/>
        </w:rPr>
        <w:t xml:space="preserve">Yet workload metrics also sit at a distinct boundary. They capture execution behavior at the job, pipeline, or runtime level, but they do not fully incorporate facility constraints, electricity-market conditions, or lifecycle valuation. They are therefore crucial for performance interpretation but insufficient for broader planning tasks such as </w:t>
      </w:r>
      <w:proofErr w:type="gramStart"/>
      <w:r w:rsidRPr="005E04FA">
        <w:rPr>
          <w:lang w:val="en"/>
        </w:rPr>
        <w:t>siting</w:t>
      </w:r>
      <w:proofErr w:type="gramEnd"/>
      <w:r w:rsidRPr="005E04FA">
        <w:rPr>
          <w:lang w:val="en"/>
        </w:rPr>
        <w:t>, procurement, or cross-layer capacity expansion.</w:t>
      </w:r>
    </w:p>
    <w:p w14:paraId="69AE230B" w14:textId="77777777" w:rsidR="005E04FA" w:rsidRPr="005E04FA" w:rsidRDefault="005E04FA" w:rsidP="005E04FA">
      <w:pPr>
        <w:pStyle w:val="MDPI31text"/>
        <w:spacing w:line="280" w:lineRule="exact"/>
        <w:jc w:val="left"/>
        <w:rPr>
          <w:b/>
          <w:bCs/>
          <w:lang w:val="en"/>
        </w:rPr>
      </w:pPr>
      <w:r w:rsidRPr="005E04FA">
        <w:rPr>
          <w:b/>
          <w:bCs/>
          <w:lang w:val="en"/>
        </w:rPr>
        <w:t>A.4. Economic and lifecycle cost metrics</w:t>
      </w:r>
    </w:p>
    <w:p w14:paraId="58835EC5" w14:textId="77777777" w:rsidR="005E04FA" w:rsidRPr="005E04FA" w:rsidRDefault="005E04FA" w:rsidP="005E04FA">
      <w:pPr>
        <w:pStyle w:val="MDPI31text"/>
        <w:spacing w:line="280" w:lineRule="exact"/>
        <w:jc w:val="left"/>
        <w:rPr>
          <w:lang w:val="en"/>
        </w:rPr>
      </w:pPr>
      <w:r w:rsidRPr="005E04FA">
        <w:rPr>
          <w:lang w:val="en"/>
        </w:rPr>
        <w:t xml:space="preserve">A fourth family comes from cloud economics, IT finance, and energy economics. These metrics are explicitly </w:t>
      </w:r>
      <w:proofErr w:type="gramStart"/>
      <w:r w:rsidRPr="005E04FA">
        <w:rPr>
          <w:lang w:val="en"/>
        </w:rPr>
        <w:t>valuation-oriented</w:t>
      </w:r>
      <w:proofErr w:type="gramEnd"/>
      <w:r w:rsidRPr="005E04FA">
        <w:rPr>
          <w:lang w:val="en"/>
        </w:rPr>
        <w:t xml:space="preserve">. They include total cost of ownership (TCO), levelized cost concepts such as LCOE, depreciation schedules, </w:t>
      </w:r>
      <w:proofErr w:type="spellStart"/>
      <w:r w:rsidRPr="005E04FA">
        <w:rPr>
          <w:lang w:val="en"/>
        </w:rPr>
        <w:t>CapEx</w:t>
      </w:r>
      <w:proofErr w:type="spellEnd"/>
      <w:r w:rsidRPr="005E04FA">
        <w:rPr>
          <w:lang w:val="en"/>
        </w:rPr>
        <w:t>-to-</w:t>
      </w:r>
      <w:proofErr w:type="spellStart"/>
      <w:r w:rsidRPr="005E04FA">
        <w:rPr>
          <w:lang w:val="en"/>
        </w:rPr>
        <w:t>OpEx</w:t>
      </w:r>
      <w:proofErr w:type="spellEnd"/>
      <w:r w:rsidRPr="005E04FA">
        <w:rPr>
          <w:lang w:val="en"/>
        </w:rPr>
        <w:t xml:space="preserve"> allocation, marginal cost of compute, and related lifecycle finance measures.</w:t>
      </w:r>
    </w:p>
    <w:p w14:paraId="42D79C7C" w14:textId="77777777" w:rsidR="005E04FA" w:rsidRPr="005E04FA" w:rsidRDefault="005E04FA" w:rsidP="005E04FA">
      <w:pPr>
        <w:pStyle w:val="MDPI31text"/>
        <w:spacing w:line="280" w:lineRule="exact"/>
        <w:jc w:val="left"/>
        <w:rPr>
          <w:lang w:val="en"/>
        </w:rPr>
      </w:pPr>
      <w:r w:rsidRPr="005E04FA">
        <w:rPr>
          <w:lang w:val="en"/>
        </w:rPr>
        <w:t>This family is often closest to the language used in executive decision-making because it translates infrastructure decisions into cost, investment burden, and long-run sustainability. TCO frameworks typically incorporate capital investment, electricity procurement, staffing, interconnect, maintenance, refresh cycles, and depreciation. In practice, these models are often the place where engineering quantities are converted into organizationally actionable cost terms.</w:t>
      </w:r>
    </w:p>
    <w:p w14:paraId="649B109E" w14:textId="77777777" w:rsidR="005E04FA" w:rsidRPr="005E04FA" w:rsidRDefault="005E04FA" w:rsidP="005E04FA">
      <w:pPr>
        <w:pStyle w:val="MDPI31text"/>
        <w:spacing w:line="280" w:lineRule="exact"/>
        <w:jc w:val="left"/>
        <w:rPr>
          <w:lang w:val="en"/>
        </w:rPr>
      </w:pPr>
      <w:r w:rsidRPr="005E04FA">
        <w:rPr>
          <w:lang w:val="en"/>
        </w:rPr>
        <w:t xml:space="preserve">Their limitation is not lack of relevance but lack of internal endogeneity. In many implementations, engineering efficiency, reliability, and grid conditions appear only as exogenous inputs </w:t>
      </w:r>
      <w:r w:rsidRPr="005E04FA">
        <w:rPr>
          <w:lang w:val="en"/>
        </w:rPr>
        <w:lastRenderedPageBreak/>
        <w:t>or scenario assumptions. Complex physical realities are often compressed into a small number of design primitives, such as server density, rack power, accelerator cost, networking topology, and component choices including memory and storage. This compression is useful for financial modeling, but it can obscure the propagation of lower-layer engineering constraints into higher-layer economic outcomes.</w:t>
      </w:r>
    </w:p>
    <w:p w14:paraId="2BD979DB" w14:textId="77777777" w:rsidR="005E04FA" w:rsidRPr="005E04FA" w:rsidRDefault="005E04FA" w:rsidP="005E04FA">
      <w:pPr>
        <w:pStyle w:val="MDPI31text"/>
        <w:spacing w:line="280" w:lineRule="exact"/>
        <w:jc w:val="left"/>
        <w:rPr>
          <w:b/>
          <w:bCs/>
          <w:lang w:val="en"/>
        </w:rPr>
      </w:pPr>
      <w:r w:rsidRPr="005E04FA">
        <w:rPr>
          <w:b/>
          <w:bCs/>
          <w:lang w:val="en"/>
        </w:rPr>
        <w:t>A.5. Reliability, service continuity, and operational risk metrics</w:t>
      </w:r>
    </w:p>
    <w:p w14:paraId="51249515" w14:textId="77777777" w:rsidR="005E04FA" w:rsidRPr="005E04FA" w:rsidRDefault="005E04FA" w:rsidP="005E04FA">
      <w:pPr>
        <w:pStyle w:val="MDPI31text"/>
        <w:spacing w:line="280" w:lineRule="exact"/>
        <w:jc w:val="left"/>
        <w:rPr>
          <w:lang w:val="en"/>
        </w:rPr>
      </w:pPr>
      <w:r w:rsidRPr="005E04FA">
        <w:rPr>
          <w:lang w:val="en"/>
        </w:rPr>
        <w:t>A fifth family comes from reliability engineering, site reliability engineering, and operations research. These metrics focus on continuity, failure behavior, and service assurance. Common examples include service-level indicators and objectives (SLIs/SLOs), service-level agreements (SLAs), mean time between failures (MTBF), mean time to repair (MTTR), restart cost, redundancy cost, expected downtime loss, and other risk-oriented service metrics.</w:t>
      </w:r>
    </w:p>
    <w:p w14:paraId="03782E42" w14:textId="77777777" w:rsidR="005E04FA" w:rsidRPr="005E04FA" w:rsidRDefault="005E04FA" w:rsidP="005E04FA">
      <w:pPr>
        <w:pStyle w:val="MDPI31text"/>
        <w:spacing w:line="280" w:lineRule="exact"/>
        <w:jc w:val="left"/>
        <w:rPr>
          <w:lang w:val="en"/>
        </w:rPr>
      </w:pPr>
      <w:r w:rsidRPr="005E04FA">
        <w:rPr>
          <w:lang w:val="en"/>
        </w:rPr>
        <w:t xml:space="preserve">Their economic significance is substantial. Reliability failures propagate into throughput loss, penalty exposure, redundancy overhead, wasted work, delayed completion, and ultimately risk-adjusted lifecycle cost. In service-facing settings, they also determine whether </w:t>
      </w:r>
      <w:proofErr w:type="gramStart"/>
      <w:r w:rsidRPr="005E04FA">
        <w:rPr>
          <w:lang w:val="en"/>
        </w:rPr>
        <w:t>compute</w:t>
      </w:r>
      <w:proofErr w:type="gramEnd"/>
      <w:r w:rsidRPr="005E04FA">
        <w:rPr>
          <w:lang w:val="en"/>
        </w:rPr>
        <w:t xml:space="preserve"> capability translates into usable service delivery under real operating conditions.</w:t>
      </w:r>
    </w:p>
    <w:p w14:paraId="34935578" w14:textId="77777777" w:rsidR="005E04FA" w:rsidRPr="005E04FA" w:rsidRDefault="005E04FA" w:rsidP="005E04FA">
      <w:pPr>
        <w:pStyle w:val="MDPI31text"/>
        <w:spacing w:line="280" w:lineRule="exact"/>
        <w:jc w:val="left"/>
        <w:rPr>
          <w:lang w:val="en"/>
        </w:rPr>
      </w:pPr>
      <w:r w:rsidRPr="005E04FA">
        <w:rPr>
          <w:lang w:val="en"/>
        </w:rPr>
        <w:t>Still, these metrics are often measured at different boundaries. Some belong to the runtime and execution layer, where failures manifest as retries, checkpoint overhead, or degraded progress. Others belong to the service layer, where the relevant object is delivered availability, user-facing latency, or contractual compliance. Without a disciplined structure, these reliability measures can be mixed in ways that obscure boundary differences or double count the same failure process at multiple levels.</w:t>
      </w:r>
    </w:p>
    <w:p w14:paraId="1342BEFA" w14:textId="77777777" w:rsidR="005E04FA" w:rsidRPr="005E04FA" w:rsidRDefault="005E04FA" w:rsidP="005E04FA">
      <w:pPr>
        <w:pStyle w:val="MDPI31text"/>
        <w:spacing w:line="280" w:lineRule="exact"/>
        <w:jc w:val="left"/>
        <w:rPr>
          <w:b/>
          <w:bCs/>
          <w:lang w:val="en"/>
        </w:rPr>
      </w:pPr>
      <w:r w:rsidRPr="005E04FA">
        <w:rPr>
          <w:b/>
          <w:bCs/>
          <w:lang w:val="en"/>
        </w:rPr>
        <w:t>A.6. Grid interaction and sustainability-embedded economics metrics</w:t>
      </w:r>
    </w:p>
    <w:p w14:paraId="02A54342" w14:textId="77777777" w:rsidR="005E04FA" w:rsidRPr="005E04FA" w:rsidRDefault="005E04FA" w:rsidP="005E04FA">
      <w:pPr>
        <w:pStyle w:val="MDPI31text"/>
        <w:spacing w:line="280" w:lineRule="exact"/>
        <w:jc w:val="left"/>
        <w:rPr>
          <w:lang w:val="en"/>
        </w:rPr>
      </w:pPr>
      <w:r w:rsidRPr="005E04FA">
        <w:rPr>
          <w:lang w:val="en"/>
        </w:rPr>
        <w:t>A sixth family originates in power systems engineering, carbon accounting, and electricity-market analysis. These metrics capture the external operating environment in which AI infrastructure must function. Representative examples include temporal carbon intensity, marginal emissions factors, renewable availability, demand-response participation value, locational electricity prices, real-time market price exposure, carbon price exposure, and grid-interaction cost.</w:t>
      </w:r>
    </w:p>
    <w:p w14:paraId="1911E491" w14:textId="77777777" w:rsidR="005E04FA" w:rsidRPr="005E04FA" w:rsidRDefault="005E04FA" w:rsidP="005E04FA">
      <w:pPr>
        <w:pStyle w:val="MDPI31text"/>
        <w:spacing w:line="280" w:lineRule="exact"/>
        <w:jc w:val="left"/>
        <w:rPr>
          <w:lang w:val="en"/>
        </w:rPr>
      </w:pPr>
      <w:r w:rsidRPr="005E04FA">
        <w:rPr>
          <w:lang w:val="en"/>
        </w:rPr>
        <w:t xml:space="preserve">These quantities are increasingly central in large-load planning because they shape electricity expenditure, carbon-adjusted valuation, demand-response revenue potential, compliance exposure, and the feasible operating envelope of energy-intensive AI clusters. In high-growth regions, grid-facing metrics can determine whether a system is merely </w:t>
      </w:r>
      <w:r w:rsidRPr="005E04FA">
        <w:rPr>
          <w:lang w:val="en"/>
        </w:rPr>
        <w:lastRenderedPageBreak/>
        <w:t>expensive, structurally constrained, or exposed to curtailment and reliability risk.</w:t>
      </w:r>
    </w:p>
    <w:p w14:paraId="5E7A3AE2" w14:textId="77777777" w:rsidR="005E04FA" w:rsidRPr="005E04FA" w:rsidRDefault="005E04FA" w:rsidP="005E04FA">
      <w:pPr>
        <w:pStyle w:val="MDPI31text"/>
        <w:spacing w:line="280" w:lineRule="exact"/>
        <w:jc w:val="left"/>
        <w:rPr>
          <w:lang w:val="en"/>
        </w:rPr>
      </w:pPr>
      <w:r w:rsidRPr="005E04FA">
        <w:rPr>
          <w:lang w:val="en"/>
        </w:rPr>
        <w:t>Their limitation is again one of scope. Grid metrics characterize the external environment, but they do not specify how facility design, hardware choices, workload execution, and service commitments mediate the effect of that environment on realized compute delivery or lifecycle value. As a result, they must be linked to downstream layers before they can support planning decisions in a coherent way.</w:t>
      </w:r>
    </w:p>
    <w:p w14:paraId="1231E764" w14:textId="77777777" w:rsidR="005E04FA" w:rsidRPr="005E04FA" w:rsidRDefault="005E04FA" w:rsidP="005E04FA">
      <w:pPr>
        <w:pStyle w:val="MDPI31text"/>
        <w:spacing w:line="280" w:lineRule="exact"/>
        <w:jc w:val="left"/>
        <w:rPr>
          <w:b/>
          <w:bCs/>
          <w:lang w:val="en"/>
        </w:rPr>
      </w:pPr>
      <w:r w:rsidRPr="005E04FA">
        <w:rPr>
          <w:b/>
          <w:bCs/>
          <w:lang w:val="en"/>
        </w:rPr>
        <w:t>A.7. Why the existing metric families remain insufficient</w:t>
      </w:r>
    </w:p>
    <w:p w14:paraId="1F86A166" w14:textId="77777777" w:rsidR="005E04FA" w:rsidRPr="005E04FA" w:rsidRDefault="005E04FA" w:rsidP="005E04FA">
      <w:pPr>
        <w:pStyle w:val="MDPI31text"/>
        <w:spacing w:line="280" w:lineRule="exact"/>
        <w:jc w:val="left"/>
        <w:rPr>
          <w:lang w:val="en"/>
        </w:rPr>
      </w:pPr>
      <w:r w:rsidRPr="005E04FA">
        <w:rPr>
          <w:lang w:val="en"/>
        </w:rPr>
        <w:t>The problem is not that the existing metric families are individually invalid. The problem is that they were developed under different semantic assumptions, different units, and different operational boundaries. When planning questions involve multiple interacting constraints, this heterogeneity creates recurring failure modes.</w:t>
      </w:r>
    </w:p>
    <w:p w14:paraId="0AEA9721" w14:textId="77777777" w:rsidR="005E04FA" w:rsidRPr="005E04FA" w:rsidRDefault="005E04FA" w:rsidP="005E04FA">
      <w:pPr>
        <w:pStyle w:val="MDPI31text"/>
        <w:spacing w:line="280" w:lineRule="exact"/>
        <w:jc w:val="left"/>
        <w:rPr>
          <w:lang w:val="en"/>
        </w:rPr>
      </w:pPr>
      <w:r w:rsidRPr="005E04FA">
        <w:rPr>
          <w:lang w:val="en"/>
        </w:rPr>
        <w:t>First, incompatibility weakens attribution and traceability. A facility metric such as PUE cannot by itself reveal whether an observed cost increase is due to workload behavior, hardware utilization, thermal constraints, or time-varying grid conditions. Conversely, a workload or device metric cannot reveal facility overhead, carbon-cost exposure, or curtailment-related service loss.</w:t>
      </w:r>
    </w:p>
    <w:p w14:paraId="64B494FE" w14:textId="77777777" w:rsidR="005E04FA" w:rsidRPr="005E04FA" w:rsidRDefault="005E04FA" w:rsidP="005E04FA">
      <w:pPr>
        <w:pStyle w:val="MDPI31text"/>
        <w:spacing w:line="280" w:lineRule="exact"/>
        <w:jc w:val="left"/>
        <w:rPr>
          <w:lang w:val="en"/>
        </w:rPr>
      </w:pPr>
      <w:r w:rsidRPr="005E04FA">
        <w:rPr>
          <w:lang w:val="en"/>
        </w:rPr>
        <w:t xml:space="preserve">Second, overlap and boundary ambiguity create room for both double counting and silent omission. Concepts such as efficiency, throughput, utilization, and reliability may appear at multiple layers but with different denominators and different measurement objects. Without explicit boundary control, organizations can combine metrics that appear related while </w:t>
      </w:r>
      <w:proofErr w:type="gramStart"/>
      <w:r w:rsidRPr="005E04FA">
        <w:rPr>
          <w:lang w:val="en"/>
        </w:rPr>
        <w:t>actually measuring</w:t>
      </w:r>
      <w:proofErr w:type="gramEnd"/>
      <w:r w:rsidRPr="005E04FA">
        <w:rPr>
          <w:lang w:val="en"/>
        </w:rPr>
        <w:t xml:space="preserve"> different phenomena.</w:t>
      </w:r>
    </w:p>
    <w:p w14:paraId="7EC4C377" w14:textId="77777777" w:rsidR="005E04FA" w:rsidRDefault="005E04FA" w:rsidP="005E04FA">
      <w:pPr>
        <w:pStyle w:val="MDPI31text"/>
        <w:spacing w:line="280" w:lineRule="exact"/>
        <w:jc w:val="left"/>
        <w:rPr>
          <w:rFonts w:eastAsiaTheme="minorEastAsia"/>
          <w:lang w:val="en" w:eastAsia="zh-CN"/>
        </w:rPr>
      </w:pPr>
      <w:r w:rsidRPr="005E04FA">
        <w:rPr>
          <w:lang w:val="en"/>
        </w:rPr>
        <w:t>Third, subsystem-optimal KPI selection can distort system-level decision-making. A locally attractive metric can be improved by shifting burden to another layer. For example, a compute-side efficiency improvement may coincide with higher facility overhead, greater carbon exposure, or larger reliability risk. In the absence of a formal mechanism for validating completeness, non-redundancy, and decision consistency, metric systems become easy to game and difficult to interpret.</w:t>
      </w:r>
    </w:p>
    <w:p w14:paraId="66FCA16B" w14:textId="77777777" w:rsidR="005E04FA" w:rsidRDefault="005E04FA" w:rsidP="005E04FA">
      <w:pPr>
        <w:pStyle w:val="MDPI41tablecaption"/>
        <w:rPr>
          <w:snapToGrid w:val="0"/>
          <w:lang w:val="en"/>
        </w:rPr>
      </w:pPr>
      <w:r w:rsidRPr="00D21AD6">
        <w:rPr>
          <w:b/>
        </w:rPr>
        <w:t xml:space="preserve">Table </w:t>
      </w:r>
      <w:r>
        <w:rPr>
          <w:b/>
        </w:rPr>
        <w:t>2</w:t>
      </w:r>
      <w:r w:rsidRPr="00D21AD6">
        <w:rPr>
          <w:b/>
        </w:rPr>
        <w:t xml:space="preserve">. </w:t>
      </w:r>
      <w:r w:rsidRPr="00BF05D5">
        <w:rPr>
          <w:snapToGrid w:val="0"/>
          <w:lang w:val="en"/>
        </w:rPr>
        <w:t>Representative Metrics in Major AI Infrastructure Metric Families with Various Characteristics</w:t>
      </w:r>
    </w:p>
    <w:tbl>
      <w:tblPr>
        <w:tblW w:w="8505"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388"/>
        <w:gridCol w:w="1134"/>
        <w:gridCol w:w="1129"/>
        <w:gridCol w:w="1423"/>
        <w:gridCol w:w="2551"/>
      </w:tblGrid>
      <w:tr w:rsidR="005E04FA" w14:paraId="30B13BDE" w14:textId="77777777" w:rsidTr="00DC0531">
        <w:trPr>
          <w:trHeight w:val="59"/>
          <w:jc w:val="right"/>
        </w:trPr>
        <w:tc>
          <w:tcPr>
            <w:tcW w:w="880" w:type="dxa"/>
            <w:tcMar>
              <w:top w:w="15" w:type="dxa"/>
              <w:left w:w="15" w:type="dxa"/>
              <w:bottom w:w="0" w:type="dxa"/>
              <w:right w:w="15" w:type="dxa"/>
            </w:tcMar>
            <w:vAlign w:val="center"/>
          </w:tcPr>
          <w:p w14:paraId="04C97C43"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Metric Family</w:t>
            </w:r>
          </w:p>
        </w:tc>
        <w:tc>
          <w:tcPr>
            <w:tcW w:w="1388" w:type="dxa"/>
            <w:tcMar>
              <w:top w:w="15" w:type="dxa"/>
              <w:left w:w="15" w:type="dxa"/>
              <w:bottom w:w="0" w:type="dxa"/>
              <w:right w:w="15" w:type="dxa"/>
            </w:tcMar>
            <w:vAlign w:val="center"/>
          </w:tcPr>
          <w:p w14:paraId="40B0C984"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Representative Metric</w:t>
            </w:r>
          </w:p>
        </w:tc>
        <w:tc>
          <w:tcPr>
            <w:tcW w:w="1134" w:type="dxa"/>
            <w:tcMar>
              <w:top w:w="15" w:type="dxa"/>
              <w:left w:w="15" w:type="dxa"/>
              <w:bottom w:w="0" w:type="dxa"/>
              <w:right w:w="15" w:type="dxa"/>
            </w:tcMar>
            <w:vAlign w:val="center"/>
          </w:tcPr>
          <w:p w14:paraId="592FA91D"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Units</w:t>
            </w:r>
          </w:p>
        </w:tc>
        <w:tc>
          <w:tcPr>
            <w:tcW w:w="1129" w:type="dxa"/>
            <w:tcMar>
              <w:top w:w="15" w:type="dxa"/>
              <w:left w:w="15" w:type="dxa"/>
              <w:bottom w:w="0" w:type="dxa"/>
              <w:right w:w="15" w:type="dxa"/>
            </w:tcMar>
            <w:vAlign w:val="center"/>
          </w:tcPr>
          <w:p w14:paraId="1477A769"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Temporal Scope</w:t>
            </w:r>
          </w:p>
        </w:tc>
        <w:tc>
          <w:tcPr>
            <w:tcW w:w="1423" w:type="dxa"/>
            <w:tcMar>
              <w:top w:w="15" w:type="dxa"/>
              <w:left w:w="15" w:type="dxa"/>
              <w:bottom w:w="0" w:type="dxa"/>
              <w:right w:w="15" w:type="dxa"/>
            </w:tcMar>
            <w:vAlign w:val="center"/>
          </w:tcPr>
          <w:p w14:paraId="4D5E33DF"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Spatial Scope</w:t>
            </w:r>
          </w:p>
        </w:tc>
        <w:tc>
          <w:tcPr>
            <w:tcW w:w="2551" w:type="dxa"/>
            <w:tcMar>
              <w:top w:w="15" w:type="dxa"/>
              <w:left w:w="15" w:type="dxa"/>
              <w:bottom w:w="0" w:type="dxa"/>
              <w:right w:w="15" w:type="dxa"/>
            </w:tcMar>
            <w:vAlign w:val="center"/>
          </w:tcPr>
          <w:p w14:paraId="31F8CBDA"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Economic / Semantic Focus</w:t>
            </w:r>
          </w:p>
        </w:tc>
      </w:tr>
      <w:tr w:rsidR="005E04FA" w14:paraId="0F9938BB" w14:textId="77777777" w:rsidTr="00DC0531">
        <w:trPr>
          <w:trHeight w:val="250"/>
          <w:jc w:val="right"/>
        </w:trPr>
        <w:tc>
          <w:tcPr>
            <w:tcW w:w="880" w:type="dxa"/>
            <w:tcMar>
              <w:top w:w="15" w:type="dxa"/>
              <w:left w:w="15" w:type="dxa"/>
              <w:bottom w:w="0" w:type="dxa"/>
              <w:right w:w="15" w:type="dxa"/>
            </w:tcMar>
            <w:vAlign w:val="center"/>
          </w:tcPr>
          <w:p w14:paraId="1A528D0A"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Grid &amp; Sustainability</w:t>
            </w:r>
          </w:p>
        </w:tc>
        <w:tc>
          <w:tcPr>
            <w:tcW w:w="1388" w:type="dxa"/>
            <w:tcMar>
              <w:top w:w="15" w:type="dxa"/>
              <w:left w:w="15" w:type="dxa"/>
              <w:bottom w:w="0" w:type="dxa"/>
              <w:right w:w="15" w:type="dxa"/>
            </w:tcMar>
            <w:vAlign w:val="center"/>
          </w:tcPr>
          <w:p w14:paraId="6BF986DB"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Grid carbon intensity (CI); MEF</w:t>
            </w:r>
          </w:p>
        </w:tc>
        <w:tc>
          <w:tcPr>
            <w:tcW w:w="1134" w:type="dxa"/>
            <w:tcMar>
              <w:top w:w="15" w:type="dxa"/>
              <w:left w:w="15" w:type="dxa"/>
              <w:bottom w:w="0" w:type="dxa"/>
              <w:right w:w="15" w:type="dxa"/>
            </w:tcMar>
            <w:vAlign w:val="center"/>
          </w:tcPr>
          <w:p w14:paraId="5EB771AC" w14:textId="77777777" w:rsidR="005E04FA" w:rsidRDefault="005E04FA" w:rsidP="00DC0531">
            <w:pPr>
              <w:spacing w:line="160" w:lineRule="exact"/>
              <w:jc w:val="left"/>
              <w:rPr>
                <w:rFonts w:ascii="Times New Roman" w:eastAsia="Times New Roman" w:hAnsi="Times New Roman"/>
                <w:sz w:val="14"/>
                <w:szCs w:val="14"/>
              </w:rPr>
            </w:pPr>
            <w:proofErr w:type="spellStart"/>
            <w:r>
              <w:rPr>
                <w:rFonts w:ascii="Times New Roman" w:eastAsia="Times New Roman" w:hAnsi="Times New Roman"/>
                <w:sz w:val="14"/>
                <w:szCs w:val="14"/>
              </w:rPr>
              <w:t>gCO</w:t>
            </w:r>
            <w:proofErr w:type="spellEnd"/>
            <w:r>
              <w:rPr>
                <w:rFonts w:ascii="Times New Roman" w:eastAsia="Times New Roman" w:hAnsi="Times New Roman"/>
                <w:sz w:val="14"/>
                <w:szCs w:val="14"/>
              </w:rPr>
              <w:t>₂/kWh</w:t>
            </w:r>
          </w:p>
        </w:tc>
        <w:tc>
          <w:tcPr>
            <w:tcW w:w="1129" w:type="dxa"/>
            <w:tcMar>
              <w:top w:w="15" w:type="dxa"/>
              <w:left w:w="15" w:type="dxa"/>
              <w:bottom w:w="0" w:type="dxa"/>
              <w:right w:w="15" w:type="dxa"/>
            </w:tcMar>
            <w:vAlign w:val="center"/>
          </w:tcPr>
          <w:p w14:paraId="3E90C5E6" w14:textId="77777777" w:rsidR="005E04FA" w:rsidRDefault="005E04FA" w:rsidP="00DC0531">
            <w:pPr>
              <w:spacing w:line="160" w:lineRule="exact"/>
              <w:jc w:val="left"/>
              <w:rPr>
                <w:rFonts w:ascii="Times New Roman" w:eastAsia="Times New Roman" w:hAnsi="Times New Roman"/>
                <w:sz w:val="14"/>
                <w:szCs w:val="14"/>
              </w:rPr>
            </w:pPr>
            <w:sdt>
              <w:sdtPr>
                <w:rPr>
                  <w:rFonts w:ascii="Times New Roman" w:eastAsia="Times New Roman" w:hAnsi="Times New Roman"/>
                  <w:sz w:val="14"/>
                  <w:szCs w:val="14"/>
                </w:rPr>
                <w:tag w:val="goog_rdk_0"/>
                <w:id w:val="-1947715569"/>
              </w:sdtPr>
              <w:sdtContent>
                <w:r w:rsidRPr="000F3101">
                  <w:rPr>
                    <w:rFonts w:ascii="Times New Roman" w:eastAsia="Times New Roman" w:hAnsi="Times New Roman"/>
                    <w:sz w:val="14"/>
                    <w:szCs w:val="14"/>
                  </w:rPr>
                  <w:t>hourly → sub-hourly</w:t>
                </w:r>
              </w:sdtContent>
            </w:sdt>
          </w:p>
        </w:tc>
        <w:tc>
          <w:tcPr>
            <w:tcW w:w="1423" w:type="dxa"/>
            <w:tcMar>
              <w:top w:w="15" w:type="dxa"/>
              <w:left w:w="15" w:type="dxa"/>
              <w:bottom w:w="0" w:type="dxa"/>
              <w:right w:w="15" w:type="dxa"/>
            </w:tcMar>
            <w:vAlign w:val="center"/>
          </w:tcPr>
          <w:p w14:paraId="5304F068"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regional grid / power market</w:t>
            </w:r>
          </w:p>
        </w:tc>
        <w:tc>
          <w:tcPr>
            <w:tcW w:w="2551" w:type="dxa"/>
            <w:tcMar>
              <w:top w:w="15" w:type="dxa"/>
              <w:left w:w="15" w:type="dxa"/>
              <w:bottom w:w="0" w:type="dxa"/>
              <w:right w:w="15" w:type="dxa"/>
            </w:tcMar>
            <w:vAlign w:val="center"/>
          </w:tcPr>
          <w:p w14:paraId="7F87962D"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xml:space="preserve">Carbon-adjusted cost of </w:t>
            </w:r>
            <w:proofErr w:type="gramStart"/>
            <w:r>
              <w:rPr>
                <w:rFonts w:ascii="Times New Roman" w:eastAsia="Times New Roman" w:hAnsi="Times New Roman"/>
                <w:sz w:val="14"/>
                <w:szCs w:val="14"/>
              </w:rPr>
              <w:t>compute</w:t>
            </w:r>
            <w:proofErr w:type="gramEnd"/>
            <w:r>
              <w:rPr>
                <w:rFonts w:ascii="Times New Roman" w:eastAsia="Times New Roman" w:hAnsi="Times New Roman"/>
                <w:sz w:val="14"/>
                <w:szCs w:val="14"/>
              </w:rPr>
              <w:t>, electricity price, DR participation value</w:t>
            </w:r>
          </w:p>
        </w:tc>
      </w:tr>
      <w:tr w:rsidR="005E04FA" w14:paraId="529234E5" w14:textId="77777777" w:rsidTr="00DC0531">
        <w:trPr>
          <w:trHeight w:val="59"/>
          <w:jc w:val="right"/>
        </w:trPr>
        <w:tc>
          <w:tcPr>
            <w:tcW w:w="880" w:type="dxa"/>
            <w:tcMar>
              <w:top w:w="15" w:type="dxa"/>
              <w:left w:w="15" w:type="dxa"/>
              <w:bottom w:w="0" w:type="dxa"/>
              <w:right w:w="15" w:type="dxa"/>
            </w:tcMar>
            <w:vAlign w:val="center"/>
          </w:tcPr>
          <w:p w14:paraId="0422257E"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Facility Efficiency</w:t>
            </w:r>
          </w:p>
        </w:tc>
        <w:tc>
          <w:tcPr>
            <w:tcW w:w="1388" w:type="dxa"/>
            <w:tcMar>
              <w:top w:w="15" w:type="dxa"/>
              <w:left w:w="15" w:type="dxa"/>
              <w:bottom w:w="0" w:type="dxa"/>
              <w:right w:w="15" w:type="dxa"/>
            </w:tcMar>
            <w:vAlign w:val="center"/>
          </w:tcPr>
          <w:p w14:paraId="2D051829"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PUE (Power Usage Effectiveness)</w:t>
            </w:r>
          </w:p>
        </w:tc>
        <w:tc>
          <w:tcPr>
            <w:tcW w:w="1134" w:type="dxa"/>
            <w:tcMar>
              <w:top w:w="15" w:type="dxa"/>
              <w:left w:w="15" w:type="dxa"/>
              <w:bottom w:w="0" w:type="dxa"/>
              <w:right w:w="15" w:type="dxa"/>
            </w:tcMar>
            <w:vAlign w:val="center"/>
          </w:tcPr>
          <w:p w14:paraId="377C9804"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ratio (kWh/kWh)</w:t>
            </w:r>
          </w:p>
        </w:tc>
        <w:tc>
          <w:tcPr>
            <w:tcW w:w="1129" w:type="dxa"/>
            <w:tcMar>
              <w:top w:w="15" w:type="dxa"/>
              <w:left w:w="15" w:type="dxa"/>
              <w:bottom w:w="0" w:type="dxa"/>
              <w:right w:w="15" w:type="dxa"/>
            </w:tcMar>
            <w:vAlign w:val="center"/>
          </w:tcPr>
          <w:p w14:paraId="41E090FE" w14:textId="77777777" w:rsidR="005E04FA" w:rsidRDefault="005E04FA" w:rsidP="00DC0531">
            <w:pPr>
              <w:spacing w:line="160" w:lineRule="exact"/>
              <w:jc w:val="left"/>
              <w:rPr>
                <w:rFonts w:ascii="Times New Roman" w:eastAsia="Times New Roman" w:hAnsi="Times New Roman"/>
                <w:sz w:val="14"/>
                <w:szCs w:val="14"/>
              </w:rPr>
            </w:pPr>
            <w:sdt>
              <w:sdtPr>
                <w:rPr>
                  <w:rFonts w:ascii="Times New Roman" w:eastAsia="Times New Roman" w:hAnsi="Times New Roman"/>
                  <w:sz w:val="14"/>
                  <w:szCs w:val="14"/>
                </w:rPr>
                <w:tag w:val="goog_rdk_1"/>
                <w:id w:val="1334080809"/>
              </w:sdtPr>
              <w:sdtContent>
                <w:r w:rsidRPr="000F3101">
                  <w:rPr>
                    <w:rFonts w:ascii="Times New Roman" w:eastAsia="Times New Roman" w:hAnsi="Times New Roman"/>
                    <w:sz w:val="14"/>
                    <w:szCs w:val="14"/>
                  </w:rPr>
                  <w:t>hourly → monthly</w:t>
                </w:r>
              </w:sdtContent>
            </w:sdt>
          </w:p>
        </w:tc>
        <w:tc>
          <w:tcPr>
            <w:tcW w:w="1423" w:type="dxa"/>
            <w:tcMar>
              <w:top w:w="15" w:type="dxa"/>
              <w:left w:w="15" w:type="dxa"/>
              <w:bottom w:w="0" w:type="dxa"/>
              <w:right w:w="15" w:type="dxa"/>
            </w:tcMar>
            <w:vAlign w:val="center"/>
          </w:tcPr>
          <w:p w14:paraId="5F273B4F"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datacenter / facility</w:t>
            </w:r>
          </w:p>
        </w:tc>
        <w:tc>
          <w:tcPr>
            <w:tcW w:w="2551" w:type="dxa"/>
            <w:tcMar>
              <w:top w:w="15" w:type="dxa"/>
              <w:left w:w="15" w:type="dxa"/>
              <w:bottom w:w="0" w:type="dxa"/>
              <w:right w:w="15" w:type="dxa"/>
            </w:tcMar>
            <w:vAlign w:val="center"/>
          </w:tcPr>
          <w:p w14:paraId="7F1B3A22"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xml:space="preserve">Cooling </w:t>
            </w:r>
            <w:proofErr w:type="spellStart"/>
            <w:r>
              <w:rPr>
                <w:rFonts w:ascii="Times New Roman" w:eastAsia="Times New Roman" w:hAnsi="Times New Roman"/>
                <w:sz w:val="14"/>
                <w:szCs w:val="14"/>
              </w:rPr>
              <w:t>OpEx</w:t>
            </w:r>
            <w:proofErr w:type="spellEnd"/>
            <w:r>
              <w:rPr>
                <w:rFonts w:ascii="Times New Roman" w:eastAsia="Times New Roman" w:hAnsi="Times New Roman"/>
                <w:sz w:val="14"/>
                <w:szCs w:val="14"/>
              </w:rPr>
              <w:t>, energy overhead cost, carbon-embedded cost; thermodynamic inefficiency pathways</w:t>
            </w:r>
          </w:p>
        </w:tc>
      </w:tr>
      <w:tr w:rsidR="005E04FA" w14:paraId="31977499" w14:textId="77777777" w:rsidTr="00DC0531">
        <w:trPr>
          <w:trHeight w:val="529"/>
          <w:jc w:val="right"/>
        </w:trPr>
        <w:tc>
          <w:tcPr>
            <w:tcW w:w="880" w:type="dxa"/>
            <w:tcMar>
              <w:top w:w="15" w:type="dxa"/>
              <w:left w:w="15" w:type="dxa"/>
              <w:bottom w:w="0" w:type="dxa"/>
              <w:right w:w="15" w:type="dxa"/>
            </w:tcMar>
            <w:vAlign w:val="center"/>
          </w:tcPr>
          <w:p w14:paraId="4E04097C" w14:textId="77777777" w:rsidR="005E04FA" w:rsidRDefault="005E04FA" w:rsidP="00DC0531">
            <w:pPr>
              <w:spacing w:line="160" w:lineRule="exact"/>
              <w:jc w:val="center"/>
              <w:rPr>
                <w:rFonts w:ascii="Times New Roman" w:eastAsia="Times New Roman" w:hAnsi="Times New Roman"/>
                <w:b/>
                <w:bCs/>
                <w:sz w:val="14"/>
                <w:szCs w:val="14"/>
              </w:rPr>
            </w:pPr>
            <w:proofErr w:type="gramStart"/>
            <w:r>
              <w:rPr>
                <w:rFonts w:ascii="Times New Roman" w:eastAsia="Times New Roman" w:hAnsi="Times New Roman"/>
                <w:b/>
                <w:bCs/>
                <w:sz w:val="14"/>
                <w:szCs w:val="14"/>
              </w:rPr>
              <w:t>Compute</w:t>
            </w:r>
            <w:proofErr w:type="gramEnd"/>
            <w:r>
              <w:rPr>
                <w:rFonts w:ascii="Times New Roman" w:eastAsia="Times New Roman" w:hAnsi="Times New Roman"/>
                <w:b/>
                <w:bCs/>
                <w:sz w:val="14"/>
                <w:szCs w:val="14"/>
              </w:rPr>
              <w:t xml:space="preserve"> Efficiency</w:t>
            </w:r>
          </w:p>
        </w:tc>
        <w:tc>
          <w:tcPr>
            <w:tcW w:w="1388" w:type="dxa"/>
            <w:tcMar>
              <w:top w:w="15" w:type="dxa"/>
              <w:left w:w="15" w:type="dxa"/>
              <w:bottom w:w="0" w:type="dxa"/>
              <w:right w:w="15" w:type="dxa"/>
            </w:tcMar>
            <w:vAlign w:val="center"/>
          </w:tcPr>
          <w:p w14:paraId="0BECC127"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FLOPs/W or Tokens/J</w:t>
            </w:r>
          </w:p>
        </w:tc>
        <w:tc>
          <w:tcPr>
            <w:tcW w:w="1134" w:type="dxa"/>
            <w:tcMar>
              <w:top w:w="15" w:type="dxa"/>
              <w:left w:w="15" w:type="dxa"/>
              <w:bottom w:w="0" w:type="dxa"/>
              <w:right w:w="15" w:type="dxa"/>
            </w:tcMar>
            <w:vAlign w:val="center"/>
          </w:tcPr>
          <w:p w14:paraId="14BAA640"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FLOPs per watt; joules per token</w:t>
            </w:r>
          </w:p>
        </w:tc>
        <w:tc>
          <w:tcPr>
            <w:tcW w:w="1129" w:type="dxa"/>
            <w:tcMar>
              <w:top w:w="15" w:type="dxa"/>
              <w:left w:w="15" w:type="dxa"/>
              <w:bottom w:w="0" w:type="dxa"/>
              <w:right w:w="15" w:type="dxa"/>
            </w:tcMar>
            <w:vAlign w:val="center"/>
          </w:tcPr>
          <w:p w14:paraId="578897C0" w14:textId="77777777" w:rsidR="005E04FA" w:rsidRDefault="005E04FA" w:rsidP="00DC0531">
            <w:pPr>
              <w:spacing w:line="160" w:lineRule="exact"/>
              <w:jc w:val="left"/>
              <w:rPr>
                <w:rFonts w:ascii="Times New Roman" w:eastAsia="Times New Roman" w:hAnsi="Times New Roman"/>
                <w:sz w:val="14"/>
                <w:szCs w:val="14"/>
              </w:rPr>
            </w:pPr>
            <w:sdt>
              <w:sdtPr>
                <w:rPr>
                  <w:rFonts w:ascii="Times New Roman" w:eastAsia="Times New Roman" w:hAnsi="Times New Roman"/>
                  <w:sz w:val="14"/>
                  <w:szCs w:val="14"/>
                </w:rPr>
                <w:tag w:val="goog_rdk_2"/>
                <w:id w:val="-1536742012"/>
              </w:sdtPr>
              <w:sdtContent>
                <w:r w:rsidRPr="000F3101">
                  <w:rPr>
                    <w:rFonts w:ascii="Times New Roman" w:eastAsia="Times New Roman" w:hAnsi="Times New Roman"/>
                    <w:sz w:val="14"/>
                    <w:szCs w:val="14"/>
                  </w:rPr>
                  <w:t>microsecond → second</w:t>
                </w:r>
              </w:sdtContent>
            </w:sdt>
          </w:p>
        </w:tc>
        <w:tc>
          <w:tcPr>
            <w:tcW w:w="1423" w:type="dxa"/>
            <w:tcMar>
              <w:top w:w="15" w:type="dxa"/>
              <w:left w:w="15" w:type="dxa"/>
              <w:bottom w:w="0" w:type="dxa"/>
              <w:right w:w="15" w:type="dxa"/>
            </w:tcMar>
            <w:vAlign w:val="center"/>
          </w:tcPr>
          <w:p w14:paraId="2E328AED"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chip / GPU / TPU / rack</w:t>
            </w:r>
          </w:p>
        </w:tc>
        <w:tc>
          <w:tcPr>
            <w:tcW w:w="2551" w:type="dxa"/>
            <w:tcMar>
              <w:top w:w="15" w:type="dxa"/>
              <w:left w:w="15" w:type="dxa"/>
              <w:bottom w:w="0" w:type="dxa"/>
              <w:right w:w="15" w:type="dxa"/>
            </w:tcMar>
            <w:vAlign w:val="center"/>
          </w:tcPr>
          <w:p w14:paraId="64086855"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xml:space="preserve">Compute-per-dollar, thermal throttling impacts on </w:t>
            </w:r>
            <w:proofErr w:type="spellStart"/>
            <w:r>
              <w:rPr>
                <w:rFonts w:ascii="Times New Roman" w:eastAsia="Times New Roman" w:hAnsi="Times New Roman"/>
                <w:sz w:val="14"/>
                <w:szCs w:val="14"/>
              </w:rPr>
              <w:t>OpEx</w:t>
            </w:r>
            <w:proofErr w:type="spellEnd"/>
            <w:r>
              <w:rPr>
                <w:rFonts w:ascii="Times New Roman" w:eastAsia="Times New Roman" w:hAnsi="Times New Roman"/>
                <w:sz w:val="14"/>
                <w:szCs w:val="14"/>
              </w:rPr>
              <w:t>, accelerator amortization efficiency</w:t>
            </w:r>
          </w:p>
        </w:tc>
      </w:tr>
      <w:tr w:rsidR="005E04FA" w14:paraId="1376F80C" w14:textId="77777777" w:rsidTr="00DC0531">
        <w:trPr>
          <w:trHeight w:val="304"/>
          <w:jc w:val="right"/>
        </w:trPr>
        <w:tc>
          <w:tcPr>
            <w:tcW w:w="880" w:type="dxa"/>
            <w:tcMar>
              <w:top w:w="15" w:type="dxa"/>
              <w:left w:w="15" w:type="dxa"/>
              <w:bottom w:w="0" w:type="dxa"/>
              <w:right w:w="15" w:type="dxa"/>
            </w:tcMar>
            <w:vAlign w:val="center"/>
          </w:tcPr>
          <w:p w14:paraId="1A60E4C1"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Workload Efficiency</w:t>
            </w:r>
          </w:p>
        </w:tc>
        <w:tc>
          <w:tcPr>
            <w:tcW w:w="1388" w:type="dxa"/>
            <w:tcMar>
              <w:top w:w="15" w:type="dxa"/>
              <w:left w:w="15" w:type="dxa"/>
              <w:bottom w:w="0" w:type="dxa"/>
              <w:right w:w="15" w:type="dxa"/>
            </w:tcMar>
            <w:vAlign w:val="center"/>
          </w:tcPr>
          <w:p w14:paraId="12348B6B"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Joules per inference; Time-to-convergence</w:t>
            </w:r>
          </w:p>
        </w:tc>
        <w:tc>
          <w:tcPr>
            <w:tcW w:w="1134" w:type="dxa"/>
            <w:tcMar>
              <w:top w:w="15" w:type="dxa"/>
              <w:left w:w="15" w:type="dxa"/>
              <w:bottom w:w="0" w:type="dxa"/>
              <w:right w:w="15" w:type="dxa"/>
            </w:tcMar>
            <w:vAlign w:val="center"/>
          </w:tcPr>
          <w:p w14:paraId="04D55068"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J/op; time to accuracy</w:t>
            </w:r>
          </w:p>
        </w:tc>
        <w:tc>
          <w:tcPr>
            <w:tcW w:w="1129" w:type="dxa"/>
            <w:tcMar>
              <w:top w:w="15" w:type="dxa"/>
              <w:left w:w="15" w:type="dxa"/>
              <w:bottom w:w="0" w:type="dxa"/>
              <w:right w:w="15" w:type="dxa"/>
            </w:tcMar>
            <w:vAlign w:val="center"/>
          </w:tcPr>
          <w:p w14:paraId="067A52AB" w14:textId="77777777" w:rsidR="005E04FA" w:rsidRDefault="005E04FA" w:rsidP="00DC0531">
            <w:pPr>
              <w:spacing w:line="160" w:lineRule="exact"/>
              <w:jc w:val="left"/>
              <w:rPr>
                <w:rFonts w:ascii="Times New Roman" w:eastAsia="Times New Roman" w:hAnsi="Times New Roman"/>
                <w:sz w:val="14"/>
                <w:szCs w:val="14"/>
              </w:rPr>
            </w:pPr>
            <w:sdt>
              <w:sdtPr>
                <w:rPr>
                  <w:rFonts w:ascii="Times New Roman" w:eastAsia="Times New Roman" w:hAnsi="Times New Roman"/>
                  <w:sz w:val="14"/>
                  <w:szCs w:val="14"/>
                </w:rPr>
                <w:tag w:val="goog_rdk_3"/>
                <w:id w:val="1524034763"/>
              </w:sdtPr>
              <w:sdtContent>
                <w:r w:rsidRPr="000F3101">
                  <w:rPr>
                    <w:rFonts w:ascii="Times New Roman" w:eastAsia="Times New Roman" w:hAnsi="Times New Roman"/>
                    <w:sz w:val="14"/>
                    <w:szCs w:val="14"/>
                  </w:rPr>
                  <w:t>millisecond → job / batch</w:t>
                </w:r>
              </w:sdtContent>
            </w:sdt>
          </w:p>
        </w:tc>
        <w:tc>
          <w:tcPr>
            <w:tcW w:w="1423" w:type="dxa"/>
            <w:tcMar>
              <w:top w:w="15" w:type="dxa"/>
              <w:left w:w="15" w:type="dxa"/>
              <w:bottom w:w="0" w:type="dxa"/>
              <w:right w:w="15" w:type="dxa"/>
            </w:tcMar>
            <w:vAlign w:val="center"/>
          </w:tcPr>
          <w:p w14:paraId="1DC21608"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job / pipeline / distributed cluster</w:t>
            </w:r>
          </w:p>
        </w:tc>
        <w:tc>
          <w:tcPr>
            <w:tcW w:w="2551" w:type="dxa"/>
            <w:tcMar>
              <w:top w:w="15" w:type="dxa"/>
              <w:left w:w="15" w:type="dxa"/>
              <w:bottom w:w="0" w:type="dxa"/>
              <w:right w:w="15" w:type="dxa"/>
            </w:tcMar>
            <w:vAlign w:val="center"/>
          </w:tcPr>
          <w:p w14:paraId="39D3F551"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Productivity cost, pipeline congestion, cost-per-inference, scheduling elasticity</w:t>
            </w:r>
          </w:p>
        </w:tc>
      </w:tr>
      <w:tr w:rsidR="005E04FA" w14:paraId="5B14F45D" w14:textId="77777777" w:rsidTr="00DC0531">
        <w:trPr>
          <w:trHeight w:val="310"/>
          <w:jc w:val="right"/>
        </w:trPr>
        <w:tc>
          <w:tcPr>
            <w:tcW w:w="880" w:type="dxa"/>
            <w:tcMar>
              <w:top w:w="15" w:type="dxa"/>
              <w:left w:w="15" w:type="dxa"/>
              <w:bottom w:w="0" w:type="dxa"/>
              <w:right w:w="15" w:type="dxa"/>
            </w:tcMar>
            <w:vAlign w:val="center"/>
          </w:tcPr>
          <w:p w14:paraId="5616B31C"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lastRenderedPageBreak/>
              <w:t>Economic Metrics</w:t>
            </w:r>
          </w:p>
        </w:tc>
        <w:tc>
          <w:tcPr>
            <w:tcW w:w="1388" w:type="dxa"/>
            <w:tcMar>
              <w:top w:w="15" w:type="dxa"/>
              <w:left w:w="15" w:type="dxa"/>
              <w:bottom w:w="0" w:type="dxa"/>
              <w:right w:w="15" w:type="dxa"/>
            </w:tcMar>
            <w:vAlign w:val="center"/>
          </w:tcPr>
          <w:p w14:paraId="3FE20F57"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TCO; LCOE; marginal cost of compute</w:t>
            </w:r>
          </w:p>
        </w:tc>
        <w:tc>
          <w:tcPr>
            <w:tcW w:w="1134" w:type="dxa"/>
            <w:tcMar>
              <w:top w:w="15" w:type="dxa"/>
              <w:left w:w="15" w:type="dxa"/>
              <w:bottom w:w="0" w:type="dxa"/>
              <w:right w:w="15" w:type="dxa"/>
            </w:tcMar>
            <w:vAlign w:val="center"/>
          </w:tcPr>
          <w:p w14:paraId="5E735219"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USD/year; USD/op</w:t>
            </w:r>
          </w:p>
        </w:tc>
        <w:tc>
          <w:tcPr>
            <w:tcW w:w="1129" w:type="dxa"/>
            <w:tcMar>
              <w:top w:w="15" w:type="dxa"/>
              <w:left w:w="15" w:type="dxa"/>
              <w:bottom w:w="0" w:type="dxa"/>
              <w:right w:w="15" w:type="dxa"/>
            </w:tcMar>
            <w:vAlign w:val="center"/>
          </w:tcPr>
          <w:p w14:paraId="09216C97" w14:textId="77777777" w:rsidR="005E04FA" w:rsidRDefault="005E04FA" w:rsidP="00DC0531">
            <w:pPr>
              <w:spacing w:line="160" w:lineRule="exact"/>
              <w:jc w:val="left"/>
              <w:rPr>
                <w:rFonts w:ascii="Times New Roman" w:eastAsia="Times New Roman" w:hAnsi="Times New Roman"/>
                <w:sz w:val="14"/>
                <w:szCs w:val="14"/>
              </w:rPr>
            </w:pPr>
            <w:sdt>
              <w:sdtPr>
                <w:rPr>
                  <w:rFonts w:ascii="Times New Roman" w:eastAsia="Times New Roman" w:hAnsi="Times New Roman"/>
                  <w:sz w:val="14"/>
                  <w:szCs w:val="14"/>
                </w:rPr>
                <w:tag w:val="goog_rdk_4"/>
                <w:id w:val="1857669731"/>
              </w:sdtPr>
              <w:sdtContent>
                <w:r w:rsidRPr="000F3101">
                  <w:rPr>
                    <w:rFonts w:ascii="Times New Roman" w:eastAsia="Times New Roman" w:hAnsi="Times New Roman"/>
                    <w:sz w:val="14"/>
                    <w:szCs w:val="14"/>
                  </w:rPr>
                  <w:t>annual → multi-year</w:t>
                </w:r>
              </w:sdtContent>
            </w:sdt>
          </w:p>
        </w:tc>
        <w:tc>
          <w:tcPr>
            <w:tcW w:w="1423" w:type="dxa"/>
            <w:tcMar>
              <w:top w:w="15" w:type="dxa"/>
              <w:left w:w="15" w:type="dxa"/>
              <w:bottom w:w="0" w:type="dxa"/>
              <w:right w:w="15" w:type="dxa"/>
            </w:tcMar>
            <w:vAlign w:val="center"/>
          </w:tcPr>
          <w:p w14:paraId="624F98B9"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cluster / region / org</w:t>
            </w:r>
          </w:p>
        </w:tc>
        <w:tc>
          <w:tcPr>
            <w:tcW w:w="2551" w:type="dxa"/>
            <w:tcMar>
              <w:top w:w="15" w:type="dxa"/>
              <w:left w:w="15" w:type="dxa"/>
              <w:bottom w:w="0" w:type="dxa"/>
              <w:right w:w="15" w:type="dxa"/>
            </w:tcMar>
            <w:vAlign w:val="center"/>
          </w:tcPr>
          <w:p w14:paraId="22A2D012" w14:textId="77777777" w:rsidR="005E04FA" w:rsidRDefault="005E04FA" w:rsidP="00DC0531">
            <w:pPr>
              <w:spacing w:line="160" w:lineRule="exact"/>
              <w:jc w:val="left"/>
              <w:rPr>
                <w:rFonts w:ascii="Times New Roman" w:eastAsia="Times New Roman" w:hAnsi="Times New Roman"/>
                <w:sz w:val="14"/>
                <w:szCs w:val="14"/>
              </w:rPr>
            </w:pPr>
            <w:r w:rsidRPr="00D111F1">
              <w:rPr>
                <w:rFonts w:ascii="Times New Roman" w:eastAsia="Times New Roman" w:hAnsi="Times New Roman"/>
                <w:sz w:val="14"/>
                <w:szCs w:val="14"/>
              </w:rPr>
              <w:t>Lifecycle finance (</w:t>
            </w:r>
            <w:proofErr w:type="spellStart"/>
            <w:r w:rsidRPr="00D111F1">
              <w:rPr>
                <w:rFonts w:ascii="Times New Roman" w:eastAsia="Times New Roman" w:hAnsi="Times New Roman"/>
                <w:sz w:val="14"/>
                <w:szCs w:val="14"/>
              </w:rPr>
              <w:t>CapEx→OpEx</w:t>
            </w:r>
            <w:proofErr w:type="spellEnd"/>
            <w:r w:rsidRPr="00D111F1">
              <w:rPr>
                <w:rFonts w:ascii="Times New Roman" w:eastAsia="Times New Roman" w:hAnsi="Times New Roman"/>
                <w:sz w:val="14"/>
                <w:szCs w:val="14"/>
              </w:rPr>
              <w:t>), depreciation, price exposure, long-run cost sustainability</w:t>
            </w:r>
          </w:p>
        </w:tc>
      </w:tr>
      <w:tr w:rsidR="005E04FA" w14:paraId="03D91B94" w14:textId="77777777" w:rsidTr="00DC0531">
        <w:trPr>
          <w:trHeight w:val="59"/>
          <w:jc w:val="right"/>
        </w:trPr>
        <w:tc>
          <w:tcPr>
            <w:tcW w:w="880" w:type="dxa"/>
            <w:tcMar>
              <w:top w:w="15" w:type="dxa"/>
              <w:left w:w="15" w:type="dxa"/>
              <w:bottom w:w="0" w:type="dxa"/>
              <w:right w:w="15" w:type="dxa"/>
            </w:tcMar>
            <w:vAlign w:val="center"/>
          </w:tcPr>
          <w:p w14:paraId="4DEF8BF8" w14:textId="77777777" w:rsidR="005E04FA" w:rsidRDefault="005E04FA" w:rsidP="00DC0531">
            <w:pPr>
              <w:spacing w:line="160" w:lineRule="exact"/>
              <w:jc w:val="center"/>
              <w:rPr>
                <w:rFonts w:ascii="Times New Roman" w:eastAsia="Times New Roman" w:hAnsi="Times New Roman"/>
                <w:b/>
                <w:bCs/>
                <w:sz w:val="14"/>
                <w:szCs w:val="14"/>
              </w:rPr>
            </w:pPr>
            <w:r>
              <w:rPr>
                <w:rFonts w:ascii="Times New Roman" w:eastAsia="Times New Roman" w:hAnsi="Times New Roman"/>
                <w:b/>
                <w:bCs/>
                <w:sz w:val="14"/>
                <w:szCs w:val="14"/>
              </w:rPr>
              <w:t>Reliability &amp; Operations</w:t>
            </w:r>
          </w:p>
        </w:tc>
        <w:tc>
          <w:tcPr>
            <w:tcW w:w="1388" w:type="dxa"/>
            <w:tcMar>
              <w:top w:w="15" w:type="dxa"/>
              <w:left w:w="15" w:type="dxa"/>
              <w:bottom w:w="0" w:type="dxa"/>
              <w:right w:w="15" w:type="dxa"/>
            </w:tcMar>
            <w:vAlign w:val="center"/>
          </w:tcPr>
          <w:p w14:paraId="79D9906B"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SLA availability; MTBF/MTTR</w:t>
            </w:r>
          </w:p>
        </w:tc>
        <w:tc>
          <w:tcPr>
            <w:tcW w:w="1134" w:type="dxa"/>
            <w:tcMar>
              <w:top w:w="15" w:type="dxa"/>
              <w:left w:w="15" w:type="dxa"/>
              <w:bottom w:w="0" w:type="dxa"/>
              <w:right w:w="15" w:type="dxa"/>
            </w:tcMar>
            <w:vAlign w:val="center"/>
          </w:tcPr>
          <w:p w14:paraId="2A864538"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 availability; hours</w:t>
            </w:r>
          </w:p>
        </w:tc>
        <w:tc>
          <w:tcPr>
            <w:tcW w:w="1129" w:type="dxa"/>
            <w:tcMar>
              <w:top w:w="15" w:type="dxa"/>
              <w:left w:w="15" w:type="dxa"/>
              <w:bottom w:w="0" w:type="dxa"/>
              <w:right w:w="15" w:type="dxa"/>
            </w:tcMar>
            <w:vAlign w:val="center"/>
          </w:tcPr>
          <w:p w14:paraId="7C1A41FE"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event-driven; daily</w:t>
            </w:r>
          </w:p>
        </w:tc>
        <w:tc>
          <w:tcPr>
            <w:tcW w:w="1423" w:type="dxa"/>
            <w:tcMar>
              <w:top w:w="15" w:type="dxa"/>
              <w:left w:w="15" w:type="dxa"/>
              <w:bottom w:w="0" w:type="dxa"/>
              <w:right w:w="15" w:type="dxa"/>
            </w:tcMar>
            <w:vAlign w:val="center"/>
          </w:tcPr>
          <w:p w14:paraId="1662A683"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fleet / service / component</w:t>
            </w:r>
          </w:p>
        </w:tc>
        <w:tc>
          <w:tcPr>
            <w:tcW w:w="2551" w:type="dxa"/>
            <w:tcMar>
              <w:top w:w="15" w:type="dxa"/>
              <w:left w:w="15" w:type="dxa"/>
              <w:bottom w:w="0" w:type="dxa"/>
              <w:right w:w="15" w:type="dxa"/>
            </w:tcMar>
            <w:vAlign w:val="center"/>
          </w:tcPr>
          <w:p w14:paraId="619A9F2B" w14:textId="77777777" w:rsidR="005E04FA" w:rsidRDefault="005E04FA" w:rsidP="00DC0531">
            <w:pPr>
              <w:spacing w:line="160" w:lineRule="exact"/>
              <w:jc w:val="left"/>
              <w:rPr>
                <w:rFonts w:ascii="Times New Roman" w:eastAsia="Times New Roman" w:hAnsi="Times New Roman"/>
                <w:sz w:val="14"/>
                <w:szCs w:val="14"/>
              </w:rPr>
            </w:pPr>
            <w:r>
              <w:rPr>
                <w:rFonts w:ascii="Times New Roman" w:eastAsia="Times New Roman" w:hAnsi="Times New Roman"/>
                <w:sz w:val="14"/>
                <w:szCs w:val="14"/>
              </w:rPr>
              <w:t>Downtime loss, SLA penalty risk, redundancy overhead, risk-adjusted TCO</w:t>
            </w:r>
          </w:p>
        </w:tc>
      </w:tr>
    </w:tbl>
    <w:p w14:paraId="5F1FEE0F" w14:textId="26E95574" w:rsidR="005E04FA" w:rsidRPr="005E04FA" w:rsidRDefault="005E04FA" w:rsidP="005E04FA">
      <w:pPr>
        <w:pStyle w:val="MDPI31text"/>
        <w:rPr>
          <w:rFonts w:eastAsiaTheme="minorEastAsia" w:hint="eastAsia"/>
          <w:b/>
          <w:bCs/>
          <w:lang w:eastAsia="zh-CN"/>
        </w:rPr>
      </w:pPr>
      <w:r w:rsidRPr="008644B0">
        <w:rPr>
          <w:sz w:val="18"/>
          <w:szCs w:val="20"/>
          <w:lang w:val="en"/>
        </w:rPr>
        <w:t>Notes</w:t>
      </w:r>
      <w:r w:rsidRPr="008644B0">
        <w:rPr>
          <w:i/>
          <w:iCs/>
          <w:sz w:val="18"/>
          <w:szCs w:val="20"/>
          <w:lang w:val="en"/>
        </w:rPr>
        <w:t>:</w:t>
      </w:r>
      <w:r w:rsidRPr="008644B0">
        <w:rPr>
          <w:sz w:val="18"/>
          <w:szCs w:val="20"/>
          <w:lang w:val="en"/>
        </w:rPr>
        <w:t xml:space="preserve"> This table reports representative, not exhaustive, metrics within each family. Individual metrics may differ substantially in units, temporal granularity, and measurement boundaries. The table is intended to illustrate heterogeneity across families rather than internal completeness.</w:t>
      </w:r>
    </w:p>
    <w:p w14:paraId="5D8B9B59" w14:textId="77777777" w:rsidR="005E04FA" w:rsidRPr="005E04FA" w:rsidRDefault="005E04FA" w:rsidP="005E04FA">
      <w:pPr>
        <w:pStyle w:val="MDPI31text"/>
        <w:spacing w:line="280" w:lineRule="exact"/>
        <w:jc w:val="left"/>
        <w:rPr>
          <w:b/>
          <w:bCs/>
          <w:lang w:val="en"/>
        </w:rPr>
      </w:pPr>
      <w:r w:rsidRPr="005E04FA">
        <w:rPr>
          <w:b/>
          <w:bCs/>
          <w:lang w:val="en"/>
        </w:rPr>
        <w:t>A.8. Implication for the main framework</w:t>
      </w:r>
    </w:p>
    <w:p w14:paraId="4FD38D8F" w14:textId="77777777" w:rsidR="005E04FA" w:rsidRPr="005E04FA" w:rsidRDefault="005E04FA" w:rsidP="005E04FA">
      <w:pPr>
        <w:pStyle w:val="MDPI31text"/>
        <w:spacing w:line="280" w:lineRule="exact"/>
        <w:jc w:val="left"/>
        <w:rPr>
          <w:lang w:val="en"/>
        </w:rPr>
      </w:pPr>
      <w:r w:rsidRPr="005E04FA">
        <w:rPr>
          <w:lang w:val="en"/>
        </w:rPr>
        <w:t xml:space="preserve">Taken together, these limitations explain why the existing landscape does not naturally support holistic economic evaluation or multi-objective planning in AI infrastructure. </w:t>
      </w:r>
      <w:proofErr w:type="gramStart"/>
      <w:r w:rsidRPr="005E04FA">
        <w:rPr>
          <w:lang w:val="en"/>
        </w:rPr>
        <w:t>The literature</w:t>
      </w:r>
      <w:proofErr w:type="gramEnd"/>
      <w:r w:rsidRPr="005E04FA">
        <w:rPr>
          <w:lang w:val="en"/>
        </w:rPr>
        <w:t xml:space="preserve"> contains many useful metrics, but it rarely provides a common analytical structure for placing them at the correct layer, aligning their semantics, documenting their boundaries, and composing them into interpretable integrated quantities without hidden double counting.</w:t>
      </w:r>
    </w:p>
    <w:p w14:paraId="01EA73D4" w14:textId="77777777" w:rsidR="005E04FA" w:rsidRPr="005E04FA" w:rsidRDefault="005E04FA" w:rsidP="005E04FA">
      <w:pPr>
        <w:pStyle w:val="MDPI31text"/>
        <w:spacing w:line="280" w:lineRule="exact"/>
        <w:jc w:val="left"/>
        <w:rPr>
          <w:lang w:val="en"/>
        </w:rPr>
      </w:pPr>
      <w:r w:rsidRPr="005E04FA">
        <w:rPr>
          <w:lang w:val="en"/>
        </w:rPr>
        <w:t xml:space="preserve">This is the gap addressed by the main framework in the paper. The unified 6×3 taxonomy provides a common coordinate system across layers and semantic domains, while the procedural decision workflow and Metric Propagation Graph provide a disciplined way to select, connect, and synthesize metrics under explicit boundary rules. The role of this appendix is therefore supportive rather than central: it documents the fragmented landscape in fuller form, while the main text focuses on the framework that makes that landscape </w:t>
      </w:r>
      <w:proofErr w:type="gramStart"/>
      <w:r w:rsidRPr="005E04FA">
        <w:rPr>
          <w:lang w:val="en"/>
        </w:rPr>
        <w:t>decision-usable</w:t>
      </w:r>
      <w:proofErr w:type="gramEnd"/>
      <w:r w:rsidRPr="005E04FA">
        <w:rPr>
          <w:lang w:val="en"/>
        </w:rPr>
        <w:t>.</w:t>
      </w:r>
    </w:p>
    <w:p w14:paraId="0EA42568" w14:textId="2BF8C9F1" w:rsidR="007C2F53" w:rsidRPr="00ED5755" w:rsidRDefault="007C2F53" w:rsidP="007C2F53">
      <w:pPr>
        <w:pStyle w:val="MDPI21heading1"/>
      </w:pPr>
      <w:r w:rsidRPr="00ED5755">
        <w:rPr>
          <w:szCs w:val="24"/>
        </w:rPr>
        <w:t>Appendix</w:t>
      </w:r>
      <w:r w:rsidRPr="00ED5755">
        <w:t xml:space="preserve"> </w:t>
      </w:r>
      <w:r w:rsidR="005E04FA">
        <w:rPr>
          <w:rFonts w:eastAsiaTheme="minorEastAsia" w:hint="eastAsia"/>
          <w:lang w:eastAsia="zh-CN"/>
        </w:rPr>
        <w:t>B</w:t>
      </w:r>
      <w:r>
        <w:t xml:space="preserve">. </w:t>
      </w:r>
      <w:r w:rsidRPr="00770120">
        <w:t>Comprehensive Metrics Dictionary for AI Infrastructure Analysis</w:t>
      </w:r>
    </w:p>
    <w:p w14:paraId="4A3BCD37" w14:textId="77777777" w:rsidR="007C2F53" w:rsidRPr="00770120" w:rsidRDefault="007C2F53" w:rsidP="007C2F53">
      <w:pPr>
        <w:pStyle w:val="MDPI31text"/>
        <w:spacing w:line="280" w:lineRule="exact"/>
        <w:jc w:val="left"/>
        <w:rPr>
          <w:lang w:val="en"/>
        </w:rPr>
      </w:pPr>
      <w:r w:rsidRPr="00770120">
        <w:rPr>
          <w:lang w:val="en"/>
        </w:rPr>
        <w:t xml:space="preserve">This appendix provides a unified and systematic dictionary of the metrics used throughout the paper’s six-layer, cross-domain AI infrastructure framework. Because the full stack of AI systems spans physical grid interactions, facility-level thermodynamics, computing hardware, networking fabrics, machine-learning execution, service-level reliability, and economic performance, the terminology used in industry and academic literature is highly heterogeneous. Metrics are often defined inconsistently across organizations, including </w:t>
      </w:r>
      <w:proofErr w:type="spellStart"/>
      <w:r w:rsidRPr="00770120">
        <w:rPr>
          <w:lang w:val="en"/>
        </w:rPr>
        <w:t>hyperscalers</w:t>
      </w:r>
      <w:proofErr w:type="spellEnd"/>
      <w:r w:rsidRPr="00770120">
        <w:rPr>
          <w:lang w:val="en"/>
        </w:rPr>
        <w:t>, chip vendors, ML benchmarking groups, and power-systems agencies, creating ambiguity in cross-layer economic or efficiency analysis.</w:t>
      </w:r>
    </w:p>
    <w:p w14:paraId="733C86ED" w14:textId="77777777" w:rsidR="007C2F53" w:rsidRPr="00770120" w:rsidRDefault="007C2F53" w:rsidP="007C2F53">
      <w:pPr>
        <w:pStyle w:val="MDPI31text"/>
        <w:spacing w:line="280" w:lineRule="exact"/>
        <w:jc w:val="left"/>
        <w:rPr>
          <w:lang w:val="en"/>
        </w:rPr>
      </w:pPr>
      <w:r w:rsidRPr="00770120">
        <w:rPr>
          <w:lang w:val="en"/>
        </w:rPr>
        <w:t>To resolve this fragmentation, Appendix A consolidates all metrics referenced across the 18 analytical cells (6 Layers × 3 Domains) into a single, coherent reference. The appendix includes all metrics.</w:t>
      </w:r>
    </w:p>
    <w:p w14:paraId="74112B07" w14:textId="77777777" w:rsidR="007C2F53" w:rsidRPr="00770120" w:rsidRDefault="007C2F53" w:rsidP="007C2F53">
      <w:pPr>
        <w:pStyle w:val="MDPI31text"/>
        <w:spacing w:line="280" w:lineRule="exact"/>
        <w:jc w:val="left"/>
        <w:rPr>
          <w:lang w:val="en"/>
        </w:rPr>
      </w:pPr>
      <w:r w:rsidRPr="00770120">
        <w:rPr>
          <w:b/>
          <w:bCs/>
          <w:lang w:val="en"/>
        </w:rPr>
        <w:t>Table A.</w:t>
      </w:r>
      <w:r w:rsidRPr="00770120">
        <w:rPr>
          <w:lang w:val="en"/>
        </w:rPr>
        <w:t xml:space="preserve"> Unified Metrics Dictionary Across All Layers and Domains of AI Infrastructure</w:t>
      </w:r>
    </w:p>
    <w:tbl>
      <w:tblPr>
        <w:tblpPr w:leftFromText="180" w:rightFromText="180" w:vertAnchor="page" w:horzAnchor="margin" w:tblpXSpec="center" w:tblpY="1387"/>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2070"/>
        <w:gridCol w:w="2880"/>
        <w:gridCol w:w="4140"/>
      </w:tblGrid>
      <w:tr w:rsidR="007C2F53" w14:paraId="515CB74E" w14:textId="77777777" w:rsidTr="002B3C97">
        <w:trPr>
          <w:cantSplit/>
        </w:trPr>
        <w:tc>
          <w:tcPr>
            <w:tcW w:w="1435" w:type="dxa"/>
            <w:vAlign w:val="center"/>
          </w:tcPr>
          <w:p w14:paraId="51ACB257"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694284C0"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Metrics</w:t>
            </w:r>
          </w:p>
        </w:tc>
        <w:tc>
          <w:tcPr>
            <w:tcW w:w="2880" w:type="dxa"/>
            <w:vAlign w:val="center"/>
          </w:tcPr>
          <w:p w14:paraId="37EBAF17" w14:textId="77777777" w:rsidR="007C2F53" w:rsidRDefault="007C2F53" w:rsidP="002B3C97">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Definition</w:t>
            </w:r>
          </w:p>
        </w:tc>
        <w:tc>
          <w:tcPr>
            <w:tcW w:w="4140" w:type="dxa"/>
            <w:vAlign w:val="center"/>
          </w:tcPr>
          <w:p w14:paraId="67A8CA10" w14:textId="77777777" w:rsidR="007C2F53" w:rsidRDefault="007C2F53" w:rsidP="002B3C97">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Interpretation</w:t>
            </w:r>
          </w:p>
        </w:tc>
      </w:tr>
      <w:tr w:rsidR="007C2F53" w14:paraId="15577C3A" w14:textId="77777777" w:rsidTr="002B3C97">
        <w:trPr>
          <w:cantSplit/>
        </w:trPr>
        <w:tc>
          <w:tcPr>
            <w:tcW w:w="1435" w:type="dxa"/>
            <w:vMerge w:val="restart"/>
            <w:vAlign w:val="center"/>
          </w:tcPr>
          <w:p w14:paraId="6CF10FF6"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Grid &amp; Sustainability Layer - Domain 1: Physical Efficiency</w:t>
            </w:r>
          </w:p>
        </w:tc>
        <w:tc>
          <w:tcPr>
            <w:tcW w:w="2070" w:type="dxa"/>
            <w:vAlign w:val="center"/>
          </w:tcPr>
          <w:p w14:paraId="76FE4E65"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Marginal Emissions Factor (MEF)</w:t>
            </w:r>
          </w:p>
        </w:tc>
        <w:tc>
          <w:tcPr>
            <w:tcW w:w="2880" w:type="dxa"/>
            <w:vAlign w:val="center"/>
          </w:tcPr>
          <w:p w14:paraId="1512669D" w14:textId="1EEDAB48"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MEF=</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ΔEmissions</m:t>
                    </m:r>
                  </m:num>
                  <m:den>
                    <m:r>
                      <m:rPr>
                        <m:sty m:val="p"/>
                      </m:rPr>
                      <w:rPr>
                        <w:rFonts w:ascii="Cambria Math" w:eastAsia="Cambria Math" w:hAnsi="Cambria Math" w:cs="Cambria Math"/>
                        <w:sz w:val="10"/>
                        <w:szCs w:val="10"/>
                      </w:rPr>
                      <m:t>ΔLoad</m:t>
                    </m:r>
                  </m:den>
                </m:f>
              </m:oMath>
            </m:oMathPara>
          </w:p>
        </w:tc>
        <w:tc>
          <w:tcPr>
            <w:tcW w:w="4140" w:type="dxa"/>
            <w:vAlign w:val="center"/>
          </w:tcPr>
          <w:p w14:paraId="7DF75A7D"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The marginal emissions factor measures the change in grid-level CO₂ emissions from a marginal increase or decrease in electrical load. It reflects the carbon intensity of the marginal generator.</w:t>
            </w:r>
          </w:p>
        </w:tc>
      </w:tr>
      <w:tr w:rsidR="007C2F53" w14:paraId="64AB40B7" w14:textId="77777777" w:rsidTr="002B3C97">
        <w:trPr>
          <w:cantSplit/>
        </w:trPr>
        <w:tc>
          <w:tcPr>
            <w:tcW w:w="1435" w:type="dxa"/>
            <w:vMerge/>
            <w:vAlign w:val="center"/>
          </w:tcPr>
          <w:p w14:paraId="584578A3"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7C31EE90"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Time-Varying Grid Carbon Intensity</w:t>
            </w:r>
          </w:p>
        </w:tc>
        <w:tc>
          <w:tcPr>
            <w:tcW w:w="2880" w:type="dxa"/>
            <w:vAlign w:val="center"/>
          </w:tcPr>
          <w:p w14:paraId="2299F2FD" w14:textId="4E3FF8FB"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CI</m:t>
                </m:r>
                <m:d>
                  <m:dPr>
                    <m:ctrlPr>
                      <w:rPr>
                        <w:rFonts w:ascii="Cambria Math" w:eastAsia="Cambria Math" w:hAnsi="Cambria Math" w:cs="Cambria Math"/>
                        <w:iCs/>
                        <w:sz w:val="10"/>
                        <w:szCs w:val="10"/>
                      </w:rPr>
                    </m:ctrlPr>
                  </m:dPr>
                  <m:e>
                    <m:r>
                      <m:rPr>
                        <m:sty m:val="p"/>
                      </m:rPr>
                      <w:rPr>
                        <w:rFonts w:ascii="Cambria Math" w:eastAsia="Cambria Math" w:hAnsi="Cambria Math" w:cs="Cambria Math"/>
                        <w:sz w:val="10"/>
                        <w:szCs w:val="10"/>
                      </w:rPr>
                      <m:t>t</m:t>
                    </m:r>
                  </m:e>
                </m:d>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CO₂</m:t>
                        </m:r>
                      </m:sub>
                    </m:sSub>
                    <m:d>
                      <m:dPr>
                        <m:ctrlPr>
                          <w:rPr>
                            <w:rFonts w:ascii="Cambria Math" w:eastAsia="Cambria Math" w:hAnsi="Cambria Math" w:cs="Cambria Math"/>
                            <w:iCs/>
                            <w:sz w:val="10"/>
                            <w:szCs w:val="10"/>
                          </w:rPr>
                        </m:ctrlPr>
                      </m:dPr>
                      <m:e>
                        <m:r>
                          <m:rPr>
                            <m:sty m:val="p"/>
                          </m:rPr>
                          <w:rPr>
                            <w:rFonts w:ascii="Cambria Math" w:eastAsia="Cambria Math" w:hAnsi="Cambria Math" w:cs="Cambria Math"/>
                            <w:sz w:val="10"/>
                            <w:szCs w:val="10"/>
                          </w:rPr>
                          <m:t>t</m:t>
                        </m:r>
                      </m:e>
                    </m:d>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grid</m:t>
                        </m:r>
                      </m:sub>
                    </m:sSub>
                    <m:d>
                      <m:dPr>
                        <m:ctrlPr>
                          <w:rPr>
                            <w:rFonts w:ascii="Cambria Math" w:eastAsia="Cambria Math" w:hAnsi="Cambria Math" w:cs="Cambria Math"/>
                            <w:iCs/>
                            <w:sz w:val="10"/>
                            <w:szCs w:val="10"/>
                          </w:rPr>
                        </m:ctrlPr>
                      </m:dPr>
                      <m:e>
                        <m:r>
                          <m:rPr>
                            <m:sty m:val="p"/>
                          </m:rPr>
                          <w:rPr>
                            <w:rFonts w:ascii="Cambria Math" w:eastAsia="Cambria Math" w:hAnsi="Cambria Math" w:cs="Cambria Math"/>
                            <w:sz w:val="10"/>
                            <w:szCs w:val="10"/>
                          </w:rPr>
                          <m:t>t</m:t>
                        </m:r>
                      </m:e>
                    </m:d>
                  </m:den>
                </m:f>
              </m:oMath>
            </m:oMathPara>
          </w:p>
        </w:tc>
        <w:tc>
          <w:tcPr>
            <w:tcW w:w="4140" w:type="dxa"/>
            <w:vAlign w:val="center"/>
          </w:tcPr>
          <w:p w14:paraId="070BA450" w14:textId="2CE8A4A5"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Carbon intensity represents the instantaneous emission rate of the grid at time </w:t>
            </w:r>
            <m:oMath>
              <m:r>
                <w:rPr>
                  <w:rFonts w:ascii="Cambria Math" w:eastAsia="Cambria Math" w:hAnsi="Cambria Math" w:cs="Cambria Math"/>
                  <w:sz w:val="12"/>
                  <w:szCs w:val="12"/>
                </w:rPr>
                <m:t>t</m:t>
              </m:r>
            </m:oMath>
            <w:r>
              <w:rPr>
                <w:rFonts w:ascii="Times New Roman" w:eastAsia="Times New Roman" w:hAnsi="Times New Roman"/>
                <w:sz w:val="12"/>
                <w:szCs w:val="12"/>
              </w:rPr>
              <w:t>, generally expressed in gCO₂/kWh. It captures temporal fluctuations in the grid’s generation mix.</w:t>
            </w:r>
          </w:p>
        </w:tc>
      </w:tr>
      <w:tr w:rsidR="007C2F53" w14:paraId="09AC6C8A" w14:textId="77777777" w:rsidTr="002B3C97">
        <w:trPr>
          <w:cantSplit/>
        </w:trPr>
        <w:tc>
          <w:tcPr>
            <w:tcW w:w="1435" w:type="dxa"/>
            <w:vMerge/>
            <w:vAlign w:val="center"/>
          </w:tcPr>
          <w:p w14:paraId="18DE9A67"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2ED626CE"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Renewable Availability</w:t>
            </w:r>
          </w:p>
        </w:tc>
        <w:tc>
          <w:tcPr>
            <w:tcW w:w="2880" w:type="dxa"/>
            <w:vAlign w:val="center"/>
          </w:tcPr>
          <w:p w14:paraId="689B67F4" w14:textId="6A6AABF3"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RA(t)=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renewable</m:t>
                        </m:r>
                      </m:sub>
                    </m:sSub>
                    <m:r>
                      <m:rPr>
                        <m:sty m:val="p"/>
                      </m:rPr>
                      <w:rPr>
                        <w:rFonts w:ascii="Cambria Math" w:eastAsia="Cambria Math" w:hAnsi="Cambria Math" w:cs="Cambria Math"/>
                        <w:sz w:val="10"/>
                        <w:szCs w:val="10"/>
                      </w:rPr>
                      <m:t>(t)</m:t>
                    </m:r>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total</m:t>
                        </m:r>
                      </m:sub>
                    </m:sSub>
                    <m:r>
                      <m:rPr>
                        <m:sty m:val="p"/>
                      </m:rPr>
                      <w:rPr>
                        <w:rFonts w:ascii="Cambria Math" w:eastAsia="Cambria Math" w:hAnsi="Cambria Math" w:cs="Cambria Math"/>
                        <w:sz w:val="10"/>
                        <w:szCs w:val="10"/>
                      </w:rPr>
                      <m:t>(t)</m:t>
                    </m:r>
                  </m:den>
                </m:f>
              </m:oMath>
            </m:oMathPara>
          </w:p>
        </w:tc>
        <w:tc>
          <w:tcPr>
            <w:tcW w:w="4140" w:type="dxa"/>
            <w:vAlign w:val="center"/>
          </w:tcPr>
          <w:p w14:paraId="2CEFE18B" w14:textId="2FE2FE00"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Share of electricity generated from renewable sources (solar, wind, hydro, etc.) at time </w:t>
            </w:r>
            <m:oMath>
              <m:r>
                <w:rPr>
                  <w:rFonts w:ascii="Cambria Math" w:eastAsia="Cambria Math" w:hAnsi="Cambria Math" w:cs="Cambria Math"/>
                  <w:sz w:val="12"/>
                  <w:szCs w:val="12"/>
                </w:rPr>
                <m:t>t</m:t>
              </m:r>
            </m:oMath>
            <w:r>
              <w:rPr>
                <w:rFonts w:ascii="Times New Roman" w:eastAsia="Times New Roman" w:hAnsi="Times New Roman"/>
                <w:sz w:val="12"/>
                <w:szCs w:val="12"/>
              </w:rPr>
              <w:t>. Indicates opportunities for renewable-aligned workload shifting.</w:t>
            </w:r>
          </w:p>
        </w:tc>
      </w:tr>
      <w:tr w:rsidR="007C2F53" w14:paraId="31DC4610" w14:textId="77777777" w:rsidTr="002B3C97">
        <w:trPr>
          <w:cantSplit/>
        </w:trPr>
        <w:tc>
          <w:tcPr>
            <w:tcW w:w="1435" w:type="dxa"/>
            <w:vMerge w:val="restart"/>
            <w:vAlign w:val="center"/>
          </w:tcPr>
          <w:p w14:paraId="36CC91D8"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Grid &amp; Sustainability Layer - Domain 2: Compute &amp; Workload Efficiency</w:t>
            </w:r>
          </w:p>
        </w:tc>
        <w:tc>
          <w:tcPr>
            <w:tcW w:w="2070" w:type="dxa"/>
            <w:vAlign w:val="center"/>
          </w:tcPr>
          <w:p w14:paraId="6103EFA5"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Grid-Constrained Workload Shiftability</w:t>
            </w:r>
          </w:p>
        </w:tc>
        <w:tc>
          <w:tcPr>
            <w:tcW w:w="2880" w:type="dxa"/>
            <w:vAlign w:val="center"/>
          </w:tcPr>
          <w:p w14:paraId="6F0D8786" w14:textId="77777777" w:rsidR="007C2F53" w:rsidRPr="002B3C97" w:rsidRDefault="007C2F53" w:rsidP="002B3C97">
            <w:pPr>
              <w:spacing w:line="240" w:lineRule="atLeast"/>
              <w:jc w:val="center"/>
              <w:rPr>
                <w:rFonts w:ascii="Cambria Math" w:eastAsia="Cambria Math" w:hAnsi="Cambria Math" w:cs="Cambria Math"/>
                <w:iCs/>
                <w:sz w:val="10"/>
                <w:szCs w:val="10"/>
              </w:rPr>
            </w:pPr>
            <w:r w:rsidRPr="002B3C97">
              <w:rPr>
                <w:rFonts w:ascii="Cambria Math" w:eastAsia="Cambria Math" w:hAnsi="Cambria Math" w:cs="Cambria Math"/>
                <w:iCs/>
                <w:sz w:val="10"/>
                <w:szCs w:val="10"/>
              </w:rPr>
              <w:t>Key metric: Shiftable Workload Fraction (SWF)</w:t>
            </w:r>
          </w:p>
          <w:p w14:paraId="7514FFCF" w14:textId="7DB4D11A"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SWF=</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W</m:t>
                        </m:r>
                      </m:e>
                      <m:sub>
                        <m:r>
                          <m:rPr>
                            <m:sty m:val="p"/>
                          </m:rPr>
                          <w:rPr>
                            <w:rFonts w:ascii="Cambria Math" w:eastAsia="Cambria Math" w:hAnsi="Cambria Math" w:cs="Cambria Math"/>
                            <w:sz w:val="10"/>
                            <w:szCs w:val="10"/>
                          </w:rPr>
                          <m:t>shiftable</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W</m:t>
                        </m:r>
                      </m:e>
                      <m:sub>
                        <m:r>
                          <m:rPr>
                            <m:sty m:val="p"/>
                          </m:rPr>
                          <w:rPr>
                            <w:rFonts w:ascii="Cambria Math" w:eastAsia="Cambria Math" w:hAnsi="Cambria Math" w:cs="Cambria Math"/>
                            <w:sz w:val="10"/>
                            <w:szCs w:val="10"/>
                          </w:rPr>
                          <m:t>total</m:t>
                        </m:r>
                      </m:sub>
                    </m:sSub>
                  </m:den>
                </m:f>
              </m:oMath>
            </m:oMathPara>
          </w:p>
        </w:tc>
        <w:tc>
          <w:tcPr>
            <w:tcW w:w="4140" w:type="dxa"/>
            <w:vAlign w:val="center"/>
          </w:tcPr>
          <w:p w14:paraId="41A6AA33"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Fraction of workload that can be temporally shifted to align with low-carbon or low-cost periods. Measures the workload’s temporal flexibility under grid constraints.</w:t>
            </w:r>
          </w:p>
        </w:tc>
      </w:tr>
      <w:tr w:rsidR="007C2F53" w14:paraId="61A0BD50" w14:textId="77777777" w:rsidTr="002B3C97">
        <w:trPr>
          <w:cantSplit/>
        </w:trPr>
        <w:tc>
          <w:tcPr>
            <w:tcW w:w="1435" w:type="dxa"/>
            <w:vMerge/>
            <w:vAlign w:val="center"/>
          </w:tcPr>
          <w:p w14:paraId="6A789DFD"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051EC5F"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Carbon-Aware Scheduling Limits</w:t>
            </w:r>
          </w:p>
        </w:tc>
        <w:tc>
          <w:tcPr>
            <w:tcW w:w="2880" w:type="dxa"/>
            <w:vAlign w:val="center"/>
          </w:tcPr>
          <w:p w14:paraId="51E5BCD8" w14:textId="77777777" w:rsidR="007C2F53" w:rsidRPr="002B3C97" w:rsidRDefault="007C2F53" w:rsidP="002B3C97">
            <w:pPr>
              <w:spacing w:line="240" w:lineRule="atLeast"/>
              <w:jc w:val="center"/>
              <w:rPr>
                <w:rFonts w:ascii="Cambria Math" w:eastAsia="Cambria Math" w:hAnsi="Cambria Math" w:cs="Cambria Math"/>
                <w:iCs/>
                <w:sz w:val="10"/>
                <w:szCs w:val="10"/>
              </w:rPr>
            </w:pPr>
            <w:r w:rsidRPr="002B3C97">
              <w:rPr>
                <w:rFonts w:ascii="Cambria Math" w:eastAsia="Cambria Math" w:hAnsi="Cambria Math" w:cs="Cambria Math"/>
                <w:iCs/>
                <w:sz w:val="10"/>
                <w:szCs w:val="10"/>
              </w:rPr>
              <w:t>Key metric: Emissions-Reduction Potential (ERP)</w:t>
            </w:r>
          </w:p>
          <w:p w14:paraId="758A9D7B" w14:textId="5C3464BC"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ERP=</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baseline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CAS</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baseline</m:t>
                        </m:r>
                      </m:sub>
                    </m:sSub>
                  </m:den>
                </m:f>
              </m:oMath>
            </m:oMathPara>
          </w:p>
        </w:tc>
        <w:tc>
          <w:tcPr>
            <w:tcW w:w="4140" w:type="dxa"/>
            <w:vAlign w:val="center"/>
          </w:tcPr>
          <w:p w14:paraId="61C870EA"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The maximum proportion of emissions that can be reduced by shifting execution into lower-carbon intervals, assuming perfect knowledge of carbon intensity signals.</w:t>
            </w:r>
          </w:p>
        </w:tc>
      </w:tr>
      <w:tr w:rsidR="007C2F53" w14:paraId="0F4A2EB4" w14:textId="77777777" w:rsidTr="002B3C97">
        <w:trPr>
          <w:cantSplit/>
        </w:trPr>
        <w:tc>
          <w:tcPr>
            <w:tcW w:w="1435" w:type="dxa"/>
            <w:vMerge/>
            <w:vAlign w:val="center"/>
          </w:tcPr>
          <w:p w14:paraId="6E8B8D03"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7AAD9BF4"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Workload Flexibility Under Grid Conditions</w:t>
            </w:r>
          </w:p>
        </w:tc>
        <w:tc>
          <w:tcPr>
            <w:tcW w:w="2880" w:type="dxa"/>
            <w:vAlign w:val="center"/>
          </w:tcPr>
          <w:p w14:paraId="7144E72F" w14:textId="39D1DF98"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WF(t)=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W</m:t>
                        </m:r>
                      </m:e>
                      <m:sub>
                        <m:r>
                          <m:rPr>
                            <m:sty m:val="p"/>
                          </m:rPr>
                          <w:rPr>
                            <w:rFonts w:ascii="Cambria Math" w:eastAsia="Cambria Math" w:hAnsi="Cambria Math" w:cs="Cambria Math"/>
                            <w:sz w:val="10"/>
                            <w:szCs w:val="10"/>
                          </w:rPr>
                          <m:t>executed in flexible window</m:t>
                        </m:r>
                      </m:sub>
                    </m:sSub>
                    <m:r>
                      <m:rPr>
                        <m:sty m:val="p"/>
                      </m:rPr>
                      <w:rPr>
                        <w:rFonts w:ascii="Cambria Math" w:eastAsia="Cambria Math" w:hAnsi="Cambria Math" w:cs="Cambria Math"/>
                        <w:sz w:val="10"/>
                        <w:szCs w:val="10"/>
                      </w:rPr>
                      <m:t>(t)</m:t>
                    </m:r>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W</m:t>
                        </m:r>
                      </m:e>
                      <m:sub>
                        <m:r>
                          <m:rPr>
                            <m:sty m:val="p"/>
                          </m:rPr>
                          <w:rPr>
                            <w:rFonts w:ascii="Cambria Math" w:eastAsia="Cambria Math" w:hAnsi="Cambria Math" w:cs="Cambria Math"/>
                            <w:sz w:val="10"/>
                            <w:szCs w:val="10"/>
                          </w:rPr>
                          <m:t>total</m:t>
                        </m:r>
                      </m:sub>
                    </m:sSub>
                    <m:r>
                      <m:rPr>
                        <m:sty m:val="p"/>
                      </m:rPr>
                      <w:rPr>
                        <w:rFonts w:ascii="Cambria Math" w:eastAsia="Cambria Math" w:hAnsi="Cambria Math" w:cs="Cambria Math"/>
                        <w:sz w:val="10"/>
                        <w:szCs w:val="10"/>
                      </w:rPr>
                      <m:t>(t)</m:t>
                    </m:r>
                  </m:den>
                </m:f>
              </m:oMath>
            </m:oMathPara>
          </w:p>
        </w:tc>
        <w:tc>
          <w:tcPr>
            <w:tcW w:w="4140" w:type="dxa"/>
            <w:vAlign w:val="center"/>
          </w:tcPr>
          <w:p w14:paraId="7B65E68A"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Represents the share of active workload that responds to real-time grid conditions (curtailment, congestion, or carbon signals). Useful for carbon-aware or demand-response compute.</w:t>
            </w:r>
          </w:p>
        </w:tc>
      </w:tr>
      <w:tr w:rsidR="007C2F53" w14:paraId="6FC91EF6" w14:textId="77777777" w:rsidTr="002B3C97">
        <w:trPr>
          <w:cantSplit/>
        </w:trPr>
        <w:tc>
          <w:tcPr>
            <w:tcW w:w="1435" w:type="dxa"/>
            <w:vMerge w:val="restart"/>
            <w:vAlign w:val="center"/>
          </w:tcPr>
          <w:p w14:paraId="2BEE5887"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Grid &amp; Sustainability Layer - Domain 3: Lifecycle Economics &amp; Reliability Risk</w:t>
            </w:r>
          </w:p>
        </w:tc>
        <w:tc>
          <w:tcPr>
            <w:tcW w:w="2070" w:type="dxa"/>
            <w:vAlign w:val="center"/>
          </w:tcPr>
          <w:p w14:paraId="71C7022A"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Time-Varying Electricity Price (LMP / RTO Pricing)</w:t>
            </w:r>
          </w:p>
        </w:tc>
        <w:tc>
          <w:tcPr>
            <w:tcW w:w="2880" w:type="dxa"/>
            <w:vAlign w:val="center"/>
          </w:tcPr>
          <w:p w14:paraId="7AAAFE44" w14:textId="5D59E5E0"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Price(t)=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λ</m:t>
                    </m:r>
                  </m:e>
                  <m:sub>
                    <m:r>
                      <m:rPr>
                        <m:sty m:val="p"/>
                      </m:rPr>
                      <w:rPr>
                        <w:rFonts w:ascii="Cambria Math" w:eastAsia="Cambria Math" w:hAnsi="Cambria Math" w:cs="Cambria Math"/>
                        <w:sz w:val="10"/>
                        <w:szCs w:val="10"/>
                      </w:rPr>
                      <m:t>LMP</m:t>
                    </m:r>
                  </m:sub>
                </m:sSub>
                <m:r>
                  <m:rPr>
                    <m:sty m:val="p"/>
                  </m:rPr>
                  <w:rPr>
                    <w:rFonts w:ascii="Cambria Math" w:eastAsia="Cambria Math" w:hAnsi="Cambria Math" w:cs="Cambria Math"/>
                    <w:sz w:val="10"/>
                    <w:szCs w:val="10"/>
                  </w:rPr>
                  <m:t>(t)</m:t>
                </m:r>
              </m:oMath>
            </m:oMathPara>
          </w:p>
        </w:tc>
        <w:tc>
          <w:tcPr>
            <w:tcW w:w="4140" w:type="dxa"/>
            <w:vAlign w:val="center"/>
          </w:tcPr>
          <w:p w14:paraId="0CE95E08" w14:textId="64235405"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The locational marginal price reflects the marginal cost of serving the next unit of electricity at time </w:t>
            </w:r>
            <m:oMath>
              <m:r>
                <w:rPr>
                  <w:rFonts w:ascii="Cambria Math" w:eastAsia="Cambria Math" w:hAnsi="Cambria Math" w:cs="Cambria Math"/>
                  <w:sz w:val="12"/>
                  <w:szCs w:val="12"/>
                </w:rPr>
                <m:t>t</m:t>
              </m:r>
            </m:oMath>
            <w:r>
              <w:rPr>
                <w:rFonts w:ascii="Times New Roman" w:eastAsia="Times New Roman" w:hAnsi="Times New Roman"/>
                <w:sz w:val="12"/>
                <w:szCs w:val="12"/>
              </w:rPr>
              <w:t>, incorporating energy, congestion, and loss components.</w:t>
            </w:r>
          </w:p>
        </w:tc>
      </w:tr>
      <w:tr w:rsidR="007C2F53" w14:paraId="75D9D4EE" w14:textId="77777777" w:rsidTr="002B3C97">
        <w:trPr>
          <w:cantSplit/>
        </w:trPr>
        <w:tc>
          <w:tcPr>
            <w:tcW w:w="1435" w:type="dxa"/>
            <w:vMerge/>
            <w:vAlign w:val="center"/>
          </w:tcPr>
          <w:p w14:paraId="11B5BD34"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042834DC"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Carbon Pricing Exposure</w:t>
            </w:r>
          </w:p>
        </w:tc>
        <w:tc>
          <w:tcPr>
            <w:tcW w:w="2880" w:type="dxa"/>
            <w:vAlign w:val="center"/>
          </w:tcPr>
          <w:p w14:paraId="15807B8B" w14:textId="5AFB8524"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CPE(t)=CI(t)×CarbonPrice(t)</m:t>
                </m:r>
              </m:oMath>
            </m:oMathPara>
          </w:p>
        </w:tc>
        <w:tc>
          <w:tcPr>
            <w:tcW w:w="4140" w:type="dxa"/>
            <w:vAlign w:val="center"/>
          </w:tcPr>
          <w:p w14:paraId="7D104FFF" w14:textId="062348D5"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Effective monetary exposure to carbon cost at time </w:t>
            </w:r>
            <m:oMath>
              <m:r>
                <w:rPr>
                  <w:rFonts w:ascii="Cambria Math" w:eastAsia="Cambria Math" w:hAnsi="Cambria Math" w:cs="Cambria Math"/>
                  <w:sz w:val="12"/>
                  <w:szCs w:val="12"/>
                </w:rPr>
                <m:t>t</m:t>
              </m:r>
            </m:oMath>
            <w:r>
              <w:rPr>
                <w:rFonts w:ascii="Times New Roman" w:eastAsia="Times New Roman" w:hAnsi="Times New Roman"/>
                <w:sz w:val="12"/>
                <w:szCs w:val="12"/>
              </w:rPr>
              <w:t>. Used when carbon pricing, carbon taxes, or cap-and-trade systems apply.</w:t>
            </w:r>
          </w:p>
        </w:tc>
      </w:tr>
      <w:tr w:rsidR="007C2F53" w14:paraId="22CEBA5B" w14:textId="77777777" w:rsidTr="002B3C97">
        <w:trPr>
          <w:cantSplit/>
        </w:trPr>
        <w:tc>
          <w:tcPr>
            <w:tcW w:w="1435" w:type="dxa"/>
            <w:vMerge/>
            <w:vAlign w:val="center"/>
          </w:tcPr>
          <w:p w14:paraId="40CAB2DC"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B3C7A43" w14:textId="77777777" w:rsidR="007C2F53" w:rsidRPr="005E13C1" w:rsidRDefault="007C2F53" w:rsidP="002B3C97">
            <w:pPr>
              <w:spacing w:line="160" w:lineRule="exact"/>
              <w:jc w:val="center"/>
              <w:rPr>
                <w:rFonts w:ascii="Times New Roman" w:eastAsia="Times New Roman" w:hAnsi="Times New Roman"/>
                <w:sz w:val="12"/>
                <w:szCs w:val="12"/>
              </w:rPr>
            </w:pPr>
            <w:r w:rsidRPr="00B34399">
              <w:rPr>
                <w:rFonts w:ascii="Times New Roman" w:eastAsia="Times New Roman" w:hAnsi="Times New Roman"/>
                <w:sz w:val="12"/>
                <w:szCs w:val="12"/>
              </w:rPr>
              <w:t>Carbon Cost per Token</w:t>
            </w:r>
          </w:p>
        </w:tc>
        <w:tc>
          <w:tcPr>
            <w:tcW w:w="2880" w:type="dxa"/>
            <w:vAlign w:val="center"/>
          </w:tcPr>
          <w:p w14:paraId="1A2B3C1A" w14:textId="6AFED3AF"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nor/>
                      </m:rPr>
                      <w:rPr>
                        <w:rFonts w:ascii="Cambria Math" w:eastAsia="Cambria Math" w:hAnsi="Cambria Math" w:cs="Cambria Math"/>
                        <w:iCs/>
                        <w:sz w:val="10"/>
                        <w:szCs w:val="10"/>
                      </w:rPr>
                      <m:t>carbon,token</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gC</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O</m:t>
                        </m:r>
                      </m:e>
                      <m:sub>
                        <m:r>
                          <m:rPr>
                            <m:sty m:val="p"/>
                          </m:rPr>
                          <w:rPr>
                            <w:rFonts w:ascii="Cambria Math" w:eastAsia="Cambria Math" w:hAnsi="Cambria Math" w:cs="Cambria Math"/>
                            <w:sz w:val="10"/>
                            <w:szCs w:val="10"/>
                          </w:rPr>
                          <m:t>2</m:t>
                        </m:r>
                      </m:sub>
                    </m:sSub>
                  </m:num>
                  <m:den>
                    <m:r>
                      <m:rPr>
                        <m:nor/>
                      </m:rPr>
                      <w:rPr>
                        <w:rFonts w:ascii="Cambria Math" w:eastAsia="Cambria Math" w:hAnsi="Cambria Math" w:cs="Cambria Math"/>
                        <w:iCs/>
                        <w:sz w:val="10"/>
                        <w:szCs w:val="10"/>
                      </w:rPr>
                      <m:t>token</m:t>
                    </m:r>
                  </m:den>
                </m:f>
                <m:r>
                  <m:rPr>
                    <m:sty m:val="p"/>
                  </m:rPr>
                  <w:rPr>
                    <w:rFonts w:ascii="Cambria Math" w:eastAsia="Cambria Math" w:hAnsi="Cambria Math" w:cs="Cambria Math"/>
                    <w:sz w:val="10"/>
                    <w:szCs w:val="10"/>
                  </w:rPr>
                  <m:t>⋅</m:t>
                </m:r>
                <m:r>
                  <m:rPr>
                    <m:nor/>
                  </m:rPr>
                  <w:rPr>
                    <w:rFonts w:ascii="Cambria Math" w:eastAsia="Cambria Math" w:hAnsi="Cambria Math" w:cs="Cambria Math"/>
                    <w:iCs/>
                    <w:sz w:val="10"/>
                    <w:szCs w:val="10"/>
                  </w:rPr>
                  <m:t>carbon price</m:t>
                </m:r>
                <m:r>
                  <m:rPr>
                    <m:sty m:val="p"/>
                  </m:rPr>
                  <w:rPr>
                    <w:rFonts w:ascii="Cambria Math" w:eastAsia="Cambria Math" w:hAnsi="Cambria Math" w:cs="Cambria Math"/>
                    <w:sz w:val="10"/>
                    <w:szCs w:val="10"/>
                  </w:rPr>
                  <w:br/>
                </m:r>
              </m:oMath>
            </m:oMathPara>
          </w:p>
        </w:tc>
        <w:tc>
          <w:tcPr>
            <w:tcW w:w="4140" w:type="dxa"/>
            <w:vAlign w:val="center"/>
          </w:tcPr>
          <w:p w14:paraId="07AD6A2B"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heme="minorEastAsia" w:hAnsi="Times New Roman" w:hint="eastAsia"/>
                <w:sz w:val="12"/>
                <w:szCs w:val="12"/>
              </w:rPr>
              <w:t>M</w:t>
            </w:r>
            <w:r w:rsidRPr="00B34399">
              <w:rPr>
                <w:rFonts w:ascii="Times New Roman" w:eastAsia="Times New Roman" w:hAnsi="Times New Roman"/>
                <w:sz w:val="12"/>
                <w:szCs w:val="12"/>
              </w:rPr>
              <w:t>onetary cost of carbon emissions attributable to generating one unit of AI output (one token), integrating facility efficiency, grid carbon intensity, and carbon pricing.</w:t>
            </w:r>
            <w:r>
              <w:rPr>
                <w:rFonts w:ascii="Times New Roman" w:eastAsiaTheme="minorEastAsia" w:hAnsi="Times New Roman" w:hint="eastAsia"/>
                <w:sz w:val="12"/>
                <w:szCs w:val="12"/>
              </w:rPr>
              <w:t xml:space="preserve"> </w:t>
            </w:r>
            <w:r w:rsidRPr="00B34399">
              <w:rPr>
                <w:rFonts w:ascii="Times New Roman" w:eastAsia="Times New Roman" w:hAnsi="Times New Roman"/>
                <w:sz w:val="12"/>
                <w:szCs w:val="12"/>
              </w:rPr>
              <w:t>It reflects how sustainability constraints propagate into model inference cost.</w:t>
            </w:r>
          </w:p>
        </w:tc>
      </w:tr>
      <w:tr w:rsidR="007C2F53" w14:paraId="509701E3" w14:textId="77777777" w:rsidTr="002B3C97">
        <w:trPr>
          <w:cantSplit/>
        </w:trPr>
        <w:tc>
          <w:tcPr>
            <w:tcW w:w="1435" w:type="dxa"/>
            <w:vMerge/>
            <w:vAlign w:val="center"/>
          </w:tcPr>
          <w:p w14:paraId="6FCFFA84"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8CA8268"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Location-Based Energy Arbitrage Potential</w:t>
            </w:r>
          </w:p>
        </w:tc>
        <w:tc>
          <w:tcPr>
            <w:tcW w:w="2880" w:type="dxa"/>
            <w:vAlign w:val="center"/>
          </w:tcPr>
          <w:p w14:paraId="2BF98B5A" w14:textId="6523778C"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AP=</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max⁡</m:t>
                    </m:r>
                  </m:e>
                  <m:sub>
                    <m:r>
                      <m:rPr>
                        <m:sty m:val="p"/>
                      </m:rPr>
                      <w:rPr>
                        <w:rFonts w:ascii="Cambria Math" w:eastAsia="Cambria Math" w:hAnsi="Cambria Math" w:cs="Cambria Math"/>
                        <w:sz w:val="10"/>
                        <w:szCs w:val="10"/>
                      </w:rPr>
                      <m:t>i,j</m:t>
                    </m:r>
                  </m:sub>
                </m:sSub>
                <m:d>
                  <m:dPr>
                    <m:ctrlPr>
                      <w:rPr>
                        <w:rFonts w:ascii="Cambria Math" w:eastAsia="Cambria Math" w:hAnsi="Cambria Math" w:cs="Cambria Math"/>
                        <w:iCs/>
                        <w:sz w:val="10"/>
                        <w:szCs w:val="10"/>
                      </w:rPr>
                    </m:ctrlPr>
                  </m:dPr>
                  <m:e>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Price</m:t>
                        </m:r>
                      </m:e>
                      <m:sub>
                        <m:r>
                          <m:rPr>
                            <m:sty m:val="p"/>
                          </m:rPr>
                          <w:rPr>
                            <w:rFonts w:ascii="Cambria Math" w:eastAsia="Cambria Math" w:hAnsi="Cambria Math" w:cs="Cambria Math"/>
                            <w:sz w:val="10"/>
                            <w:szCs w:val="10"/>
                          </w:rPr>
                          <m:t>j</m:t>
                        </m:r>
                      </m:sub>
                    </m:sSub>
                  </m:e>
                </m:d>
              </m:oMath>
            </m:oMathPara>
          </w:p>
        </w:tc>
        <w:tc>
          <w:tcPr>
            <w:tcW w:w="4140" w:type="dxa"/>
            <w:vAlign w:val="center"/>
          </w:tcPr>
          <w:p w14:paraId="1F63BEAF"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Measures the economic advantage of running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xml:space="preserve"> in lower-price regions and shifting away from higher-price regions. Relevant in multi-region data center portfolios.</w:t>
            </w:r>
          </w:p>
        </w:tc>
      </w:tr>
      <w:tr w:rsidR="007C2F53" w14:paraId="528C0341" w14:textId="77777777" w:rsidTr="002B3C97">
        <w:trPr>
          <w:cantSplit/>
        </w:trPr>
        <w:tc>
          <w:tcPr>
            <w:tcW w:w="1435" w:type="dxa"/>
            <w:vMerge/>
            <w:vAlign w:val="center"/>
          </w:tcPr>
          <w:p w14:paraId="4C3031CA"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FF2E16E"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Grid Interaction Cost</w:t>
            </w:r>
          </w:p>
        </w:tc>
        <w:tc>
          <w:tcPr>
            <w:tcW w:w="2880" w:type="dxa"/>
            <w:vAlign w:val="center"/>
          </w:tcPr>
          <w:p w14:paraId="53BF2B00" w14:textId="6BFD8E2B"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interaction</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energy</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demand</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carbon</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DR penalties</m:t>
                    </m:r>
                  </m:sub>
                </m:sSub>
              </m:oMath>
            </m:oMathPara>
          </w:p>
        </w:tc>
        <w:tc>
          <w:tcPr>
            <w:tcW w:w="4140" w:type="dxa"/>
            <w:vAlign w:val="center"/>
          </w:tcPr>
          <w:p w14:paraId="67E18A85"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Composite cost of interacting with the grid, including energy, demand, carbon charges, and demand-response penalties. Captures full economic exposure to grid-side fluctuations.</w:t>
            </w:r>
          </w:p>
        </w:tc>
      </w:tr>
      <w:tr w:rsidR="007C2F53" w14:paraId="00B299A4" w14:textId="77777777" w:rsidTr="002B3C97">
        <w:trPr>
          <w:cantSplit/>
        </w:trPr>
        <w:tc>
          <w:tcPr>
            <w:tcW w:w="1435" w:type="dxa"/>
            <w:vMerge w:val="restart"/>
            <w:vAlign w:val="center"/>
          </w:tcPr>
          <w:p w14:paraId="6065C6E1"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Facility Layer - Domain 1: Physical Performance &amp; Efficiency</w:t>
            </w:r>
          </w:p>
        </w:tc>
        <w:tc>
          <w:tcPr>
            <w:tcW w:w="2070" w:type="dxa"/>
            <w:vAlign w:val="center"/>
          </w:tcPr>
          <w:p w14:paraId="3B8B7FA7" w14:textId="77777777" w:rsidR="007C2F53" w:rsidRPr="00CD002E" w:rsidRDefault="007C2F53" w:rsidP="002B3C97">
            <w:pPr>
              <w:spacing w:line="160" w:lineRule="exact"/>
              <w:jc w:val="center"/>
              <w:rPr>
                <w:rFonts w:ascii="Times New Roman" w:eastAsia="Times New Roman" w:hAnsi="Times New Roman"/>
                <w:sz w:val="12"/>
                <w:szCs w:val="12"/>
              </w:rPr>
            </w:pPr>
            <w:r w:rsidRPr="00CD002E">
              <w:rPr>
                <w:rFonts w:ascii="Times New Roman" w:eastAsia="Times New Roman" w:hAnsi="Times New Roman"/>
                <w:sz w:val="12"/>
                <w:szCs w:val="12"/>
              </w:rPr>
              <w:t>GPUs per Rack (GPR)</w:t>
            </w:r>
          </w:p>
          <w:p w14:paraId="71AD024E" w14:textId="77777777" w:rsidR="007C2F53" w:rsidRPr="005E13C1" w:rsidRDefault="007C2F53" w:rsidP="002B3C97">
            <w:pPr>
              <w:spacing w:line="160" w:lineRule="exact"/>
              <w:jc w:val="center"/>
              <w:rPr>
                <w:rFonts w:ascii="Times New Roman" w:eastAsia="Times New Roman" w:hAnsi="Times New Roman"/>
                <w:sz w:val="12"/>
                <w:szCs w:val="12"/>
              </w:rPr>
            </w:pPr>
            <w:r w:rsidRPr="00CD002E">
              <w:rPr>
                <w:rFonts w:ascii="Times New Roman" w:eastAsia="Times New Roman" w:hAnsi="Times New Roman"/>
                <w:sz w:val="12"/>
                <w:szCs w:val="12"/>
              </w:rPr>
              <w:t>Formula</w:t>
            </w:r>
          </w:p>
        </w:tc>
        <w:tc>
          <w:tcPr>
            <w:tcW w:w="2880" w:type="dxa"/>
            <w:vAlign w:val="center"/>
          </w:tcPr>
          <w:p w14:paraId="153E65F8" w14:textId="5D9C72BA" w:rsidR="007C2F53" w:rsidRPr="002B3C97" w:rsidRDefault="007C2F53" w:rsidP="002B3C97">
            <w:pPr>
              <w:spacing w:line="240" w:lineRule="atLeast"/>
              <w:jc w:val="center"/>
              <w:rPr>
                <w:rFonts w:ascii="Cambria Math" w:eastAsia="Cambria Math" w:hAnsi="Cambria Math" w:cs="Cambria Math"/>
                <w:iCs/>
                <w:sz w:val="10"/>
                <w:szCs w:val="10"/>
              </w:rPr>
            </w:pPr>
            <m:oMathPara>
              <m:oMath>
                <m:r>
                  <m:rPr>
                    <m:nor/>
                  </m:rPr>
                  <w:rPr>
                    <w:rFonts w:ascii="Cambria Math" w:eastAsia="Cambria Math" w:hAnsi="Cambria Math" w:cs="Cambria Math"/>
                    <w:iCs/>
                    <w:sz w:val="10"/>
                    <w:szCs w:val="10"/>
                  </w:rPr>
                  <m:t>GPR</m:t>
                </m:r>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N</m:t>
                        </m:r>
                      </m:e>
                      <m:sub>
                        <m:r>
                          <m:rPr>
                            <m:nor/>
                          </m:rPr>
                          <w:rPr>
                            <w:rFonts w:ascii="Cambria Math" w:eastAsia="Cambria Math" w:hAnsi="Cambria Math" w:cs="Cambria Math"/>
                            <w:iCs/>
                            <w:sz w:val="10"/>
                            <w:szCs w:val="10"/>
                          </w:rPr>
                          <m:t>GPU</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N</m:t>
                        </m:r>
                      </m:e>
                      <m:sub>
                        <m:r>
                          <m:rPr>
                            <m:nor/>
                          </m:rPr>
                          <w:rPr>
                            <w:rFonts w:ascii="Cambria Math" w:eastAsia="Cambria Math" w:hAnsi="Cambria Math" w:cs="Cambria Math"/>
                            <w:iCs/>
                            <w:sz w:val="10"/>
                            <w:szCs w:val="10"/>
                          </w:rPr>
                          <m:t>racks</m:t>
                        </m:r>
                      </m:sub>
                    </m:sSub>
                  </m:den>
                </m:f>
              </m:oMath>
            </m:oMathPara>
          </w:p>
        </w:tc>
        <w:tc>
          <w:tcPr>
            <w:tcW w:w="4140" w:type="dxa"/>
            <w:vAlign w:val="center"/>
          </w:tcPr>
          <w:p w14:paraId="15DAA9D9" w14:textId="77777777" w:rsidR="007C2F53" w:rsidRDefault="007C2F53" w:rsidP="002B3C97">
            <w:pPr>
              <w:spacing w:line="160" w:lineRule="exact"/>
              <w:jc w:val="left"/>
              <w:rPr>
                <w:rFonts w:ascii="Times New Roman" w:eastAsia="Times New Roman" w:hAnsi="Times New Roman"/>
                <w:sz w:val="12"/>
                <w:szCs w:val="12"/>
              </w:rPr>
            </w:pPr>
            <w:r w:rsidRPr="00CD002E">
              <w:rPr>
                <w:rFonts w:ascii="Times New Roman" w:eastAsia="Times New Roman" w:hAnsi="Times New Roman"/>
                <w:sz w:val="12"/>
                <w:szCs w:val="12"/>
              </w:rPr>
              <w:t>The number of GPUs that can be installed in a single rack, constrained by power, cooling, and network topology.</w:t>
            </w:r>
            <w:r>
              <w:rPr>
                <w:rFonts w:ascii="Times New Roman" w:eastAsiaTheme="minorEastAsia" w:hAnsi="Times New Roman" w:hint="eastAsia"/>
                <w:sz w:val="12"/>
                <w:szCs w:val="12"/>
              </w:rPr>
              <w:t xml:space="preserve"> </w:t>
            </w:r>
            <w:r w:rsidRPr="00CD002E">
              <w:rPr>
                <w:rFonts w:ascii="Times New Roman" w:eastAsia="Times New Roman" w:hAnsi="Times New Roman"/>
                <w:sz w:val="12"/>
                <w:szCs w:val="12"/>
              </w:rPr>
              <w:t>A fundamental limit for cluster design and TCO</w:t>
            </w:r>
            <w:r>
              <w:rPr>
                <w:rFonts w:ascii="Times New Roman" w:eastAsia="Times New Roman" w:hAnsi="Times New Roman"/>
                <w:sz w:val="12"/>
                <w:szCs w:val="12"/>
              </w:rPr>
              <w:t>.</w:t>
            </w:r>
          </w:p>
        </w:tc>
      </w:tr>
      <w:tr w:rsidR="007C2F53" w14:paraId="74C2BC6A" w14:textId="77777777" w:rsidTr="002B3C97">
        <w:trPr>
          <w:cantSplit/>
        </w:trPr>
        <w:tc>
          <w:tcPr>
            <w:tcW w:w="1435" w:type="dxa"/>
            <w:vMerge/>
            <w:vAlign w:val="center"/>
          </w:tcPr>
          <w:p w14:paraId="5EBCD7B5"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0DAC1E43"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Rack Power Density (RPD)</w:t>
            </w:r>
          </w:p>
        </w:tc>
        <w:tc>
          <w:tcPr>
            <w:tcW w:w="2880" w:type="dxa"/>
            <w:vAlign w:val="center"/>
          </w:tcPr>
          <w:p w14:paraId="1F11B7AD" w14:textId="3BCD6FC9" w:rsidR="007C2F53" w:rsidRPr="002B3C97" w:rsidRDefault="007C2F53" w:rsidP="002B3C97">
            <w:pPr>
              <w:spacing w:line="240" w:lineRule="atLeast"/>
              <w:jc w:val="center"/>
              <w:rPr>
                <w:rFonts w:ascii="Cambria Math" w:eastAsia="Cambria Math" w:hAnsi="Cambria Math" w:cs="Cambria Math"/>
                <w:iCs/>
                <w:sz w:val="10"/>
                <w:szCs w:val="10"/>
              </w:rPr>
            </w:pPr>
            <m:oMathPara>
              <m:oMath>
                <m:r>
                  <m:rPr>
                    <m:nor/>
                  </m:rPr>
                  <w:rPr>
                    <w:rFonts w:ascii="Cambria Math" w:eastAsia="Cambria Math" w:hAnsi="Cambria Math" w:cs="Cambria Math"/>
                    <w:iCs/>
                    <w:sz w:val="10"/>
                    <w:szCs w:val="10"/>
                  </w:rPr>
                  <m:t>RPD</m:t>
                </m:r>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nor/>
                          </m:rPr>
                          <w:rPr>
                            <w:rFonts w:ascii="Cambria Math" w:eastAsia="Cambria Math" w:hAnsi="Cambria Math" w:cs="Cambria Math"/>
                            <w:iCs/>
                            <w:sz w:val="10"/>
                            <w:szCs w:val="10"/>
                          </w:rPr>
                          <m:t>rack</m:t>
                        </m:r>
                      </m:sub>
                    </m:sSub>
                  </m:num>
                  <m:den>
                    <m:r>
                      <m:rPr>
                        <m:nor/>
                      </m:rPr>
                      <w:rPr>
                        <w:rFonts w:ascii="Cambria Math" w:eastAsia="Cambria Math" w:hAnsi="Cambria Math" w:cs="Cambria Math"/>
                        <w:iCs/>
                        <w:sz w:val="10"/>
                        <w:szCs w:val="10"/>
                      </w:rPr>
                      <m:t>rack footprint</m:t>
                    </m:r>
                  </m:den>
                </m:f>
              </m:oMath>
            </m:oMathPara>
          </w:p>
        </w:tc>
        <w:tc>
          <w:tcPr>
            <w:tcW w:w="4140" w:type="dxa"/>
            <w:vAlign w:val="center"/>
          </w:tcPr>
          <w:p w14:paraId="05C01855" w14:textId="77777777" w:rsidR="007C2F53" w:rsidRPr="00426292"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Me</w:t>
            </w:r>
            <w:r w:rsidRPr="00426292">
              <w:rPr>
                <w:rFonts w:ascii="Times New Roman" w:eastAsia="Times New Roman" w:hAnsi="Times New Roman"/>
                <w:sz w:val="12"/>
                <w:szCs w:val="12"/>
              </w:rPr>
              <w:t>asures the maximum deliverable power envelope for a rack and is the primary physical constraint on deploying GPU-dense clusters.</w:t>
            </w:r>
          </w:p>
          <w:p w14:paraId="35721600" w14:textId="77777777" w:rsidR="007C2F53" w:rsidRDefault="007C2F53" w:rsidP="002B3C97">
            <w:pPr>
              <w:spacing w:line="160" w:lineRule="exact"/>
              <w:jc w:val="left"/>
              <w:rPr>
                <w:rFonts w:ascii="Times New Roman" w:eastAsia="Times New Roman" w:hAnsi="Times New Roman"/>
                <w:sz w:val="12"/>
                <w:szCs w:val="12"/>
              </w:rPr>
            </w:pPr>
            <w:r w:rsidRPr="00426292">
              <w:rPr>
                <w:rFonts w:ascii="Times New Roman" w:eastAsia="Times New Roman" w:hAnsi="Times New Roman"/>
                <w:sz w:val="12"/>
                <w:szCs w:val="12"/>
              </w:rPr>
              <w:t>High RPD is required for modern AI clusters (30</w:t>
            </w:r>
            <w:r>
              <w:rPr>
                <w:rFonts w:ascii="Times New Roman" w:eastAsia="Times New Roman" w:hAnsi="Times New Roman"/>
                <w:sz w:val="12"/>
                <w:szCs w:val="12"/>
              </w:rPr>
              <w:t>-</w:t>
            </w:r>
            <w:r w:rsidRPr="00426292">
              <w:rPr>
                <w:rFonts w:ascii="Times New Roman" w:eastAsia="Times New Roman" w:hAnsi="Times New Roman"/>
                <w:sz w:val="12"/>
                <w:szCs w:val="12"/>
              </w:rPr>
              <w:t>120 kW/rack).</w:t>
            </w:r>
          </w:p>
        </w:tc>
      </w:tr>
      <w:tr w:rsidR="007C2F53" w14:paraId="43774D0D" w14:textId="77777777" w:rsidTr="002B3C97">
        <w:trPr>
          <w:cantSplit/>
        </w:trPr>
        <w:tc>
          <w:tcPr>
            <w:tcW w:w="1435" w:type="dxa"/>
            <w:vMerge/>
            <w:vAlign w:val="center"/>
          </w:tcPr>
          <w:p w14:paraId="6DC3141C"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6FE75BB2"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Carbon Price Exposure</w:t>
            </w:r>
          </w:p>
        </w:tc>
        <w:tc>
          <w:tcPr>
            <w:tcW w:w="2880" w:type="dxa"/>
            <w:vAlign w:val="center"/>
          </w:tcPr>
          <w:p w14:paraId="19B5C0AA" w14:textId="73D0E729"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CPE=CUE×CarbonPrice</m:t>
                </m:r>
              </m:oMath>
            </m:oMathPara>
          </w:p>
        </w:tc>
        <w:tc>
          <w:tcPr>
            <w:tcW w:w="4140" w:type="dxa"/>
            <w:vAlign w:val="center"/>
          </w:tcPr>
          <w:p w14:paraId="6CACFD1E"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Monetary exposure to carbon pricing mechanisms based on emissions-related energy use.</w:t>
            </w:r>
          </w:p>
        </w:tc>
      </w:tr>
      <w:tr w:rsidR="007C2F53" w14:paraId="5413C296" w14:textId="77777777" w:rsidTr="002B3C97">
        <w:trPr>
          <w:cantSplit/>
        </w:trPr>
        <w:tc>
          <w:tcPr>
            <w:tcW w:w="1435" w:type="dxa"/>
            <w:vMerge/>
            <w:vAlign w:val="center"/>
          </w:tcPr>
          <w:p w14:paraId="52D3CDF4"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2290E881"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Cooling System COP (Coefficient of Performance)</w:t>
            </w:r>
          </w:p>
        </w:tc>
        <w:tc>
          <w:tcPr>
            <w:tcW w:w="2880" w:type="dxa"/>
            <w:vAlign w:val="center"/>
          </w:tcPr>
          <w:p w14:paraId="2C344EB1" w14:textId="1E69A6CF"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COP=</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Q</m:t>
                        </m:r>
                      </m:e>
                      <m:sub>
                        <m:r>
                          <m:rPr>
                            <m:sty m:val="p"/>
                          </m:rPr>
                          <w:rPr>
                            <w:rFonts w:ascii="Cambria Math" w:eastAsia="Cambria Math" w:hAnsi="Cambria Math" w:cs="Cambria Math"/>
                            <w:sz w:val="10"/>
                            <w:szCs w:val="10"/>
                          </w:rPr>
                          <m:t>cooling</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input</m:t>
                        </m:r>
                      </m:sub>
                    </m:sSub>
                  </m:den>
                </m:f>
              </m:oMath>
            </m:oMathPara>
          </w:p>
        </w:tc>
        <w:tc>
          <w:tcPr>
            <w:tcW w:w="4140" w:type="dxa"/>
            <w:vAlign w:val="center"/>
          </w:tcPr>
          <w:p w14:paraId="6DBBAE1F"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Thermodynamic efficiency of cooling systems; higher COP indicates more efficient cooling.</w:t>
            </w:r>
          </w:p>
        </w:tc>
      </w:tr>
      <w:tr w:rsidR="007C2F53" w14:paraId="4CCD989A" w14:textId="77777777" w:rsidTr="002B3C97">
        <w:trPr>
          <w:cantSplit/>
        </w:trPr>
        <w:tc>
          <w:tcPr>
            <w:tcW w:w="1435" w:type="dxa"/>
            <w:vMerge/>
            <w:vAlign w:val="center"/>
          </w:tcPr>
          <w:p w14:paraId="151CE0EB"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0FED447B"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Cooling Power Fraction</w:t>
            </w:r>
          </w:p>
        </w:tc>
        <w:tc>
          <w:tcPr>
            <w:tcW w:w="2880" w:type="dxa"/>
            <w:vAlign w:val="center"/>
          </w:tcPr>
          <w:p w14:paraId="1C68E380" w14:textId="0667C611"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CPF=</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cooling</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facility</m:t>
                        </m:r>
                      </m:sub>
                    </m:sSub>
                  </m:den>
                </m:f>
              </m:oMath>
            </m:oMathPara>
          </w:p>
        </w:tc>
        <w:tc>
          <w:tcPr>
            <w:tcW w:w="4140" w:type="dxa"/>
            <w:vAlign w:val="center"/>
          </w:tcPr>
          <w:p w14:paraId="7EEC5D8B"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Fraction of total facility power </w:t>
            </w:r>
            <w:proofErr w:type="gramStart"/>
            <w:r>
              <w:rPr>
                <w:rFonts w:ascii="Times New Roman" w:eastAsia="Times New Roman" w:hAnsi="Times New Roman"/>
                <w:sz w:val="12"/>
                <w:szCs w:val="12"/>
              </w:rPr>
              <w:t>dedicated</w:t>
            </w:r>
            <w:proofErr w:type="gramEnd"/>
            <w:r>
              <w:rPr>
                <w:rFonts w:ascii="Times New Roman" w:eastAsia="Times New Roman" w:hAnsi="Times New Roman"/>
                <w:sz w:val="12"/>
                <w:szCs w:val="12"/>
              </w:rPr>
              <w:t xml:space="preserve"> to cooling operations.</w:t>
            </w:r>
          </w:p>
        </w:tc>
      </w:tr>
      <w:tr w:rsidR="007C2F53" w14:paraId="65A77973" w14:textId="77777777" w:rsidTr="002B3C97">
        <w:trPr>
          <w:cantSplit/>
          <w:trHeight w:val="498"/>
        </w:trPr>
        <w:tc>
          <w:tcPr>
            <w:tcW w:w="1435" w:type="dxa"/>
            <w:vMerge/>
            <w:vAlign w:val="center"/>
          </w:tcPr>
          <w:p w14:paraId="06643692"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4D8E44B9"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Thermal Design Margin (Cooling Headroom)</w:t>
            </w:r>
          </w:p>
        </w:tc>
        <w:tc>
          <w:tcPr>
            <w:tcW w:w="2880" w:type="dxa"/>
            <w:vAlign w:val="center"/>
          </w:tcPr>
          <w:p w14:paraId="65EF4432" w14:textId="34932E5C"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TDM=</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throttle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supply</m:t>
                    </m:r>
                  </m:sub>
                </m:sSub>
              </m:oMath>
            </m:oMathPara>
          </w:p>
        </w:tc>
        <w:tc>
          <w:tcPr>
            <w:tcW w:w="4140" w:type="dxa"/>
            <w:vAlign w:val="center"/>
          </w:tcPr>
          <w:p w14:paraId="27182DF3"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Thermal buffer between cooling supply temperature and throttling threshold.</w:t>
            </w:r>
          </w:p>
        </w:tc>
      </w:tr>
      <w:tr w:rsidR="007C2F53" w14:paraId="5B2A0A50" w14:textId="77777777" w:rsidTr="002B3C97">
        <w:trPr>
          <w:cantSplit/>
        </w:trPr>
        <w:tc>
          <w:tcPr>
            <w:tcW w:w="1435" w:type="dxa"/>
            <w:vMerge w:val="restart"/>
            <w:vAlign w:val="center"/>
          </w:tcPr>
          <w:p w14:paraId="64EB1721"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Facility Layer - Domain 2: Compute &amp; Workload Efficiency</w:t>
            </w:r>
          </w:p>
        </w:tc>
        <w:tc>
          <w:tcPr>
            <w:tcW w:w="2070" w:type="dxa"/>
            <w:vAlign w:val="center"/>
          </w:tcPr>
          <w:p w14:paraId="29E32B79"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 xml:space="preserve">Latency Penalty During Facility Events </w:t>
            </w:r>
          </w:p>
        </w:tc>
        <w:tc>
          <w:tcPr>
            <w:tcW w:w="2880" w:type="dxa"/>
            <w:vAlign w:val="center"/>
          </w:tcPr>
          <w:p w14:paraId="0B079CAC" w14:textId="26B74FB2"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LPF=</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event</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nominal</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nominal</m:t>
                        </m:r>
                      </m:sub>
                    </m:sSub>
                  </m:den>
                </m:f>
              </m:oMath>
            </m:oMathPara>
          </w:p>
        </w:tc>
        <w:tc>
          <w:tcPr>
            <w:tcW w:w="4140" w:type="dxa"/>
            <w:vAlign w:val="center"/>
          </w:tcPr>
          <w:p w14:paraId="3E12328C"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Relative increase in latency due to cooling or power constraints.</w:t>
            </w:r>
          </w:p>
        </w:tc>
      </w:tr>
      <w:tr w:rsidR="007C2F53" w14:paraId="00DCB739" w14:textId="77777777" w:rsidTr="002B3C97">
        <w:trPr>
          <w:cantSplit/>
        </w:trPr>
        <w:tc>
          <w:tcPr>
            <w:tcW w:w="1435" w:type="dxa"/>
            <w:vMerge/>
            <w:vAlign w:val="center"/>
          </w:tcPr>
          <w:p w14:paraId="76DA76A7"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606CB78"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Throughput Degradation Factor (TDF)</w:t>
            </w:r>
          </w:p>
        </w:tc>
        <w:tc>
          <w:tcPr>
            <w:tcW w:w="2880" w:type="dxa"/>
            <w:vAlign w:val="center"/>
          </w:tcPr>
          <w:p w14:paraId="3DB89C87" w14:textId="736F436B"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TDF=</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nominal</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event</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nominal</m:t>
                        </m:r>
                      </m:sub>
                    </m:sSub>
                  </m:den>
                </m:f>
              </m:oMath>
            </m:oMathPara>
          </w:p>
        </w:tc>
        <w:tc>
          <w:tcPr>
            <w:tcW w:w="4140" w:type="dxa"/>
            <w:vAlign w:val="center"/>
          </w:tcPr>
          <w:p w14:paraId="6E59AA07"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Fractional throughput loss caused by facility congestion or curtailment.</w:t>
            </w:r>
          </w:p>
        </w:tc>
      </w:tr>
      <w:tr w:rsidR="007C2F53" w14:paraId="2EDA54BB" w14:textId="77777777" w:rsidTr="002B3C97">
        <w:trPr>
          <w:cantSplit/>
        </w:trPr>
        <w:tc>
          <w:tcPr>
            <w:tcW w:w="1435" w:type="dxa"/>
            <w:vMerge/>
            <w:vAlign w:val="center"/>
          </w:tcPr>
          <w:p w14:paraId="2E6DAFBE"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40FBE20B"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Thermal-Throttling Duty Cycle (TTDC)</w:t>
            </w:r>
          </w:p>
        </w:tc>
        <w:tc>
          <w:tcPr>
            <w:tcW w:w="2880" w:type="dxa"/>
            <w:vAlign w:val="center"/>
          </w:tcPr>
          <w:p w14:paraId="1A1B930F" w14:textId="3C9ADBDD"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TTDC=</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throttled</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total</m:t>
                        </m:r>
                      </m:sub>
                    </m:sSub>
                  </m:den>
                </m:f>
              </m:oMath>
            </m:oMathPara>
          </w:p>
        </w:tc>
        <w:tc>
          <w:tcPr>
            <w:tcW w:w="4140" w:type="dxa"/>
            <w:vAlign w:val="center"/>
          </w:tcPr>
          <w:p w14:paraId="2EE55428"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Portion of time hardware operates in throttled state due to thermal constraints.</w:t>
            </w:r>
          </w:p>
        </w:tc>
      </w:tr>
      <w:tr w:rsidR="007C2F53" w14:paraId="282C9480" w14:textId="77777777" w:rsidTr="002B3C97">
        <w:trPr>
          <w:cantSplit/>
        </w:trPr>
        <w:tc>
          <w:tcPr>
            <w:tcW w:w="1435" w:type="dxa"/>
            <w:vMerge/>
            <w:vAlign w:val="center"/>
          </w:tcPr>
          <w:p w14:paraId="08F14761"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2B4C059E"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Workload Curtailment Ratio (WCR)</w:t>
            </w:r>
          </w:p>
        </w:tc>
        <w:tc>
          <w:tcPr>
            <w:tcW w:w="2880" w:type="dxa"/>
            <w:vAlign w:val="center"/>
          </w:tcPr>
          <w:p w14:paraId="1E804CC7" w14:textId="5B2515E0"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WCR=</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W</m:t>
                        </m:r>
                      </m:e>
                      <m:sub>
                        <m:r>
                          <m:rPr>
                            <m:sty m:val="p"/>
                          </m:rPr>
                          <w:rPr>
                            <w:rFonts w:ascii="Cambria Math" w:eastAsia="Cambria Math" w:hAnsi="Cambria Math" w:cs="Cambria Math"/>
                            <w:sz w:val="10"/>
                            <w:szCs w:val="10"/>
                          </w:rPr>
                          <m:t>curtailed</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W</m:t>
                        </m:r>
                      </m:e>
                      <m:sub>
                        <m:r>
                          <m:rPr>
                            <m:sty m:val="p"/>
                          </m:rPr>
                          <w:rPr>
                            <w:rFonts w:ascii="Cambria Math" w:eastAsia="Cambria Math" w:hAnsi="Cambria Math" w:cs="Cambria Math"/>
                            <w:sz w:val="10"/>
                            <w:szCs w:val="10"/>
                          </w:rPr>
                          <m:t>scheduled</m:t>
                        </m:r>
                      </m:sub>
                    </m:sSub>
                  </m:den>
                </m:f>
              </m:oMath>
            </m:oMathPara>
          </w:p>
        </w:tc>
        <w:tc>
          <w:tcPr>
            <w:tcW w:w="4140" w:type="dxa"/>
            <w:vAlign w:val="center"/>
          </w:tcPr>
          <w:p w14:paraId="3B0E219F"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Workload volume curtailed due to facility-level constraints.</w:t>
            </w:r>
          </w:p>
        </w:tc>
      </w:tr>
      <w:tr w:rsidR="007C2F53" w14:paraId="7CD3E42C" w14:textId="77777777" w:rsidTr="002B3C97">
        <w:trPr>
          <w:cantSplit/>
        </w:trPr>
        <w:tc>
          <w:tcPr>
            <w:tcW w:w="1435" w:type="dxa"/>
            <w:vMerge/>
            <w:vAlign w:val="center"/>
          </w:tcPr>
          <w:p w14:paraId="5149ADC4"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29C2C0C"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Facility-to-Compute Thermal Coupling Coefficient</w:t>
            </w:r>
          </w:p>
        </w:tc>
        <w:tc>
          <w:tcPr>
            <w:tcW w:w="2880" w:type="dxa"/>
            <w:vAlign w:val="center"/>
          </w:tcPr>
          <w:p w14:paraId="0C5274CC" w14:textId="6ABB2BE3"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κ</m:t>
                    </m:r>
                  </m:e>
                  <m:sub>
                    <m:r>
                      <m:rPr>
                        <m:sty m:val="p"/>
                      </m:rPr>
                      <w:rPr>
                        <w:rFonts w:ascii="Cambria Math" w:eastAsia="Cambria Math" w:hAnsi="Cambria Math" w:cs="Cambria Math"/>
                        <w:sz w:val="10"/>
                        <w:szCs w:val="10"/>
                      </w:rPr>
                      <m:t>FC</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chip</m:t>
                        </m:r>
                      </m:sub>
                    </m:sSub>
                  </m:num>
                  <m:den>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supply</m:t>
                        </m:r>
                      </m:sub>
                    </m:sSub>
                  </m:den>
                </m:f>
              </m:oMath>
            </m:oMathPara>
          </w:p>
        </w:tc>
        <w:tc>
          <w:tcPr>
            <w:tcW w:w="4140" w:type="dxa"/>
            <w:vAlign w:val="center"/>
          </w:tcPr>
          <w:p w14:paraId="52575E92"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Sensitivity of chip temperature </w:t>
            </w:r>
            <w:proofErr w:type="gramStart"/>
            <w:r>
              <w:rPr>
                <w:rFonts w:ascii="Times New Roman" w:eastAsia="Times New Roman" w:hAnsi="Times New Roman"/>
                <w:sz w:val="12"/>
                <w:szCs w:val="12"/>
              </w:rPr>
              <w:t>to changes</w:t>
            </w:r>
            <w:proofErr w:type="gramEnd"/>
            <w:r>
              <w:rPr>
                <w:rFonts w:ascii="Times New Roman" w:eastAsia="Times New Roman" w:hAnsi="Times New Roman"/>
                <w:sz w:val="12"/>
                <w:szCs w:val="12"/>
              </w:rPr>
              <w:t xml:space="preserve"> in cooling supply temperature.</w:t>
            </w:r>
          </w:p>
        </w:tc>
      </w:tr>
      <w:tr w:rsidR="007C2F53" w14:paraId="58F283C0" w14:textId="77777777" w:rsidTr="002B3C97">
        <w:trPr>
          <w:cantSplit/>
        </w:trPr>
        <w:tc>
          <w:tcPr>
            <w:tcW w:w="1435" w:type="dxa"/>
            <w:vMerge w:val="restart"/>
            <w:vAlign w:val="center"/>
          </w:tcPr>
          <w:p w14:paraId="67E563B8"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Facility Layer - Domain 3: Lifecycle Economics &amp; Reliability Risk</w:t>
            </w:r>
          </w:p>
          <w:p w14:paraId="662F6DDF"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4496F0A8"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 xml:space="preserve">Energy </w:t>
            </w:r>
            <w:proofErr w:type="spellStart"/>
            <w:r w:rsidRPr="005E13C1">
              <w:rPr>
                <w:rFonts w:ascii="Times New Roman" w:eastAsia="Times New Roman" w:hAnsi="Times New Roman"/>
                <w:sz w:val="12"/>
                <w:szCs w:val="12"/>
              </w:rPr>
              <w:t>Opex</w:t>
            </w:r>
            <w:proofErr w:type="spellEnd"/>
            <w:r w:rsidRPr="005E13C1">
              <w:rPr>
                <w:rFonts w:ascii="Times New Roman" w:eastAsia="Times New Roman" w:hAnsi="Times New Roman"/>
                <w:sz w:val="12"/>
                <w:szCs w:val="12"/>
              </w:rPr>
              <w:t xml:space="preserve"> Share</w:t>
            </w:r>
          </w:p>
        </w:tc>
        <w:tc>
          <w:tcPr>
            <w:tcW w:w="2880" w:type="dxa"/>
            <w:vAlign w:val="center"/>
          </w:tcPr>
          <w:p w14:paraId="6D9B4567" w14:textId="0E4927DF"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EOS=</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energy</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total facility opex</m:t>
                        </m:r>
                      </m:sub>
                    </m:sSub>
                  </m:den>
                </m:f>
              </m:oMath>
            </m:oMathPara>
          </w:p>
        </w:tc>
        <w:tc>
          <w:tcPr>
            <w:tcW w:w="4140" w:type="dxa"/>
            <w:vAlign w:val="center"/>
          </w:tcPr>
          <w:p w14:paraId="78C28197"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Share of facility operating cost driven by electricity consumption.</w:t>
            </w:r>
          </w:p>
        </w:tc>
      </w:tr>
      <w:tr w:rsidR="007C2F53" w14:paraId="4C9C6126" w14:textId="77777777" w:rsidTr="002B3C97">
        <w:trPr>
          <w:cantSplit/>
        </w:trPr>
        <w:tc>
          <w:tcPr>
            <w:tcW w:w="1435" w:type="dxa"/>
            <w:vMerge/>
            <w:vAlign w:val="center"/>
          </w:tcPr>
          <w:p w14:paraId="6AB54D5D"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4865E936"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 xml:space="preserve">Cooling </w:t>
            </w:r>
            <w:proofErr w:type="spellStart"/>
            <w:r w:rsidRPr="005E13C1">
              <w:rPr>
                <w:rFonts w:ascii="Times New Roman" w:eastAsia="Times New Roman" w:hAnsi="Times New Roman"/>
                <w:sz w:val="12"/>
                <w:szCs w:val="12"/>
              </w:rPr>
              <w:t>Opex</w:t>
            </w:r>
            <w:proofErr w:type="spellEnd"/>
            <w:r w:rsidRPr="005E13C1">
              <w:rPr>
                <w:rFonts w:ascii="Times New Roman" w:eastAsia="Times New Roman" w:hAnsi="Times New Roman"/>
                <w:sz w:val="12"/>
                <w:szCs w:val="12"/>
              </w:rPr>
              <w:t xml:space="preserve"> Share</w:t>
            </w:r>
          </w:p>
        </w:tc>
        <w:tc>
          <w:tcPr>
            <w:tcW w:w="2880" w:type="dxa"/>
            <w:vAlign w:val="center"/>
          </w:tcPr>
          <w:p w14:paraId="08B0A333" w14:textId="73A4B089"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COS=</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cooling</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total facility opex</m:t>
                        </m:r>
                      </m:sub>
                    </m:sSub>
                  </m:den>
                </m:f>
              </m:oMath>
            </m:oMathPara>
          </w:p>
        </w:tc>
        <w:tc>
          <w:tcPr>
            <w:tcW w:w="4140" w:type="dxa"/>
            <w:vAlign w:val="center"/>
          </w:tcPr>
          <w:p w14:paraId="7B718230"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Share of </w:t>
            </w:r>
            <w:proofErr w:type="spellStart"/>
            <w:r>
              <w:rPr>
                <w:rFonts w:ascii="Times New Roman" w:eastAsia="Times New Roman" w:hAnsi="Times New Roman"/>
                <w:sz w:val="12"/>
                <w:szCs w:val="12"/>
              </w:rPr>
              <w:t>opex</w:t>
            </w:r>
            <w:proofErr w:type="spellEnd"/>
            <w:r>
              <w:rPr>
                <w:rFonts w:ascii="Times New Roman" w:eastAsia="Times New Roman" w:hAnsi="Times New Roman"/>
                <w:sz w:val="12"/>
                <w:szCs w:val="12"/>
              </w:rPr>
              <w:t xml:space="preserve"> attributable to cooling infrastructure and processes.</w:t>
            </w:r>
          </w:p>
        </w:tc>
      </w:tr>
      <w:tr w:rsidR="007C2F53" w14:paraId="65644C4C" w14:textId="77777777" w:rsidTr="002B3C97">
        <w:trPr>
          <w:cantSplit/>
        </w:trPr>
        <w:tc>
          <w:tcPr>
            <w:tcW w:w="1435" w:type="dxa"/>
            <w:vMerge/>
            <w:vAlign w:val="center"/>
          </w:tcPr>
          <w:p w14:paraId="2647D66F"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2CFA1BD2"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Demand-Response Revenue Potential</w:t>
            </w:r>
          </w:p>
        </w:tc>
        <w:tc>
          <w:tcPr>
            <w:tcW w:w="2880" w:type="dxa"/>
            <w:vAlign w:val="center"/>
          </w:tcPr>
          <w:p w14:paraId="120A034F" w14:textId="11B02B68"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DRP=</m:t>
                </m:r>
                <m:nary>
                  <m:naryPr>
                    <m:chr m:val="∑"/>
                    <m:ctrlPr>
                      <w:rPr>
                        <w:rFonts w:ascii="Cambria Math" w:eastAsia="Cambria Math" w:hAnsi="Cambria Math" w:cs="Cambria Math"/>
                        <w:iCs/>
                        <w:sz w:val="10"/>
                        <w:szCs w:val="10"/>
                      </w:rPr>
                    </m:ctrlPr>
                  </m:naryPr>
                  <m:sub>
                    <m:r>
                      <m:rPr>
                        <m:sty m:val="p"/>
                      </m:rPr>
                      <w:rPr>
                        <w:rFonts w:ascii="Cambria Math" w:eastAsia="Cambria Math" w:hAnsi="Cambria Math" w:cs="Cambria Math"/>
                        <w:sz w:val="10"/>
                        <w:szCs w:val="10"/>
                      </w:rPr>
                      <m:t>t</m:t>
                    </m:r>
                  </m:sub>
                  <m:sup/>
                  <m:e>
                    <m:d>
                      <m:dPr>
                        <m:ctrlPr>
                          <w:rPr>
                            <w:rFonts w:ascii="Cambria Math" w:eastAsia="Cambria Math" w:hAnsi="Cambria Math" w:cs="Cambria Math"/>
                            <w:iCs/>
                            <w:sz w:val="10"/>
                            <w:szCs w:val="10"/>
                          </w:rPr>
                        </m:ctrlPr>
                      </m:dPr>
                      <m:e>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incentive</m:t>
                            </m:r>
                          </m:sub>
                        </m:sSub>
                        <m:r>
                          <m:rPr>
                            <m:sty m:val="p"/>
                          </m:rPr>
                          <w:rPr>
                            <w:rFonts w:ascii="Cambria Math" w:eastAsia="Cambria Math" w:hAnsi="Cambria Math" w:cs="Cambria Math"/>
                            <w:sz w:val="10"/>
                            <w:szCs w:val="10"/>
                          </w:rPr>
                          <m:t>(t)×ΔL(t)</m:t>
                        </m:r>
                      </m:e>
                    </m:d>
                  </m:e>
                </m:nary>
              </m:oMath>
            </m:oMathPara>
          </w:p>
        </w:tc>
        <w:tc>
          <w:tcPr>
            <w:tcW w:w="4140" w:type="dxa"/>
            <w:vAlign w:val="center"/>
          </w:tcPr>
          <w:p w14:paraId="252DB422"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Revenue achievable through participation in grid demand-response events.</w:t>
            </w:r>
          </w:p>
        </w:tc>
      </w:tr>
      <w:tr w:rsidR="007C2F53" w14:paraId="1C1F3CB8" w14:textId="77777777" w:rsidTr="002B3C97">
        <w:trPr>
          <w:cantSplit/>
        </w:trPr>
        <w:tc>
          <w:tcPr>
            <w:tcW w:w="1435" w:type="dxa"/>
            <w:vMerge/>
            <w:vAlign w:val="center"/>
          </w:tcPr>
          <w:p w14:paraId="53CFF88B"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C7ECCC7"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Carbon Cost (from CUE × Carbon Price)</w:t>
            </w:r>
          </w:p>
        </w:tc>
        <w:tc>
          <w:tcPr>
            <w:tcW w:w="2880" w:type="dxa"/>
            <w:vAlign w:val="center"/>
          </w:tcPr>
          <w:p w14:paraId="5782D7CA" w14:textId="414721F8"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carbon</m:t>
                    </m:r>
                  </m:sub>
                </m:sSub>
                <m:r>
                  <m:rPr>
                    <m:sty m:val="p"/>
                  </m:rPr>
                  <w:rPr>
                    <w:rFonts w:ascii="Cambria Math" w:eastAsia="Cambria Math" w:hAnsi="Cambria Math" w:cs="Cambria Math"/>
                    <w:sz w:val="10"/>
                    <w:szCs w:val="10"/>
                  </w:rPr>
                  <m:t>=CUE×CarbonPrice</m:t>
                </m:r>
              </m:oMath>
            </m:oMathPara>
          </w:p>
        </w:tc>
        <w:tc>
          <w:tcPr>
            <w:tcW w:w="4140" w:type="dxa"/>
            <w:vAlign w:val="center"/>
          </w:tcPr>
          <w:p w14:paraId="519D56FE"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Carbon cost incurred due to emissions-related energy usage.</w:t>
            </w:r>
          </w:p>
        </w:tc>
      </w:tr>
      <w:tr w:rsidR="007C2F53" w14:paraId="2E394320" w14:textId="77777777" w:rsidTr="002B3C97">
        <w:trPr>
          <w:cantSplit/>
        </w:trPr>
        <w:tc>
          <w:tcPr>
            <w:tcW w:w="1435" w:type="dxa"/>
            <w:vMerge/>
            <w:vAlign w:val="center"/>
          </w:tcPr>
          <w:p w14:paraId="75692EA4"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5F2F3493"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Reliability Downtime Cost</w:t>
            </w:r>
          </w:p>
        </w:tc>
        <w:tc>
          <w:tcPr>
            <w:tcW w:w="2880" w:type="dxa"/>
            <w:vAlign w:val="center"/>
          </w:tcPr>
          <w:p w14:paraId="3100D3EE" w14:textId="5E03CAC1"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downtime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λ</m:t>
                    </m:r>
                  </m:e>
                  <m:sub>
                    <m:r>
                      <m:rPr>
                        <m:sty m:val="p"/>
                      </m:rPr>
                      <w:rPr>
                        <w:rFonts w:ascii="Cambria Math" w:eastAsia="Cambria Math" w:hAnsi="Cambria Math" w:cs="Cambria Math"/>
                        <w:sz w:val="10"/>
                        <w:szCs w:val="10"/>
                      </w:rPr>
                      <m:t>failure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downtime</m:t>
                    </m:r>
                  </m:sub>
                </m:sSub>
              </m:oMath>
            </m:oMathPara>
          </w:p>
        </w:tc>
        <w:tc>
          <w:tcPr>
            <w:tcW w:w="4140" w:type="dxa"/>
            <w:vAlign w:val="center"/>
          </w:tcPr>
          <w:p w14:paraId="07CF13DA"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Expected annual cost of downtime from facility system failures.</w:t>
            </w:r>
          </w:p>
        </w:tc>
      </w:tr>
      <w:tr w:rsidR="007C2F53" w14:paraId="20DEE26C" w14:textId="77777777" w:rsidTr="002B3C97">
        <w:trPr>
          <w:cantSplit/>
        </w:trPr>
        <w:tc>
          <w:tcPr>
            <w:tcW w:w="1435" w:type="dxa"/>
            <w:vMerge w:val="restart"/>
            <w:vAlign w:val="center"/>
          </w:tcPr>
          <w:p w14:paraId="65D0ED8D" w14:textId="77777777" w:rsidR="007C2F53" w:rsidRDefault="007C2F53" w:rsidP="002B3C97">
            <w:pPr>
              <w:spacing w:line="160" w:lineRule="exact"/>
              <w:jc w:val="center"/>
              <w:rPr>
                <w:rFonts w:ascii="Times New Roman" w:eastAsia="Times New Roman" w:hAnsi="Times New Roman"/>
                <w:b/>
                <w:bCs/>
                <w:sz w:val="12"/>
                <w:szCs w:val="12"/>
              </w:rPr>
            </w:pPr>
            <w:proofErr w:type="spellStart"/>
            <w:proofErr w:type="gramStart"/>
            <w:r>
              <w:rPr>
                <w:rFonts w:ascii="Times New Roman" w:eastAsia="Times New Roman" w:hAnsi="Times New Roman"/>
                <w:b/>
                <w:bCs/>
                <w:sz w:val="12"/>
                <w:szCs w:val="12"/>
              </w:rPr>
              <w:t>Compute</w:t>
            </w:r>
            <w:proofErr w:type="spellEnd"/>
            <w:proofErr w:type="gramEnd"/>
            <w:r>
              <w:rPr>
                <w:rFonts w:ascii="Times New Roman" w:eastAsia="Times New Roman" w:hAnsi="Times New Roman"/>
                <w:b/>
                <w:bCs/>
                <w:sz w:val="12"/>
                <w:szCs w:val="12"/>
              </w:rPr>
              <w:t xml:space="preserve"> Hardware Layer - Domain 1: Physical Performance &amp; Efficiency</w:t>
            </w:r>
          </w:p>
        </w:tc>
        <w:tc>
          <w:tcPr>
            <w:tcW w:w="2070" w:type="dxa"/>
            <w:vAlign w:val="center"/>
          </w:tcPr>
          <w:p w14:paraId="1B362CA4"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Device Power Draw</w:t>
            </w:r>
          </w:p>
        </w:tc>
        <w:tc>
          <w:tcPr>
            <w:tcW w:w="2880" w:type="dxa"/>
            <w:vAlign w:val="center"/>
          </w:tcPr>
          <w:p w14:paraId="085B5112" w14:textId="47EB1936"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device</m:t>
                    </m:r>
                  </m:sub>
                </m:sSub>
                <m:r>
                  <m:rPr>
                    <m:sty m:val="p"/>
                  </m:rPr>
                  <w:rPr>
                    <w:rFonts w:ascii="Cambria Math" w:eastAsia="Cambria Math" w:hAnsi="Cambria Math" w:cs="Cambria Math"/>
                    <w:sz w:val="10"/>
                    <w:szCs w:val="10"/>
                  </w:rPr>
                  <m:t>=V×I</m:t>
                </m:r>
              </m:oMath>
            </m:oMathPara>
          </w:p>
        </w:tc>
        <w:tc>
          <w:tcPr>
            <w:tcW w:w="4140" w:type="dxa"/>
            <w:vAlign w:val="center"/>
          </w:tcPr>
          <w:p w14:paraId="3241C993"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Instantaneous electrical power consumption of a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xml:space="preserve"> device; key determinant of thermal load and energy requirements.</w:t>
            </w:r>
          </w:p>
        </w:tc>
      </w:tr>
      <w:tr w:rsidR="007C2F53" w14:paraId="4C91502D" w14:textId="77777777" w:rsidTr="002B3C97">
        <w:trPr>
          <w:cantSplit/>
        </w:trPr>
        <w:tc>
          <w:tcPr>
            <w:tcW w:w="1435" w:type="dxa"/>
            <w:vMerge/>
            <w:vAlign w:val="center"/>
          </w:tcPr>
          <w:p w14:paraId="21A110CB"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3B0E0121" w14:textId="77777777" w:rsidR="007C2F53" w:rsidRPr="00426292" w:rsidRDefault="007C2F53" w:rsidP="002B3C97">
            <w:pPr>
              <w:spacing w:line="160" w:lineRule="exact"/>
              <w:jc w:val="center"/>
              <w:rPr>
                <w:rFonts w:ascii="Times New Roman" w:eastAsia="Times New Roman" w:hAnsi="Times New Roman"/>
                <w:b/>
                <w:bCs/>
                <w:sz w:val="10"/>
                <w:szCs w:val="10"/>
              </w:rPr>
            </w:pPr>
            <w:r w:rsidRPr="00426292">
              <w:rPr>
                <w:rFonts w:ascii="Times New Roman" w:eastAsia="Times New Roman" w:hAnsi="Times New Roman"/>
                <w:sz w:val="12"/>
                <w:szCs w:val="12"/>
              </w:rPr>
              <w:t>BM Bandwidth per Watt (HBM-BPW)</w:t>
            </w:r>
          </w:p>
        </w:tc>
        <w:tc>
          <w:tcPr>
            <w:tcW w:w="2880" w:type="dxa"/>
            <w:vAlign w:val="center"/>
          </w:tcPr>
          <w:p w14:paraId="234E3079" w14:textId="5973ECD8" w:rsidR="007C2F53" w:rsidRPr="002B3C97" w:rsidRDefault="007C2F53" w:rsidP="002B3C97">
            <w:pPr>
              <w:spacing w:line="240" w:lineRule="atLeast"/>
              <w:jc w:val="center"/>
              <w:rPr>
                <w:rFonts w:ascii="Cambria Math" w:eastAsia="Cambria Math" w:hAnsi="Cambria Math" w:cs="Cambria Math"/>
                <w:iCs/>
                <w:sz w:val="10"/>
                <w:szCs w:val="10"/>
              </w:rPr>
            </w:pPr>
            <m:oMathPara>
              <m:oMath>
                <m:r>
                  <m:rPr>
                    <m:nor/>
                  </m:rPr>
                  <w:rPr>
                    <w:rFonts w:ascii="Cambria Math" w:eastAsia="Cambria Math" w:hAnsi="Cambria Math" w:cs="Cambria Math"/>
                    <w:iCs/>
                    <w:sz w:val="10"/>
                    <w:szCs w:val="10"/>
                  </w:rPr>
                  <m:t>HBM-BPW</m:t>
                </m:r>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B</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W</m:t>
                        </m:r>
                      </m:e>
                      <m:sub>
                        <m:r>
                          <m:rPr>
                            <m:nor/>
                          </m:rPr>
                          <w:rPr>
                            <w:rFonts w:ascii="Cambria Math" w:eastAsia="Cambria Math" w:hAnsi="Cambria Math" w:cs="Cambria Math"/>
                            <w:iCs/>
                            <w:sz w:val="10"/>
                            <w:szCs w:val="10"/>
                          </w:rPr>
                          <m:t>HBM</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nor/>
                          </m:rPr>
                          <w:rPr>
                            <w:rFonts w:ascii="Cambria Math" w:eastAsia="Cambria Math" w:hAnsi="Cambria Math" w:cs="Cambria Math"/>
                            <w:iCs/>
                            <w:sz w:val="10"/>
                            <w:szCs w:val="10"/>
                          </w:rPr>
                          <m:t>memory</m:t>
                        </m:r>
                      </m:sub>
                    </m:sSub>
                  </m:den>
                </m:f>
              </m:oMath>
            </m:oMathPara>
          </w:p>
        </w:tc>
        <w:tc>
          <w:tcPr>
            <w:tcW w:w="4140" w:type="dxa"/>
            <w:vAlign w:val="center"/>
          </w:tcPr>
          <w:p w14:paraId="09A65180" w14:textId="77777777" w:rsidR="007C2F53" w:rsidRDefault="007C2F53" w:rsidP="002B3C97">
            <w:pPr>
              <w:spacing w:line="160" w:lineRule="exact"/>
              <w:jc w:val="left"/>
              <w:rPr>
                <w:rFonts w:ascii="Times New Roman" w:eastAsia="Times New Roman" w:hAnsi="Times New Roman"/>
                <w:sz w:val="12"/>
                <w:szCs w:val="12"/>
              </w:rPr>
            </w:pPr>
            <w:r w:rsidRPr="00426292">
              <w:rPr>
                <w:rFonts w:ascii="Times New Roman" w:eastAsia="Times New Roman" w:hAnsi="Times New Roman"/>
                <w:sz w:val="12"/>
                <w:szCs w:val="12"/>
              </w:rPr>
              <w:t>Measures the energy efficiency of on-package high-bandwidth memory (HBM).</w:t>
            </w:r>
            <w:r>
              <w:rPr>
                <w:rFonts w:ascii="Times New Roman" w:eastAsia="Times New Roman" w:hAnsi="Times New Roman"/>
                <w:sz w:val="12"/>
                <w:szCs w:val="12"/>
              </w:rPr>
              <w:t xml:space="preserve"> </w:t>
            </w:r>
            <w:r w:rsidRPr="00426292">
              <w:rPr>
                <w:rFonts w:ascii="Times New Roman" w:eastAsia="Times New Roman" w:hAnsi="Times New Roman"/>
                <w:sz w:val="12"/>
                <w:szCs w:val="12"/>
              </w:rPr>
              <w:t>Critical for LLM training workloads where memory bandwidth</w:t>
            </w:r>
            <w:r>
              <w:rPr>
                <w:rFonts w:ascii="Times New Roman" w:eastAsia="Times New Roman" w:hAnsi="Times New Roman"/>
                <w:sz w:val="12"/>
                <w:szCs w:val="12"/>
              </w:rPr>
              <w:t xml:space="preserve">, </w:t>
            </w:r>
            <w:r w:rsidRPr="00426292">
              <w:rPr>
                <w:rFonts w:ascii="Times New Roman" w:eastAsia="Times New Roman" w:hAnsi="Times New Roman"/>
                <w:sz w:val="12"/>
                <w:szCs w:val="12"/>
              </w:rPr>
              <w:t>not FLOPs</w:t>
            </w:r>
            <w:r>
              <w:rPr>
                <w:rFonts w:ascii="Times New Roman" w:eastAsia="Times New Roman" w:hAnsi="Times New Roman"/>
                <w:sz w:val="12"/>
                <w:szCs w:val="12"/>
              </w:rPr>
              <w:t xml:space="preserve">, </w:t>
            </w:r>
            <w:r w:rsidRPr="00426292">
              <w:rPr>
                <w:rFonts w:ascii="Times New Roman" w:eastAsia="Times New Roman" w:hAnsi="Times New Roman"/>
                <w:sz w:val="12"/>
                <w:szCs w:val="12"/>
              </w:rPr>
              <w:t>is often the bottleneck.</w:t>
            </w:r>
          </w:p>
        </w:tc>
      </w:tr>
      <w:tr w:rsidR="007C2F53" w14:paraId="127B22B8" w14:textId="77777777" w:rsidTr="002B3C97">
        <w:trPr>
          <w:cantSplit/>
        </w:trPr>
        <w:tc>
          <w:tcPr>
            <w:tcW w:w="1435" w:type="dxa"/>
            <w:vMerge/>
            <w:vAlign w:val="center"/>
          </w:tcPr>
          <w:p w14:paraId="7DBD9C6B"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E26BF69"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Temperature</w:t>
            </w:r>
            <w:r>
              <w:rPr>
                <w:rFonts w:ascii="Times New Roman" w:eastAsia="Times New Roman" w:hAnsi="Times New Roman"/>
                <w:sz w:val="12"/>
                <w:szCs w:val="12"/>
              </w:rPr>
              <w:t>-</w:t>
            </w:r>
            <w:r w:rsidRPr="005E13C1">
              <w:rPr>
                <w:rFonts w:ascii="Times New Roman" w:eastAsia="Times New Roman" w:hAnsi="Times New Roman"/>
                <w:sz w:val="12"/>
                <w:szCs w:val="12"/>
              </w:rPr>
              <w:t>Performance Coupling</w:t>
            </w:r>
          </w:p>
        </w:tc>
        <w:tc>
          <w:tcPr>
            <w:tcW w:w="2880" w:type="dxa"/>
            <w:vAlign w:val="center"/>
          </w:tcPr>
          <w:p w14:paraId="5F8A19CD" w14:textId="0E8B2206"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γ</m:t>
                    </m:r>
                  </m:e>
                  <m:sub>
                    <m:r>
                      <m:rPr>
                        <m:sty m:val="p"/>
                      </m:rPr>
                      <w:rPr>
                        <w:rFonts w:ascii="Cambria Math" w:eastAsia="Cambria Math" w:hAnsi="Cambria Math" w:cs="Cambria Math"/>
                        <w:sz w:val="10"/>
                        <w:szCs w:val="10"/>
                      </w:rPr>
                      <m:t>TP</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∂Perf</m:t>
                    </m:r>
                  </m:num>
                  <m:den>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chip</m:t>
                        </m:r>
                      </m:sub>
                    </m:sSub>
                  </m:den>
                </m:f>
              </m:oMath>
            </m:oMathPara>
          </w:p>
        </w:tc>
        <w:tc>
          <w:tcPr>
            <w:tcW w:w="4140" w:type="dxa"/>
            <w:vAlign w:val="center"/>
          </w:tcPr>
          <w:p w14:paraId="500CB4A6"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Sensitivity of device performance to chip temperature; captures thermal throttling behavior.</w:t>
            </w:r>
          </w:p>
        </w:tc>
      </w:tr>
      <w:tr w:rsidR="007C2F53" w14:paraId="05FDFA8E" w14:textId="77777777" w:rsidTr="002B3C97">
        <w:trPr>
          <w:cantSplit/>
        </w:trPr>
        <w:tc>
          <w:tcPr>
            <w:tcW w:w="1435" w:type="dxa"/>
            <w:vMerge/>
            <w:vAlign w:val="center"/>
          </w:tcPr>
          <w:p w14:paraId="18EF9B3A"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B22C441"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Thermal Headroom</w:t>
            </w:r>
          </w:p>
        </w:tc>
        <w:tc>
          <w:tcPr>
            <w:tcW w:w="2880" w:type="dxa"/>
            <w:vAlign w:val="center"/>
          </w:tcPr>
          <w:p w14:paraId="3FCFD6B1" w14:textId="649DB765"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TH=</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throttle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chip</m:t>
                    </m:r>
                  </m:sub>
                </m:sSub>
              </m:oMath>
            </m:oMathPara>
          </w:p>
        </w:tc>
        <w:tc>
          <w:tcPr>
            <w:tcW w:w="4140" w:type="dxa"/>
            <w:vAlign w:val="center"/>
          </w:tcPr>
          <w:p w14:paraId="236C1F6A"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Temperature margin before throttling begins; indicates thermal safety and cooling adequacy.</w:t>
            </w:r>
          </w:p>
        </w:tc>
      </w:tr>
      <w:tr w:rsidR="007C2F53" w14:paraId="6D3A6646" w14:textId="77777777" w:rsidTr="002B3C97">
        <w:trPr>
          <w:cantSplit/>
        </w:trPr>
        <w:tc>
          <w:tcPr>
            <w:tcW w:w="1435" w:type="dxa"/>
            <w:vMerge/>
            <w:vAlign w:val="center"/>
          </w:tcPr>
          <w:p w14:paraId="7B81D347"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E9345C0"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Voltage</w:t>
            </w:r>
            <w:r>
              <w:rPr>
                <w:rFonts w:ascii="Times New Roman" w:eastAsia="Times New Roman" w:hAnsi="Times New Roman"/>
                <w:sz w:val="12"/>
                <w:szCs w:val="12"/>
              </w:rPr>
              <w:t>-</w:t>
            </w:r>
            <w:r w:rsidRPr="005E13C1">
              <w:rPr>
                <w:rFonts w:ascii="Times New Roman" w:eastAsia="Times New Roman" w:hAnsi="Times New Roman"/>
                <w:sz w:val="12"/>
                <w:szCs w:val="12"/>
              </w:rPr>
              <w:t>Frequency Scaling (VFS) Efficiency</w:t>
            </w:r>
          </w:p>
        </w:tc>
        <w:tc>
          <w:tcPr>
            <w:tcW w:w="2880" w:type="dxa"/>
            <w:vAlign w:val="center"/>
          </w:tcPr>
          <w:p w14:paraId="32E7B370" w14:textId="09C31F4B"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η</m:t>
                    </m:r>
                  </m:e>
                  <m:sub>
                    <m:r>
                      <m:rPr>
                        <m:sty m:val="p"/>
                      </m:rPr>
                      <w:rPr>
                        <w:rFonts w:ascii="Cambria Math" w:eastAsia="Cambria Math" w:hAnsi="Cambria Math" w:cs="Cambria Math"/>
                        <w:sz w:val="10"/>
                        <w:szCs w:val="10"/>
                      </w:rPr>
                      <m:t>VFS</m:t>
                    </m:r>
                  </m:sub>
                </m:sSub>
                <m:r>
                  <m:rPr>
                    <m:sty m:val="p"/>
                  </m:rPr>
                  <w:rPr>
                    <w:rFonts w:ascii="Cambria Math" w:eastAsia="Cambria Math" w:hAnsi="Cambria Math" w:cs="Cambria Math"/>
                    <w:sz w:val="10"/>
                    <w:szCs w:val="10"/>
                  </w:rPr>
                  <m:t>(f)=</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Perf(f)</m:t>
                    </m:r>
                  </m:num>
                  <m:den>
                    <m:r>
                      <m:rPr>
                        <m:sty m:val="p"/>
                      </m:rPr>
                      <w:rPr>
                        <w:rFonts w:ascii="Cambria Math" w:eastAsia="Cambria Math" w:hAnsi="Cambria Math" w:cs="Cambria Math"/>
                        <w:sz w:val="10"/>
                        <w:szCs w:val="10"/>
                      </w:rPr>
                      <m:t>P(f)</m:t>
                    </m:r>
                  </m:den>
                </m:f>
              </m:oMath>
            </m:oMathPara>
          </w:p>
        </w:tc>
        <w:tc>
          <w:tcPr>
            <w:tcW w:w="4140" w:type="dxa"/>
            <w:vAlign w:val="center"/>
          </w:tcPr>
          <w:p w14:paraId="7DDB9D9C"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Energy efficiency of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xml:space="preserve"> under different clock frequencies and voltages; used in power-capping and DVFS policies.</w:t>
            </w:r>
          </w:p>
        </w:tc>
      </w:tr>
      <w:tr w:rsidR="007C2F53" w14:paraId="1D777F56" w14:textId="77777777" w:rsidTr="002B3C97">
        <w:trPr>
          <w:cantSplit/>
        </w:trPr>
        <w:tc>
          <w:tcPr>
            <w:tcW w:w="1435" w:type="dxa"/>
            <w:vMerge/>
            <w:vAlign w:val="center"/>
          </w:tcPr>
          <w:p w14:paraId="74728E54"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9CB12F1"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Idle Power Fraction</w:t>
            </w:r>
          </w:p>
        </w:tc>
        <w:tc>
          <w:tcPr>
            <w:tcW w:w="2880" w:type="dxa"/>
            <w:vAlign w:val="center"/>
          </w:tcPr>
          <w:p w14:paraId="2EA28D14" w14:textId="60121A1A"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IPF=</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idle</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TDP</m:t>
                        </m:r>
                      </m:sub>
                    </m:sSub>
                  </m:den>
                </m:f>
              </m:oMath>
            </m:oMathPara>
          </w:p>
        </w:tc>
        <w:tc>
          <w:tcPr>
            <w:tcW w:w="4140" w:type="dxa"/>
            <w:vAlign w:val="center"/>
          </w:tcPr>
          <w:p w14:paraId="2D0B16D4"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Fraction of TDP consumed during idle state; reflects static inefficiency of hardware when underutilized.</w:t>
            </w:r>
          </w:p>
        </w:tc>
      </w:tr>
      <w:tr w:rsidR="007C2F53" w14:paraId="46C0069D" w14:textId="77777777" w:rsidTr="002B3C97">
        <w:trPr>
          <w:cantSplit/>
        </w:trPr>
        <w:tc>
          <w:tcPr>
            <w:tcW w:w="1435" w:type="dxa"/>
            <w:vMerge w:val="restart"/>
            <w:vAlign w:val="center"/>
          </w:tcPr>
          <w:p w14:paraId="0C5CC230" w14:textId="77777777" w:rsidR="007C2F53" w:rsidRDefault="007C2F53" w:rsidP="002B3C97">
            <w:pPr>
              <w:spacing w:line="160" w:lineRule="exact"/>
              <w:jc w:val="center"/>
              <w:rPr>
                <w:rFonts w:ascii="Times New Roman" w:eastAsia="Times New Roman" w:hAnsi="Times New Roman"/>
                <w:b/>
                <w:bCs/>
                <w:sz w:val="12"/>
                <w:szCs w:val="12"/>
              </w:rPr>
            </w:pPr>
            <w:proofErr w:type="spellStart"/>
            <w:r>
              <w:rPr>
                <w:rFonts w:ascii="Times New Roman" w:eastAsia="Times New Roman" w:hAnsi="Times New Roman"/>
                <w:b/>
                <w:bCs/>
                <w:sz w:val="12"/>
                <w:szCs w:val="12"/>
              </w:rPr>
              <w:t>Compute</w:t>
            </w:r>
            <w:proofErr w:type="spellEnd"/>
            <w:r>
              <w:rPr>
                <w:rFonts w:ascii="Times New Roman" w:eastAsia="Times New Roman" w:hAnsi="Times New Roman"/>
                <w:b/>
                <w:bCs/>
                <w:sz w:val="12"/>
                <w:szCs w:val="12"/>
              </w:rPr>
              <w:t xml:space="preserve"> Hardware Layer - Domain 2: </w:t>
            </w:r>
            <w:r>
              <w:rPr>
                <w:rFonts w:ascii="Times New Roman" w:eastAsia="Times New Roman" w:hAnsi="Times New Roman"/>
                <w:b/>
                <w:bCs/>
                <w:sz w:val="12"/>
                <w:szCs w:val="12"/>
              </w:rPr>
              <w:lastRenderedPageBreak/>
              <w:t>Compute &amp; Workload Efficiency</w:t>
            </w:r>
          </w:p>
        </w:tc>
        <w:tc>
          <w:tcPr>
            <w:tcW w:w="2070" w:type="dxa"/>
            <w:vAlign w:val="center"/>
          </w:tcPr>
          <w:p w14:paraId="5D926AE6"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lastRenderedPageBreak/>
              <w:t>FLOPs per Watt (FLOPs/W)</w:t>
            </w:r>
          </w:p>
        </w:tc>
        <w:tc>
          <w:tcPr>
            <w:tcW w:w="2880" w:type="dxa"/>
            <w:vAlign w:val="center"/>
          </w:tcPr>
          <w:p w14:paraId="551BF3FD" w14:textId="64010F2B" w:rsidR="007C2F53" w:rsidRPr="002B3C97" w:rsidRDefault="00000000" w:rsidP="002B3C97">
            <w:pPr>
              <w:spacing w:line="240" w:lineRule="atLeast"/>
              <w:jc w:val="center"/>
              <w:rPr>
                <w:rFonts w:ascii="Cambria Math" w:eastAsia="Cambria Math" w:hAnsi="Cambria Math" w:cs="Cambria Math"/>
                <w:iCs/>
                <w:sz w:val="10"/>
                <w:szCs w:val="10"/>
              </w:rPr>
            </w:pPr>
            <m:oMathPara>
              <m:oMath>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FLOPs</m:t>
                    </m:r>
                  </m:num>
                  <m:den>
                    <m:r>
                      <m:rPr>
                        <m:sty m:val="p"/>
                      </m:rPr>
                      <w:rPr>
                        <w:rFonts w:ascii="Cambria Math" w:eastAsia="Cambria Math" w:hAnsi="Cambria Math" w:cs="Cambria Math"/>
                        <w:sz w:val="10"/>
                        <w:szCs w:val="10"/>
                      </w:rPr>
                      <m:t>P</m:t>
                    </m:r>
                  </m:den>
                </m:f>
              </m:oMath>
            </m:oMathPara>
          </w:p>
        </w:tc>
        <w:tc>
          <w:tcPr>
            <w:tcW w:w="4140" w:type="dxa"/>
            <w:vAlign w:val="center"/>
          </w:tcPr>
          <w:p w14:paraId="2C6C031C"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Standard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-efficiency metric representing computational throughput per watt of power.</w:t>
            </w:r>
          </w:p>
        </w:tc>
      </w:tr>
      <w:tr w:rsidR="007C2F53" w14:paraId="5697853D" w14:textId="77777777" w:rsidTr="002B3C97">
        <w:trPr>
          <w:cantSplit/>
        </w:trPr>
        <w:tc>
          <w:tcPr>
            <w:tcW w:w="1435" w:type="dxa"/>
            <w:vMerge/>
            <w:vAlign w:val="center"/>
          </w:tcPr>
          <w:p w14:paraId="4FCA8CC7"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28877CAB"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Joules per Operation</w:t>
            </w:r>
          </w:p>
        </w:tc>
        <w:tc>
          <w:tcPr>
            <w:tcW w:w="2880" w:type="dxa"/>
            <w:vAlign w:val="center"/>
          </w:tcPr>
          <w:p w14:paraId="70C685CF" w14:textId="38AD1B86"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op</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total</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N</m:t>
                        </m:r>
                      </m:e>
                      <m:sub>
                        <m:r>
                          <m:rPr>
                            <m:sty m:val="p"/>
                          </m:rPr>
                          <w:rPr>
                            <w:rFonts w:ascii="Cambria Math" w:eastAsia="Cambria Math" w:hAnsi="Cambria Math" w:cs="Cambria Math"/>
                            <w:sz w:val="10"/>
                            <w:szCs w:val="10"/>
                          </w:rPr>
                          <m:t>operations</m:t>
                        </m:r>
                      </m:sub>
                    </m:sSub>
                  </m:den>
                </m:f>
              </m:oMath>
            </m:oMathPara>
          </w:p>
        </w:tc>
        <w:tc>
          <w:tcPr>
            <w:tcW w:w="4140" w:type="dxa"/>
            <w:vAlign w:val="center"/>
          </w:tcPr>
          <w:p w14:paraId="0B08404D"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Energy required per operation; reciprocal of FLOPs/W.</w:t>
            </w:r>
          </w:p>
        </w:tc>
      </w:tr>
      <w:tr w:rsidR="007C2F53" w14:paraId="2870BABE" w14:textId="77777777" w:rsidTr="002B3C97">
        <w:trPr>
          <w:cantSplit/>
        </w:trPr>
        <w:tc>
          <w:tcPr>
            <w:tcW w:w="1435" w:type="dxa"/>
            <w:vMerge/>
            <w:vAlign w:val="center"/>
          </w:tcPr>
          <w:p w14:paraId="0DDF6901"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4ECBF7CC"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Accelerator Utilization</w:t>
            </w:r>
          </w:p>
        </w:tc>
        <w:tc>
          <w:tcPr>
            <w:tcW w:w="2880" w:type="dxa"/>
            <w:vAlign w:val="center"/>
          </w:tcPr>
          <w:p w14:paraId="01EE1BF0" w14:textId="5DFBC5D5"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U=</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active</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total</m:t>
                        </m:r>
                      </m:sub>
                    </m:sSub>
                  </m:den>
                </m:f>
              </m:oMath>
            </m:oMathPara>
          </w:p>
        </w:tc>
        <w:tc>
          <w:tcPr>
            <w:tcW w:w="4140" w:type="dxa"/>
            <w:vAlign w:val="center"/>
          </w:tcPr>
          <w:p w14:paraId="26B27CF6"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Fraction of time an accelerator is actively executing workloads; low utilization indicates scheduling or pipeline bottlenecks.</w:t>
            </w:r>
          </w:p>
        </w:tc>
      </w:tr>
      <w:tr w:rsidR="007C2F53" w14:paraId="3DE056ED" w14:textId="77777777" w:rsidTr="002B3C97">
        <w:trPr>
          <w:cantSplit/>
        </w:trPr>
        <w:tc>
          <w:tcPr>
            <w:tcW w:w="1435" w:type="dxa"/>
            <w:vMerge/>
            <w:vAlign w:val="center"/>
          </w:tcPr>
          <w:p w14:paraId="07B8DF8C"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5A64AD23"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Tokens per Joule (LLM Efficiency)</w:t>
            </w:r>
          </w:p>
        </w:tc>
        <w:tc>
          <w:tcPr>
            <w:tcW w:w="2880" w:type="dxa"/>
            <w:vAlign w:val="center"/>
          </w:tcPr>
          <w:p w14:paraId="63530928" w14:textId="2DCD19C1" w:rsidR="007C2F53" w:rsidRPr="002B3C97" w:rsidRDefault="00000000" w:rsidP="002B3C97">
            <w:pPr>
              <w:spacing w:line="240" w:lineRule="atLeast"/>
              <w:jc w:val="center"/>
              <w:rPr>
                <w:rFonts w:ascii="Cambria Math" w:eastAsia="Cambria Math" w:hAnsi="Cambria Math" w:cs="Cambria Math"/>
                <w:iCs/>
                <w:sz w:val="10"/>
                <w:szCs w:val="10"/>
              </w:rPr>
            </w:pPr>
            <m:oMathPara>
              <m:oMath>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Tokens</m:t>
                    </m:r>
                  </m:num>
                  <m:den>
                    <m:r>
                      <m:rPr>
                        <m:sty m:val="p"/>
                      </m:rPr>
                      <w:rPr>
                        <w:rFonts w:ascii="Cambria Math" w:eastAsia="Cambria Math" w:hAnsi="Cambria Math" w:cs="Cambria Math"/>
                        <w:sz w:val="10"/>
                        <w:szCs w:val="10"/>
                      </w:rPr>
                      <m:t>E</m:t>
                    </m:r>
                  </m:den>
                </m:f>
              </m:oMath>
            </m:oMathPara>
          </w:p>
        </w:tc>
        <w:tc>
          <w:tcPr>
            <w:tcW w:w="4140" w:type="dxa"/>
            <w:vAlign w:val="center"/>
          </w:tcPr>
          <w:p w14:paraId="03931D86"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Measures energy efficiency of LLM inference, increasingly used as a standard efficiency metric for transformer models.</w:t>
            </w:r>
          </w:p>
        </w:tc>
      </w:tr>
      <w:tr w:rsidR="007C2F53" w14:paraId="799296D4" w14:textId="77777777" w:rsidTr="002B3C97">
        <w:trPr>
          <w:cantSplit/>
        </w:trPr>
        <w:tc>
          <w:tcPr>
            <w:tcW w:w="1435" w:type="dxa"/>
            <w:vMerge/>
            <w:vAlign w:val="center"/>
          </w:tcPr>
          <w:p w14:paraId="6273933E"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06E4A6DD"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Memory Bandwidth Utilization</w:t>
            </w:r>
          </w:p>
        </w:tc>
        <w:tc>
          <w:tcPr>
            <w:tcW w:w="2880" w:type="dxa"/>
            <w:vAlign w:val="center"/>
          </w:tcPr>
          <w:p w14:paraId="0CE230FF" w14:textId="320FBD43"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MBU=</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B</m:t>
                        </m:r>
                      </m:e>
                      <m:sub>
                        <m:r>
                          <m:rPr>
                            <m:sty m:val="p"/>
                          </m:rPr>
                          <w:rPr>
                            <w:rFonts w:ascii="Cambria Math" w:eastAsia="Cambria Math" w:hAnsi="Cambria Math" w:cs="Cambria Math"/>
                            <w:sz w:val="10"/>
                            <w:szCs w:val="10"/>
                          </w:rPr>
                          <m:t>used</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B</m:t>
                        </m:r>
                      </m:e>
                      <m:sub>
                        <m:r>
                          <m:rPr>
                            <m:sty m:val="p"/>
                          </m:rPr>
                          <w:rPr>
                            <w:rFonts w:ascii="Cambria Math" w:eastAsia="Cambria Math" w:hAnsi="Cambria Math" w:cs="Cambria Math"/>
                            <w:sz w:val="10"/>
                            <w:szCs w:val="10"/>
                          </w:rPr>
                          <m:t>peak</m:t>
                        </m:r>
                      </m:sub>
                    </m:sSub>
                  </m:den>
                </m:f>
              </m:oMath>
            </m:oMathPara>
          </w:p>
        </w:tc>
        <w:tc>
          <w:tcPr>
            <w:tcW w:w="4140" w:type="dxa"/>
            <w:vAlign w:val="center"/>
          </w:tcPr>
          <w:p w14:paraId="5C7E6FC4"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Fraction of available memory bandwidth consumed; captures memory-bound bottlenecks.</w:t>
            </w:r>
          </w:p>
        </w:tc>
      </w:tr>
      <w:tr w:rsidR="007C2F53" w14:paraId="4377F232" w14:textId="77777777" w:rsidTr="002B3C97">
        <w:trPr>
          <w:cantSplit/>
        </w:trPr>
        <w:tc>
          <w:tcPr>
            <w:tcW w:w="1435" w:type="dxa"/>
            <w:vMerge w:val="restart"/>
            <w:vAlign w:val="center"/>
          </w:tcPr>
          <w:p w14:paraId="07B1410C" w14:textId="77777777" w:rsidR="007C2F53" w:rsidRDefault="007C2F53" w:rsidP="002B3C97">
            <w:pPr>
              <w:spacing w:line="160" w:lineRule="exact"/>
              <w:jc w:val="center"/>
              <w:rPr>
                <w:rFonts w:ascii="Times New Roman" w:eastAsia="Times New Roman" w:hAnsi="Times New Roman"/>
                <w:b/>
                <w:bCs/>
                <w:sz w:val="12"/>
                <w:szCs w:val="12"/>
              </w:rPr>
            </w:pPr>
            <w:proofErr w:type="spellStart"/>
            <w:proofErr w:type="gramStart"/>
            <w:r>
              <w:rPr>
                <w:rFonts w:ascii="Times New Roman" w:eastAsia="Times New Roman" w:hAnsi="Times New Roman"/>
                <w:b/>
                <w:bCs/>
                <w:sz w:val="12"/>
                <w:szCs w:val="12"/>
              </w:rPr>
              <w:t>Compute</w:t>
            </w:r>
            <w:proofErr w:type="spellEnd"/>
            <w:proofErr w:type="gramEnd"/>
            <w:r>
              <w:rPr>
                <w:rFonts w:ascii="Times New Roman" w:eastAsia="Times New Roman" w:hAnsi="Times New Roman"/>
                <w:b/>
                <w:bCs/>
                <w:sz w:val="12"/>
                <w:szCs w:val="12"/>
              </w:rPr>
              <w:t xml:space="preserve"> Hardware Layer - Domain 3: Lifecycle Economics &amp; Reliability Risk</w:t>
            </w:r>
          </w:p>
        </w:tc>
        <w:tc>
          <w:tcPr>
            <w:tcW w:w="2070" w:type="dxa"/>
            <w:vAlign w:val="center"/>
          </w:tcPr>
          <w:p w14:paraId="361930EB"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Hardware TCO Contribution</w:t>
            </w:r>
          </w:p>
        </w:tc>
        <w:tc>
          <w:tcPr>
            <w:tcW w:w="2880" w:type="dxa"/>
            <w:vAlign w:val="center"/>
          </w:tcPr>
          <w:p w14:paraId="7F766CC0" w14:textId="709C6A56"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TCO</m:t>
                    </m:r>
                  </m:e>
                  <m:sub>
                    <m:r>
                      <m:rPr>
                        <m:sty m:val="p"/>
                      </m:rPr>
                      <w:rPr>
                        <w:rFonts w:ascii="Cambria Math" w:eastAsia="Cambria Math" w:hAnsi="Cambria Math" w:cs="Cambria Math"/>
                        <w:sz w:val="10"/>
                        <w:szCs w:val="10"/>
                      </w:rPr>
                      <m:t>HW</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capex</m:t>
                    </m:r>
                  </m:sub>
                </m:sSub>
                <m:r>
                  <m:rPr>
                    <m:sty m:val="p"/>
                  </m:rPr>
                  <w:rPr>
                    <w:rFonts w:ascii="Cambria Math" w:eastAsia="Cambria Math" w:hAnsi="Cambria Math" w:cs="Cambria Math"/>
                    <w:sz w:val="10"/>
                    <w:szCs w:val="10"/>
                  </w:rPr>
                  <m:t>+</m:t>
                </m:r>
                <m:nary>
                  <m:naryPr>
                    <m:chr m:val="∑"/>
                    <m:ctrlPr>
                      <w:rPr>
                        <w:rFonts w:ascii="Cambria Math" w:eastAsia="Cambria Math" w:hAnsi="Cambria Math" w:cs="Cambria Math"/>
                        <w:iCs/>
                        <w:sz w:val="10"/>
                        <w:szCs w:val="10"/>
                      </w:rPr>
                    </m:ctrlPr>
                  </m:naryPr>
                  <m:sub>
                    <m:r>
                      <m:rPr>
                        <m:sty m:val="p"/>
                      </m:rPr>
                      <w:rPr>
                        <w:rFonts w:ascii="Cambria Math" w:eastAsia="Cambria Math" w:hAnsi="Cambria Math" w:cs="Cambria Math"/>
                        <w:sz w:val="10"/>
                        <w:szCs w:val="10"/>
                      </w:rPr>
                      <m:t>t</m:t>
                    </m:r>
                  </m:sub>
                  <m:sup/>
                  <m:e/>
                </m:nary>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opex</m:t>
                        </m:r>
                      </m:sub>
                    </m:sSub>
                    <m:r>
                      <m:rPr>
                        <m:sty m:val="p"/>
                      </m:rPr>
                      <w:rPr>
                        <w:rFonts w:ascii="Cambria Math" w:eastAsia="Cambria Math" w:hAnsi="Cambria Math" w:cs="Cambria Math"/>
                        <w:sz w:val="10"/>
                        <w:szCs w:val="10"/>
                      </w:rPr>
                      <m:t>(t)</m:t>
                    </m:r>
                  </m:num>
                  <m:den>
                    <m:r>
                      <m:rPr>
                        <m:sty m:val="p"/>
                      </m:rPr>
                      <w:rPr>
                        <w:rFonts w:ascii="Cambria Math" w:eastAsia="Cambria Math" w:hAnsi="Cambria Math" w:cs="Cambria Math"/>
                        <w:sz w:val="10"/>
                        <w:szCs w:val="10"/>
                      </w:rPr>
                      <m:t>(r</m:t>
                    </m:r>
                    <m:sSup>
                      <m:sSupPr>
                        <m:ctrlPr>
                          <w:rPr>
                            <w:rFonts w:ascii="Cambria Math" w:eastAsia="Cambria Math" w:hAnsi="Cambria Math" w:cs="Cambria Math"/>
                            <w:iCs/>
                            <w:sz w:val="10"/>
                            <w:szCs w:val="10"/>
                          </w:rPr>
                        </m:ctrlPr>
                      </m:sSupPr>
                      <m:e>
                        <m:r>
                          <m:rPr>
                            <m:sty m:val="p"/>
                          </m:rPr>
                          <w:rPr>
                            <w:rFonts w:ascii="Cambria Math" w:eastAsia="Cambria Math" w:hAnsi="Cambria Math" w:cs="Cambria Math"/>
                            <w:sz w:val="10"/>
                            <w:szCs w:val="10"/>
                          </w:rPr>
                          <m:t>)</m:t>
                        </m:r>
                      </m:e>
                      <m:sup>
                        <m:r>
                          <m:rPr>
                            <m:sty m:val="p"/>
                          </m:rPr>
                          <w:rPr>
                            <w:rFonts w:ascii="Cambria Math" w:eastAsia="Cambria Math" w:hAnsi="Cambria Math" w:cs="Cambria Math"/>
                            <w:sz w:val="10"/>
                            <w:szCs w:val="10"/>
                          </w:rPr>
                          <m:t>t</m:t>
                        </m:r>
                      </m:sup>
                    </m:sSup>
                  </m:den>
                </m:f>
              </m:oMath>
            </m:oMathPara>
          </w:p>
        </w:tc>
        <w:tc>
          <w:tcPr>
            <w:tcW w:w="4140" w:type="dxa"/>
            <w:vAlign w:val="center"/>
          </w:tcPr>
          <w:p w14:paraId="7D370997" w14:textId="77777777" w:rsidR="007C2F53" w:rsidRDefault="007C2F53" w:rsidP="002B3C97">
            <w:pPr>
              <w:spacing w:line="160" w:lineRule="exact"/>
              <w:jc w:val="left"/>
              <w:rPr>
                <w:rFonts w:ascii="Times New Roman" w:eastAsia="Times New Roman" w:hAnsi="Times New Roman"/>
                <w:sz w:val="12"/>
                <w:szCs w:val="12"/>
              </w:rPr>
            </w:pPr>
            <w:proofErr w:type="gramStart"/>
            <w:r>
              <w:rPr>
                <w:rFonts w:ascii="Times New Roman" w:eastAsia="Times New Roman" w:hAnsi="Times New Roman"/>
                <w:sz w:val="12"/>
                <w:szCs w:val="12"/>
              </w:rPr>
              <w:t>Portion of</w:t>
            </w:r>
            <w:proofErr w:type="gramEnd"/>
            <w:r>
              <w:rPr>
                <w:rFonts w:ascii="Times New Roman" w:eastAsia="Times New Roman" w:hAnsi="Times New Roman"/>
                <w:sz w:val="12"/>
                <w:szCs w:val="12"/>
              </w:rPr>
              <w:t xml:space="preserve"> total cost of ownership </w:t>
            </w:r>
            <w:proofErr w:type="gramStart"/>
            <w:r>
              <w:rPr>
                <w:rFonts w:ascii="Times New Roman" w:eastAsia="Times New Roman" w:hAnsi="Times New Roman"/>
                <w:sz w:val="12"/>
                <w:szCs w:val="12"/>
              </w:rPr>
              <w:t>attributable</w:t>
            </w:r>
            <w:proofErr w:type="gramEnd"/>
            <w:r>
              <w:rPr>
                <w:rFonts w:ascii="Times New Roman" w:eastAsia="Times New Roman" w:hAnsi="Times New Roman"/>
                <w:sz w:val="12"/>
                <w:szCs w:val="12"/>
              </w:rPr>
              <w:t xml:space="preserve"> to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xml:space="preserve"> hardware (purchase, maintenance, energy, depreciation).</w:t>
            </w:r>
          </w:p>
        </w:tc>
      </w:tr>
      <w:tr w:rsidR="007C2F53" w14:paraId="64D8231A" w14:textId="77777777" w:rsidTr="002B3C97">
        <w:trPr>
          <w:cantSplit/>
        </w:trPr>
        <w:tc>
          <w:tcPr>
            <w:tcW w:w="1435" w:type="dxa"/>
            <w:vMerge/>
            <w:vAlign w:val="center"/>
          </w:tcPr>
          <w:p w14:paraId="6B934A3E"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0C9423D0" w14:textId="77777777" w:rsidR="007C2F53" w:rsidRPr="005E13C1" w:rsidRDefault="007C2F53" w:rsidP="002B3C97">
            <w:pPr>
              <w:spacing w:line="160" w:lineRule="exact"/>
              <w:jc w:val="center"/>
              <w:rPr>
                <w:rFonts w:ascii="Times New Roman" w:eastAsia="Times New Roman" w:hAnsi="Times New Roman"/>
                <w:sz w:val="12"/>
                <w:szCs w:val="12"/>
              </w:rPr>
            </w:pPr>
            <w:r w:rsidRPr="00B34399">
              <w:rPr>
                <w:rFonts w:ascii="Times New Roman" w:eastAsia="Times New Roman" w:hAnsi="Times New Roman"/>
                <w:sz w:val="12"/>
                <w:szCs w:val="12"/>
              </w:rPr>
              <w:t>Memory Power Share (MPS)</w:t>
            </w:r>
          </w:p>
        </w:tc>
        <w:tc>
          <w:tcPr>
            <w:tcW w:w="2880" w:type="dxa"/>
            <w:vAlign w:val="center"/>
          </w:tcPr>
          <w:p w14:paraId="2A2E9CA2" w14:textId="73EC20AB" w:rsidR="007C2F53" w:rsidRPr="002B3C97" w:rsidRDefault="007C2F53" w:rsidP="002B3C97">
            <w:pPr>
              <w:spacing w:line="240" w:lineRule="atLeast"/>
              <w:jc w:val="center"/>
              <w:rPr>
                <w:rFonts w:ascii="Cambria Math" w:eastAsia="Cambria Math" w:hAnsi="Cambria Math" w:cs="Cambria Math"/>
                <w:iCs/>
                <w:sz w:val="10"/>
                <w:szCs w:val="10"/>
              </w:rPr>
            </w:pPr>
            <m:oMathPara>
              <m:oMath>
                <m:r>
                  <m:rPr>
                    <m:nor/>
                  </m:rPr>
                  <w:rPr>
                    <w:rFonts w:ascii="Cambria Math" w:eastAsia="Cambria Math" w:hAnsi="Cambria Math" w:cs="Cambria Math"/>
                    <w:iCs/>
                    <w:sz w:val="10"/>
                    <w:szCs w:val="10"/>
                  </w:rPr>
                  <m:t>MPS</m:t>
                </m:r>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nor/>
                          </m:rPr>
                          <w:rPr>
                            <w:rFonts w:ascii="Cambria Math" w:eastAsia="Cambria Math" w:hAnsi="Cambria Math" w:cs="Cambria Math"/>
                            <w:iCs/>
                            <w:sz w:val="10"/>
                            <w:szCs w:val="10"/>
                          </w:rPr>
                          <m:t>memory</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nor/>
                          </m:rPr>
                          <w:rPr>
                            <w:rFonts w:ascii="Cambria Math" w:eastAsia="Cambria Math" w:hAnsi="Cambria Math" w:cs="Cambria Math"/>
                            <w:iCs/>
                            <w:sz w:val="10"/>
                            <w:szCs w:val="10"/>
                          </w:rPr>
                          <m:t>system</m:t>
                        </m:r>
                      </m:sub>
                    </m:sSub>
                  </m:den>
                </m:f>
              </m:oMath>
            </m:oMathPara>
          </w:p>
        </w:tc>
        <w:tc>
          <w:tcPr>
            <w:tcW w:w="4140" w:type="dxa"/>
            <w:vAlign w:val="center"/>
          </w:tcPr>
          <w:p w14:paraId="593BC3EC" w14:textId="77777777" w:rsidR="007C2F53" w:rsidRDefault="007C2F53" w:rsidP="002B3C97">
            <w:pPr>
              <w:spacing w:line="160" w:lineRule="exact"/>
              <w:jc w:val="left"/>
              <w:rPr>
                <w:rFonts w:ascii="Times New Roman" w:eastAsia="Times New Roman" w:hAnsi="Times New Roman"/>
                <w:sz w:val="12"/>
                <w:szCs w:val="12"/>
              </w:rPr>
            </w:pPr>
            <w:r w:rsidRPr="00B34399">
              <w:rPr>
                <w:rFonts w:ascii="Times New Roman" w:eastAsia="Times New Roman" w:hAnsi="Times New Roman"/>
                <w:sz w:val="12"/>
                <w:szCs w:val="12"/>
              </w:rPr>
              <w:t>Fraction of total system power consumed by DRAM/HBM.</w:t>
            </w:r>
            <w:r>
              <w:rPr>
                <w:rFonts w:ascii="Times New Roman" w:eastAsia="Times New Roman" w:hAnsi="Times New Roman"/>
                <w:sz w:val="12"/>
                <w:szCs w:val="12"/>
              </w:rPr>
              <w:t xml:space="preserve"> </w:t>
            </w:r>
            <w:r w:rsidRPr="00B34399">
              <w:rPr>
                <w:rFonts w:ascii="Times New Roman" w:eastAsia="Times New Roman" w:hAnsi="Times New Roman"/>
                <w:sz w:val="12"/>
                <w:szCs w:val="12"/>
              </w:rPr>
              <w:t>Often 25</w:t>
            </w:r>
            <w:r>
              <w:rPr>
                <w:rFonts w:ascii="Times New Roman" w:eastAsia="Times New Roman" w:hAnsi="Times New Roman"/>
                <w:sz w:val="12"/>
                <w:szCs w:val="12"/>
              </w:rPr>
              <w:t>-</w:t>
            </w:r>
            <w:r w:rsidRPr="00B34399">
              <w:rPr>
                <w:rFonts w:ascii="Times New Roman" w:eastAsia="Times New Roman" w:hAnsi="Times New Roman"/>
                <w:sz w:val="12"/>
                <w:szCs w:val="12"/>
              </w:rPr>
              <w:t>40% in modern AI servers (per “AI Tax” paper).</w:t>
            </w:r>
            <w:r>
              <w:rPr>
                <w:rFonts w:ascii="Times New Roman" w:eastAsia="Times New Roman" w:hAnsi="Times New Roman"/>
                <w:sz w:val="12"/>
                <w:szCs w:val="12"/>
              </w:rPr>
              <w:t xml:space="preserve"> </w:t>
            </w:r>
            <w:r w:rsidRPr="00B34399">
              <w:rPr>
                <w:rFonts w:ascii="Times New Roman" w:eastAsia="Times New Roman" w:hAnsi="Times New Roman"/>
                <w:sz w:val="12"/>
                <w:szCs w:val="12"/>
              </w:rPr>
              <w:t>Key for cooling, provisioning, and TCO-per-token.</w:t>
            </w:r>
          </w:p>
        </w:tc>
      </w:tr>
      <w:tr w:rsidR="007C2F53" w14:paraId="1C730376" w14:textId="77777777" w:rsidTr="002B3C97">
        <w:trPr>
          <w:cantSplit/>
        </w:trPr>
        <w:tc>
          <w:tcPr>
            <w:tcW w:w="1435" w:type="dxa"/>
            <w:vMerge/>
            <w:vAlign w:val="center"/>
          </w:tcPr>
          <w:p w14:paraId="52C78BA3"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4C44DB55"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Depreciation Curve</w:t>
            </w:r>
          </w:p>
        </w:tc>
        <w:tc>
          <w:tcPr>
            <w:tcW w:w="2880" w:type="dxa"/>
            <w:vAlign w:val="center"/>
          </w:tcPr>
          <w:p w14:paraId="089F3408" w14:textId="61331551"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V(t)=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V</m:t>
                    </m:r>
                  </m:e>
                  <m:sub>
                    <m:r>
                      <m:rPr>
                        <m:sty m:val="p"/>
                      </m:rPr>
                      <w:rPr>
                        <w:rFonts w:ascii="Cambria Math" w:eastAsia="Cambria Math" w:hAnsi="Cambria Math" w:cs="Cambria Math"/>
                        <w:sz w:val="10"/>
                        <w:szCs w:val="10"/>
                      </w:rPr>
                      <m:t>0</m:t>
                    </m:r>
                  </m:sub>
                </m:sSub>
                <m:r>
                  <m:rPr>
                    <m:sty m:val="p"/>
                  </m:rPr>
                  <w:rPr>
                    <w:rFonts w:ascii="Cambria Math" w:eastAsia="Cambria Math" w:hAnsi="Cambria Math" w:cs="Cambria Math"/>
                    <w:sz w:val="10"/>
                    <w:szCs w:val="10"/>
                  </w:rPr>
                  <m:t>(1-d</m:t>
                </m:r>
                <m:sSup>
                  <m:sSupPr>
                    <m:ctrlPr>
                      <w:rPr>
                        <w:rFonts w:ascii="Cambria Math" w:eastAsia="Cambria Math" w:hAnsi="Cambria Math" w:cs="Cambria Math"/>
                        <w:iCs/>
                        <w:sz w:val="10"/>
                        <w:szCs w:val="10"/>
                      </w:rPr>
                    </m:ctrlPr>
                  </m:sSupPr>
                  <m:e>
                    <m:r>
                      <m:rPr>
                        <m:sty m:val="p"/>
                      </m:rPr>
                      <w:rPr>
                        <w:rFonts w:ascii="Cambria Math" w:eastAsia="Cambria Math" w:hAnsi="Cambria Math" w:cs="Cambria Math"/>
                        <w:sz w:val="10"/>
                        <w:szCs w:val="10"/>
                      </w:rPr>
                      <m:t>)</m:t>
                    </m:r>
                  </m:e>
                  <m:sup>
                    <m:r>
                      <m:rPr>
                        <m:sty m:val="p"/>
                      </m:rPr>
                      <w:rPr>
                        <w:rFonts w:ascii="Cambria Math" w:eastAsia="Cambria Math" w:hAnsi="Cambria Math" w:cs="Cambria Math"/>
                        <w:sz w:val="10"/>
                        <w:szCs w:val="10"/>
                      </w:rPr>
                      <m:t>t</m:t>
                    </m:r>
                  </m:sup>
                </m:sSup>
              </m:oMath>
            </m:oMathPara>
          </w:p>
        </w:tc>
        <w:tc>
          <w:tcPr>
            <w:tcW w:w="4140" w:type="dxa"/>
            <w:vAlign w:val="center"/>
          </w:tcPr>
          <w:p w14:paraId="5E9BDCD0" w14:textId="6D23136D"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Hardware value after </w:t>
            </w:r>
            <m:oMath>
              <m:r>
                <w:rPr>
                  <w:rFonts w:ascii="Cambria Math" w:eastAsia="Cambria Math" w:hAnsi="Cambria Math" w:cs="Cambria Math"/>
                  <w:sz w:val="12"/>
                  <w:szCs w:val="12"/>
                </w:rPr>
                <m:t>t</m:t>
              </m:r>
            </m:oMath>
            <w:r>
              <w:rPr>
                <w:rFonts w:ascii="Times New Roman" w:eastAsia="Times New Roman" w:hAnsi="Times New Roman"/>
                <w:sz w:val="12"/>
                <w:szCs w:val="12"/>
              </w:rPr>
              <w:t xml:space="preserve">periods under geometric depreciation rate </w:t>
            </w:r>
            <m:oMath>
              <m:r>
                <w:rPr>
                  <w:rFonts w:ascii="Cambria Math" w:eastAsia="Cambria Math" w:hAnsi="Cambria Math" w:cs="Cambria Math"/>
                  <w:sz w:val="12"/>
                  <w:szCs w:val="12"/>
                </w:rPr>
                <m:t>d</m:t>
              </m:r>
            </m:oMath>
            <w:r>
              <w:rPr>
                <w:rFonts w:ascii="Times New Roman" w:eastAsia="Times New Roman" w:hAnsi="Times New Roman"/>
                <w:sz w:val="12"/>
                <w:szCs w:val="12"/>
              </w:rPr>
              <w:t>.</w:t>
            </w:r>
          </w:p>
        </w:tc>
      </w:tr>
      <w:tr w:rsidR="007C2F53" w14:paraId="0056F1B0" w14:textId="77777777" w:rsidTr="002B3C97">
        <w:trPr>
          <w:cantSplit/>
        </w:trPr>
        <w:tc>
          <w:tcPr>
            <w:tcW w:w="1435" w:type="dxa"/>
            <w:vMerge/>
            <w:vAlign w:val="center"/>
          </w:tcPr>
          <w:p w14:paraId="03588EED"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776FD164"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Cost per Accelerator-Hour</w:t>
            </w:r>
          </w:p>
        </w:tc>
        <w:tc>
          <w:tcPr>
            <w:tcW w:w="2880" w:type="dxa"/>
            <w:vAlign w:val="center"/>
          </w:tcPr>
          <w:p w14:paraId="17C0EB7B" w14:textId="67B57AC1"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acc-hour</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capex</m:t>
                        </m:r>
                      </m:sub>
                    </m:sSub>
                    <m:r>
                      <m:rPr>
                        <m:sty m:val="p"/>
                      </m:rPr>
                      <w:rPr>
                        <w:rFonts w:ascii="Cambria Math" w:eastAsia="Cambria Math" w:hAnsi="Cambria Math" w:cs="Cambria Math"/>
                        <w:sz w:val="10"/>
                        <w:szCs w:val="10"/>
                      </w:rPr>
                      <m:t>/L+</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opex</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H</m:t>
                        </m:r>
                      </m:e>
                      <m:sub>
                        <m:r>
                          <m:rPr>
                            <m:sty m:val="p"/>
                          </m:rPr>
                          <w:rPr>
                            <w:rFonts w:ascii="Cambria Math" w:eastAsia="Cambria Math" w:hAnsi="Cambria Math" w:cs="Cambria Math"/>
                            <w:sz w:val="10"/>
                            <w:szCs w:val="10"/>
                          </w:rPr>
                          <m:t>annual</m:t>
                        </m:r>
                      </m:sub>
                    </m:sSub>
                  </m:den>
                </m:f>
              </m:oMath>
            </m:oMathPara>
          </w:p>
        </w:tc>
        <w:tc>
          <w:tcPr>
            <w:tcW w:w="4140" w:type="dxa"/>
            <w:vAlign w:val="center"/>
          </w:tcPr>
          <w:p w14:paraId="5F1694CA"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Effective hourly cost for running one accelerator, inclusive of amortization and operating expenses.</w:t>
            </w:r>
          </w:p>
        </w:tc>
      </w:tr>
      <w:tr w:rsidR="007C2F53" w14:paraId="305008BA" w14:textId="77777777" w:rsidTr="002B3C97">
        <w:trPr>
          <w:cantSplit/>
        </w:trPr>
        <w:tc>
          <w:tcPr>
            <w:tcW w:w="1435" w:type="dxa"/>
            <w:vMerge/>
            <w:vAlign w:val="center"/>
          </w:tcPr>
          <w:p w14:paraId="22829A6C"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076ADE88"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Failure-Driven Replacement Cost</w:t>
            </w:r>
          </w:p>
        </w:tc>
        <w:tc>
          <w:tcPr>
            <w:tcW w:w="2880" w:type="dxa"/>
            <w:vAlign w:val="center"/>
          </w:tcPr>
          <w:p w14:paraId="29E7B93C" w14:textId="119C3EC0"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rep</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λ</m:t>
                    </m:r>
                  </m:e>
                  <m:sub>
                    <m:r>
                      <m:rPr>
                        <m:sty m:val="p"/>
                      </m:rPr>
                      <w:rPr>
                        <w:rFonts w:ascii="Cambria Math" w:eastAsia="Cambria Math" w:hAnsi="Cambria Math" w:cs="Cambria Math"/>
                        <w:sz w:val="10"/>
                        <w:szCs w:val="10"/>
                      </w:rPr>
                      <m:t>fail</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unit</m:t>
                    </m:r>
                  </m:sub>
                </m:sSub>
              </m:oMath>
            </m:oMathPara>
          </w:p>
        </w:tc>
        <w:tc>
          <w:tcPr>
            <w:tcW w:w="4140" w:type="dxa"/>
            <w:vAlign w:val="center"/>
          </w:tcPr>
          <w:p w14:paraId="39BA049F"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Expected annual replacement cost for failed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xml:space="preserve"> devices; key in reliability-aware economic modeling.</w:t>
            </w:r>
          </w:p>
        </w:tc>
      </w:tr>
      <w:tr w:rsidR="007C2F53" w14:paraId="7C4563A2" w14:textId="77777777" w:rsidTr="002B3C97">
        <w:trPr>
          <w:cantSplit/>
        </w:trPr>
        <w:tc>
          <w:tcPr>
            <w:tcW w:w="1435" w:type="dxa"/>
            <w:vMerge/>
            <w:vAlign w:val="center"/>
          </w:tcPr>
          <w:p w14:paraId="096B8D8F"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7E224D16"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Hardware Lifetime Efficiency</w:t>
            </w:r>
          </w:p>
        </w:tc>
        <w:tc>
          <w:tcPr>
            <w:tcW w:w="2880" w:type="dxa"/>
            <w:vAlign w:val="center"/>
          </w:tcPr>
          <w:p w14:paraId="04F4304B" w14:textId="145DD67C"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HLE=</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Useful Compute Output</m:t>
                    </m:r>
                  </m:num>
                  <m:den>
                    <m:r>
                      <m:rPr>
                        <m:sty m:val="p"/>
                      </m:rPr>
                      <w:rPr>
                        <w:rFonts w:ascii="Cambria Math" w:eastAsia="Cambria Math" w:hAnsi="Cambria Math" w:cs="Cambria Math"/>
                        <w:sz w:val="10"/>
                        <w:szCs w:val="10"/>
                      </w:rPr>
                      <m:t>Lifetime Cost</m:t>
                    </m:r>
                  </m:den>
                </m:f>
              </m:oMath>
            </m:oMathPara>
          </w:p>
        </w:tc>
        <w:tc>
          <w:tcPr>
            <w:tcW w:w="4140" w:type="dxa"/>
            <w:vAlign w:val="center"/>
          </w:tcPr>
          <w:p w14:paraId="26ED64EB"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Overall efficiency of hardware over its usable life, defined as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xml:space="preserve"> delivered per dollar spent.</w:t>
            </w:r>
          </w:p>
        </w:tc>
      </w:tr>
      <w:tr w:rsidR="007C2F53" w14:paraId="738B2329" w14:textId="77777777" w:rsidTr="002B3C97">
        <w:trPr>
          <w:cantSplit/>
        </w:trPr>
        <w:tc>
          <w:tcPr>
            <w:tcW w:w="1435" w:type="dxa"/>
            <w:vMerge w:val="restart"/>
            <w:vAlign w:val="center"/>
          </w:tcPr>
          <w:p w14:paraId="0D0C3D02"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Networking &amp; Interconnect Layer - Domain 1: Physical Performance &amp; Efficiency</w:t>
            </w:r>
          </w:p>
        </w:tc>
        <w:tc>
          <w:tcPr>
            <w:tcW w:w="2070" w:type="dxa"/>
            <w:vAlign w:val="center"/>
          </w:tcPr>
          <w:p w14:paraId="298D32A5"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Network Power Overhead</w:t>
            </w:r>
          </w:p>
        </w:tc>
        <w:tc>
          <w:tcPr>
            <w:tcW w:w="2880" w:type="dxa"/>
            <w:vAlign w:val="center"/>
          </w:tcPr>
          <w:p w14:paraId="28DCB145" w14:textId="616D733E"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NPO=</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network</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switches</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NICs</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optics</m:t>
                    </m:r>
                  </m:sub>
                </m:sSub>
              </m:oMath>
            </m:oMathPara>
          </w:p>
        </w:tc>
        <w:tc>
          <w:tcPr>
            <w:tcW w:w="4140" w:type="dxa"/>
            <w:vAlign w:val="center"/>
          </w:tcPr>
          <w:p w14:paraId="358968ED"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Total power consumed by network infrastructure (switches, NICs, optics). Indicates physical overhead of interconnect relative to compute.</w:t>
            </w:r>
          </w:p>
        </w:tc>
      </w:tr>
      <w:tr w:rsidR="007C2F53" w:rsidRPr="00CE2568" w14:paraId="4AAEF8DB" w14:textId="77777777" w:rsidTr="002B3C97">
        <w:trPr>
          <w:cantSplit/>
        </w:trPr>
        <w:tc>
          <w:tcPr>
            <w:tcW w:w="1435" w:type="dxa"/>
            <w:vMerge/>
            <w:vAlign w:val="center"/>
          </w:tcPr>
          <w:p w14:paraId="3BD0DEA5"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56FA386E" w14:textId="77777777" w:rsidR="007C2F53" w:rsidRPr="005E13C1" w:rsidRDefault="007C2F53" w:rsidP="002B3C97">
            <w:pPr>
              <w:spacing w:line="160" w:lineRule="exact"/>
              <w:jc w:val="center"/>
              <w:rPr>
                <w:rFonts w:ascii="Times New Roman" w:eastAsia="Times New Roman" w:hAnsi="Times New Roman"/>
                <w:sz w:val="12"/>
                <w:szCs w:val="12"/>
              </w:rPr>
            </w:pPr>
            <w:r w:rsidRPr="00BC5956">
              <w:rPr>
                <w:rFonts w:ascii="Times New Roman" w:eastAsia="Times New Roman" w:hAnsi="Times New Roman"/>
                <w:sz w:val="12"/>
                <w:szCs w:val="12"/>
              </w:rPr>
              <w:t>Network Diameter / Hops</w:t>
            </w:r>
          </w:p>
        </w:tc>
        <w:tc>
          <w:tcPr>
            <w:tcW w:w="2880" w:type="dxa"/>
            <w:vAlign w:val="center"/>
          </w:tcPr>
          <w:p w14:paraId="5853C1A8" w14:textId="11648C06"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D=max shortest-path length between nodes</m:t>
                </m:r>
              </m:oMath>
            </m:oMathPara>
          </w:p>
        </w:tc>
        <w:tc>
          <w:tcPr>
            <w:tcW w:w="4140" w:type="dxa"/>
            <w:vAlign w:val="center"/>
          </w:tcPr>
          <w:p w14:paraId="203920E0" w14:textId="77777777" w:rsidR="007C2F53" w:rsidRPr="00CE2568" w:rsidRDefault="007C2F53" w:rsidP="002B3C97">
            <w:pPr>
              <w:spacing w:line="160" w:lineRule="exact"/>
              <w:jc w:val="left"/>
              <w:rPr>
                <w:rFonts w:ascii="Times New Roman" w:eastAsiaTheme="minorEastAsia" w:hAnsi="Times New Roman"/>
                <w:sz w:val="12"/>
                <w:szCs w:val="12"/>
              </w:rPr>
            </w:pPr>
            <w:r w:rsidRPr="00CE2568">
              <w:rPr>
                <w:rFonts w:ascii="Times New Roman" w:eastAsia="Times New Roman" w:hAnsi="Times New Roman"/>
                <w:sz w:val="12"/>
                <w:szCs w:val="12"/>
              </w:rPr>
              <w:t>Network Diameter is the maximum shortest path (in hops) between any two accelerators in the cluster topology.</w:t>
            </w:r>
            <w:r>
              <w:rPr>
                <w:rFonts w:ascii="Times New Roman" w:eastAsiaTheme="minorEastAsia" w:hAnsi="Times New Roman" w:hint="eastAsia"/>
                <w:sz w:val="12"/>
                <w:szCs w:val="12"/>
              </w:rPr>
              <w:t xml:space="preserve"> Fatal to all-reduce, </w:t>
            </w:r>
            <w:proofErr w:type="spellStart"/>
            <w:r>
              <w:rPr>
                <w:rFonts w:ascii="Times New Roman" w:eastAsiaTheme="minorEastAsia" w:hAnsi="Times New Roman" w:hint="eastAsia"/>
                <w:sz w:val="12"/>
                <w:szCs w:val="12"/>
              </w:rPr>
              <w:t>MoE</w:t>
            </w:r>
            <w:proofErr w:type="spellEnd"/>
            <w:r>
              <w:rPr>
                <w:rFonts w:ascii="Times New Roman" w:eastAsiaTheme="minorEastAsia" w:hAnsi="Times New Roman" w:hint="eastAsia"/>
                <w:sz w:val="12"/>
                <w:szCs w:val="12"/>
              </w:rPr>
              <w:t xml:space="preserve"> routing, parameter sharding time lag. </w:t>
            </w:r>
            <w:r w:rsidRPr="00CE2568">
              <w:rPr>
                <w:rFonts w:ascii="Times New Roman" w:eastAsiaTheme="minorEastAsia" w:hAnsi="Times New Roman"/>
                <w:sz w:val="12"/>
                <w:szCs w:val="12"/>
              </w:rPr>
              <w:t xml:space="preserve">LLM inference + </w:t>
            </w:r>
            <w:proofErr w:type="spellStart"/>
            <w:r w:rsidRPr="00CE2568">
              <w:rPr>
                <w:rFonts w:ascii="Times New Roman" w:eastAsiaTheme="minorEastAsia" w:hAnsi="Times New Roman"/>
                <w:sz w:val="12"/>
                <w:szCs w:val="12"/>
              </w:rPr>
              <w:t>MoE</w:t>
            </w:r>
            <w:proofErr w:type="spellEnd"/>
            <w:r w:rsidRPr="00CE2568">
              <w:rPr>
                <w:rFonts w:ascii="Times New Roman" w:eastAsiaTheme="minorEastAsia" w:hAnsi="Times New Roman"/>
                <w:sz w:val="12"/>
                <w:szCs w:val="12"/>
              </w:rPr>
              <w:t xml:space="preserve"> routing = latency highly sensitive to network diameter</w:t>
            </w:r>
          </w:p>
        </w:tc>
      </w:tr>
      <w:tr w:rsidR="007C2F53" w14:paraId="5A29B2D8" w14:textId="77777777" w:rsidTr="002B3C97">
        <w:trPr>
          <w:cantSplit/>
        </w:trPr>
        <w:tc>
          <w:tcPr>
            <w:tcW w:w="1435" w:type="dxa"/>
            <w:vMerge/>
            <w:vAlign w:val="center"/>
          </w:tcPr>
          <w:p w14:paraId="358DCE57"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C319ED9"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Switch Load Power Ratio</w:t>
            </w:r>
          </w:p>
        </w:tc>
        <w:tc>
          <w:tcPr>
            <w:tcW w:w="2880" w:type="dxa"/>
            <w:vAlign w:val="center"/>
          </w:tcPr>
          <w:p w14:paraId="36A7A9FF" w14:textId="74070097"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SLPR=</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switch</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rack</m:t>
                        </m:r>
                      </m:sub>
                    </m:sSub>
                  </m:den>
                </m:f>
              </m:oMath>
            </m:oMathPara>
          </w:p>
        </w:tc>
        <w:tc>
          <w:tcPr>
            <w:tcW w:w="4140" w:type="dxa"/>
            <w:vAlign w:val="center"/>
          </w:tcPr>
          <w:p w14:paraId="59317A32"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Fraction of rack-level power used by switching </w:t>
            </w:r>
            <w:proofErr w:type="gramStart"/>
            <w:r>
              <w:rPr>
                <w:rFonts w:ascii="Times New Roman" w:eastAsia="Times New Roman" w:hAnsi="Times New Roman"/>
                <w:sz w:val="12"/>
                <w:szCs w:val="12"/>
              </w:rPr>
              <w:t>hardware;</w:t>
            </w:r>
            <w:proofErr w:type="gramEnd"/>
            <w:r>
              <w:rPr>
                <w:rFonts w:ascii="Times New Roman" w:eastAsia="Times New Roman" w:hAnsi="Times New Roman"/>
                <w:sz w:val="12"/>
                <w:szCs w:val="12"/>
              </w:rPr>
              <w:t xml:space="preserve"> reflects network intensity of a cluster.</w:t>
            </w:r>
          </w:p>
        </w:tc>
      </w:tr>
      <w:tr w:rsidR="007C2F53" w14:paraId="1B97EAE5" w14:textId="77777777" w:rsidTr="002B3C97">
        <w:trPr>
          <w:cantSplit/>
        </w:trPr>
        <w:tc>
          <w:tcPr>
            <w:tcW w:w="1435" w:type="dxa"/>
            <w:vMerge/>
            <w:vAlign w:val="center"/>
          </w:tcPr>
          <w:p w14:paraId="0CBEEAC7"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34193C3"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Rack/Pod Thermal Load from Networking</w:t>
            </w:r>
          </w:p>
        </w:tc>
        <w:tc>
          <w:tcPr>
            <w:tcW w:w="2880" w:type="dxa"/>
            <w:vAlign w:val="center"/>
          </w:tcPr>
          <w:p w14:paraId="55CE4D8C" w14:textId="3768942C"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TL</m:t>
                    </m:r>
                  </m:e>
                  <m:sub>
                    <m:r>
                      <m:rPr>
                        <m:sty m:val="p"/>
                      </m:rPr>
                      <w:rPr>
                        <w:rFonts w:ascii="Cambria Math" w:eastAsia="Cambria Math" w:hAnsi="Cambria Math" w:cs="Cambria Math"/>
                        <w:sz w:val="10"/>
                        <w:szCs w:val="10"/>
                      </w:rPr>
                      <m:t>net</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network</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total</m:t>
                        </m:r>
                      </m:sub>
                    </m:sSub>
                  </m:den>
                </m:f>
              </m:oMath>
            </m:oMathPara>
          </w:p>
        </w:tc>
        <w:tc>
          <w:tcPr>
            <w:tcW w:w="4140" w:type="dxa"/>
            <w:vAlign w:val="center"/>
          </w:tcPr>
          <w:p w14:paraId="6681C60E"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Share of thermal load contributed by networking equipment; influences cooling planning and hot-aisle design.</w:t>
            </w:r>
          </w:p>
        </w:tc>
      </w:tr>
      <w:tr w:rsidR="007C2F53" w14:paraId="1D5BFEF9" w14:textId="77777777" w:rsidTr="002B3C97">
        <w:trPr>
          <w:cantSplit/>
        </w:trPr>
        <w:tc>
          <w:tcPr>
            <w:tcW w:w="1435" w:type="dxa"/>
            <w:vMerge/>
            <w:vAlign w:val="center"/>
          </w:tcPr>
          <w:p w14:paraId="2E1B0492"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5D8B236A"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Interconnect Energy per Bit</w:t>
            </w:r>
          </w:p>
        </w:tc>
        <w:tc>
          <w:tcPr>
            <w:tcW w:w="2880" w:type="dxa"/>
            <w:vAlign w:val="center"/>
          </w:tcPr>
          <w:p w14:paraId="3DDA7333" w14:textId="5B93AE9A"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bit</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network</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B</m:t>
                        </m:r>
                      </m:e>
                      <m:sub>
                        <m:r>
                          <m:rPr>
                            <m:sty m:val="p"/>
                          </m:rPr>
                          <w:rPr>
                            <w:rFonts w:ascii="Cambria Math" w:eastAsia="Cambria Math" w:hAnsi="Cambria Math" w:cs="Cambria Math"/>
                            <w:sz w:val="10"/>
                            <w:szCs w:val="10"/>
                          </w:rPr>
                          <m:t>transmitted</m:t>
                        </m:r>
                      </m:sub>
                    </m:sSub>
                  </m:den>
                </m:f>
              </m:oMath>
            </m:oMathPara>
          </w:p>
        </w:tc>
        <w:tc>
          <w:tcPr>
            <w:tcW w:w="4140" w:type="dxa"/>
            <w:vAlign w:val="center"/>
          </w:tcPr>
          <w:p w14:paraId="00822F44"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Energy </w:t>
            </w:r>
            <w:proofErr w:type="gramStart"/>
            <w:r>
              <w:rPr>
                <w:rFonts w:ascii="Times New Roman" w:eastAsia="Times New Roman" w:hAnsi="Times New Roman"/>
                <w:sz w:val="12"/>
                <w:szCs w:val="12"/>
              </w:rPr>
              <w:t>required</w:t>
            </w:r>
            <w:proofErr w:type="gramEnd"/>
            <w:r>
              <w:rPr>
                <w:rFonts w:ascii="Times New Roman" w:eastAsia="Times New Roman" w:hAnsi="Times New Roman"/>
                <w:sz w:val="12"/>
                <w:szCs w:val="12"/>
              </w:rPr>
              <w:t xml:space="preserve"> to transmit one bit over the fabric; key for large-scale distributed training.</w:t>
            </w:r>
          </w:p>
        </w:tc>
      </w:tr>
      <w:tr w:rsidR="007C2F53" w14:paraId="0D8076D3" w14:textId="77777777" w:rsidTr="002B3C97">
        <w:trPr>
          <w:cantSplit/>
        </w:trPr>
        <w:tc>
          <w:tcPr>
            <w:tcW w:w="1435" w:type="dxa"/>
            <w:vMerge w:val="restart"/>
            <w:vAlign w:val="center"/>
          </w:tcPr>
          <w:p w14:paraId="6D5163EE"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Networking &amp; Interconnect Layer - Domain 2: Compute &amp; Workload</w:t>
            </w:r>
          </w:p>
        </w:tc>
        <w:tc>
          <w:tcPr>
            <w:tcW w:w="2070" w:type="dxa"/>
            <w:vAlign w:val="center"/>
          </w:tcPr>
          <w:p w14:paraId="6673A61F"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Pipeline Efficiency (PE)</w:t>
            </w:r>
          </w:p>
        </w:tc>
        <w:tc>
          <w:tcPr>
            <w:tcW w:w="2880" w:type="dxa"/>
            <w:vAlign w:val="center"/>
          </w:tcPr>
          <w:p w14:paraId="7DB8D0D8" w14:textId="718DE6DE"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PE=</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ideal</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actual</m:t>
                        </m:r>
                      </m:sub>
                    </m:sSub>
                  </m:den>
                </m:f>
              </m:oMath>
            </m:oMathPara>
          </w:p>
        </w:tc>
        <w:tc>
          <w:tcPr>
            <w:tcW w:w="4140" w:type="dxa"/>
            <w:vAlign w:val="center"/>
          </w:tcPr>
          <w:p w14:paraId="3630E9A7"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Measures how efficiently a distributed pipeline (training or inference) achieves ideal end-to-end throughput. Captures pipeline bubbles and imbalance.</w:t>
            </w:r>
          </w:p>
        </w:tc>
      </w:tr>
      <w:tr w:rsidR="007C2F53" w14:paraId="1173CCB2" w14:textId="77777777" w:rsidTr="002B3C97">
        <w:trPr>
          <w:cantSplit/>
        </w:trPr>
        <w:tc>
          <w:tcPr>
            <w:tcW w:w="1435" w:type="dxa"/>
            <w:vMerge/>
            <w:vAlign w:val="center"/>
          </w:tcPr>
          <w:p w14:paraId="145B3740"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0A634761" w14:textId="77777777" w:rsidR="007C2F53" w:rsidRPr="005E13C1" w:rsidRDefault="007C2F53" w:rsidP="002B3C97">
            <w:pPr>
              <w:spacing w:line="160" w:lineRule="exact"/>
              <w:jc w:val="center"/>
              <w:rPr>
                <w:rFonts w:ascii="Times New Roman" w:eastAsia="Times New Roman" w:hAnsi="Times New Roman"/>
                <w:sz w:val="12"/>
                <w:szCs w:val="12"/>
              </w:rPr>
            </w:pPr>
            <w:r w:rsidRPr="00426292">
              <w:rPr>
                <w:rFonts w:ascii="Times New Roman" w:eastAsia="Times New Roman" w:hAnsi="Times New Roman"/>
                <w:sz w:val="12"/>
                <w:szCs w:val="12"/>
              </w:rPr>
              <w:t>Bisection Bandwidth</w:t>
            </w:r>
            <w:r w:rsidRPr="00426292">
              <w:rPr>
                <w:rFonts w:ascii="宋体" w:hAnsi="宋体" w:cs="宋体" w:hint="eastAsia"/>
                <w:sz w:val="12"/>
                <w:szCs w:val="12"/>
              </w:rPr>
              <w:t>（</w:t>
            </w:r>
            <w:r w:rsidRPr="00426292">
              <w:rPr>
                <w:rFonts w:ascii="Times New Roman" w:eastAsia="Times New Roman" w:hAnsi="Times New Roman"/>
                <w:sz w:val="12"/>
                <w:szCs w:val="12"/>
              </w:rPr>
              <w:t>BB/sec</w:t>
            </w:r>
            <w:r w:rsidRPr="00426292">
              <w:rPr>
                <w:rFonts w:ascii="宋体" w:hAnsi="宋体" w:cs="宋体" w:hint="eastAsia"/>
                <w:sz w:val="12"/>
                <w:szCs w:val="12"/>
              </w:rPr>
              <w:t>）</w:t>
            </w:r>
          </w:p>
        </w:tc>
        <w:tc>
          <w:tcPr>
            <w:tcW w:w="2880" w:type="dxa"/>
            <w:vAlign w:val="center"/>
          </w:tcPr>
          <w:p w14:paraId="1DB5FF66" w14:textId="2C9EF0DF" w:rsidR="007C2F53" w:rsidRPr="002B3C97" w:rsidRDefault="007C2F53" w:rsidP="002B3C97">
            <w:pPr>
              <w:spacing w:line="240" w:lineRule="atLeast"/>
              <w:jc w:val="center"/>
              <w:rPr>
                <w:rFonts w:ascii="Cambria Math" w:eastAsia="Cambria Math" w:hAnsi="Cambria Math" w:cs="Cambria Math"/>
                <w:iCs/>
                <w:sz w:val="10"/>
                <w:szCs w:val="10"/>
              </w:rPr>
            </w:pPr>
            <m:oMathPara>
              <m:oMath>
                <m:r>
                  <m:rPr>
                    <m:nor/>
                  </m:rPr>
                  <w:rPr>
                    <w:rFonts w:ascii="Cambria Math" w:eastAsia="Cambria Math" w:hAnsi="Cambria Math" w:cs="Cambria Math"/>
                    <w:iCs/>
                    <w:sz w:val="10"/>
                    <w:szCs w:val="10"/>
                  </w:rPr>
                  <m:t>BB/sec</m:t>
                </m:r>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r>
                      <m:rPr>
                        <m:nor/>
                      </m:rPr>
                      <w:rPr>
                        <w:rFonts w:ascii="Cambria Math" w:eastAsia="Cambria Math" w:hAnsi="Cambria Math" w:cs="Cambria Math"/>
                        <w:iCs/>
                        <w:sz w:val="10"/>
                        <w:szCs w:val="10"/>
                      </w:rPr>
                      <m:t>IBB</m:t>
                    </m:r>
                  </m:num>
                  <m:den>
                    <m:r>
                      <m:rPr>
                        <m:sty m:val="p"/>
                      </m:rPr>
                      <w:rPr>
                        <w:rFonts w:ascii="Cambria Math" w:eastAsia="Cambria Math" w:hAnsi="Cambria Math" w:cs="Cambria Math"/>
                        <w:sz w:val="10"/>
                        <w:szCs w:val="10"/>
                      </w:rPr>
                      <m:t>2</m:t>
                    </m:r>
                  </m:den>
                </m:f>
                <m:r>
                  <m:rPr>
                    <m:nor/>
                  </m:rPr>
                  <w:rPr>
                    <w:rFonts w:ascii="Cambria Math" w:eastAsia="Cambria Math" w:hAnsi="Cambria Math" w:cs="Cambria Math"/>
                    <w:iCs/>
                    <w:sz w:val="10"/>
                    <w:szCs w:val="10"/>
                  </w:rPr>
                  <m:t xml:space="preserve">(cluster evenly partitioned) </m:t>
                </m:r>
                <m:r>
                  <m:rPr>
                    <m:sty m:val="p"/>
                  </m:rPr>
                  <w:rPr>
                    <w:rFonts w:ascii="Cambria Math" w:eastAsia="Cambria Math" w:hAnsi="Cambria Math" w:cs="Cambria Math"/>
                    <w:sz w:val="10"/>
                    <w:szCs w:val="10"/>
                  </w:rPr>
                  <m:t>=</m:t>
                </m:r>
                <m:limLow>
                  <m:limLowPr>
                    <m:ctrlPr>
                      <w:rPr>
                        <w:rFonts w:ascii="Cambria Math" w:eastAsia="Cambria Math" w:hAnsi="Cambria Math" w:cs="Cambria Math"/>
                        <w:iCs/>
                        <w:sz w:val="10"/>
                        <w:szCs w:val="10"/>
                      </w:rPr>
                    </m:ctrlPr>
                  </m:limLowPr>
                  <m:e>
                    <m:r>
                      <m:rPr>
                        <m:sty m:val="p"/>
                      </m:rPr>
                      <w:rPr>
                        <w:rFonts w:ascii="Cambria Math" w:eastAsia="Cambria Math" w:hAnsi="Cambria Math" w:cs="Cambria Math"/>
                        <w:sz w:val="10"/>
                        <w:szCs w:val="10"/>
                      </w:rPr>
                      <m:t>min⁡</m:t>
                    </m:r>
                  </m:e>
                  <m:lim>
                    <m:r>
                      <m:rPr>
                        <m:nor/>
                      </m:rPr>
                      <w:rPr>
                        <w:rFonts w:ascii="Cambria Math" w:eastAsia="Cambria Math" w:hAnsi="Cambria Math" w:cs="Cambria Math"/>
                        <w:iCs/>
                        <w:sz w:val="10"/>
                        <w:szCs w:val="10"/>
                      </w:rPr>
                      <m:t>cluster bisection</m:t>
                    </m:r>
                  </m:lim>
                </m:limLow>
                <m:nary>
                  <m:naryPr>
                    <m:chr m:val="∑"/>
                    <m:limLoc m:val="undOvr"/>
                    <m:grow m:val="1"/>
                    <m:supHide m:val="1"/>
                    <m:ctrlPr>
                      <w:rPr>
                        <w:rFonts w:ascii="Cambria Math" w:eastAsia="Cambria Math" w:hAnsi="Cambria Math" w:cs="Cambria Math"/>
                        <w:iCs/>
                        <w:sz w:val="10"/>
                        <w:szCs w:val="10"/>
                      </w:rPr>
                    </m:ctrlPr>
                  </m:naryPr>
                  <m:sub>
                    <m:r>
                      <m:rPr>
                        <m:scr m:val="script"/>
                        <m:sty m:val="p"/>
                      </m:rPr>
                      <w:rPr>
                        <w:rFonts w:ascii="Cambria Math" w:eastAsia="Cambria Math" w:hAnsi="Cambria Math" w:cs="Cambria Math"/>
                        <w:sz w:val="10"/>
                        <w:szCs w:val="10"/>
                      </w:rPr>
                      <m:t>l</m:t>
                    </m:r>
                  </m:sub>
                  <m:sup/>
                  <m:e>
                    <m:r>
                      <m:rPr>
                        <m:sty m:val="p"/>
                      </m:rPr>
                      <w:rPr>
                        <w:rFonts w:ascii="Cambria Math" w:eastAsia="Cambria Math" w:hAnsi="Cambria Math" w:cs="Cambria Math"/>
                        <w:sz w:val="10"/>
                        <w:szCs w:val="10"/>
                      </w:rPr>
                      <m:t>B</m:t>
                    </m:r>
                  </m:e>
                </m:nary>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W</m:t>
                    </m:r>
                  </m:e>
                  <m:sub>
                    <m:r>
                      <m:rPr>
                        <m:scr m:val="script"/>
                        <m:sty m:val="p"/>
                      </m:rPr>
                      <w:rPr>
                        <w:rFonts w:ascii="Cambria Math" w:eastAsia="Cambria Math" w:hAnsi="Cambria Math" w:cs="Cambria Math"/>
                        <w:sz w:val="10"/>
                        <w:szCs w:val="10"/>
                      </w:rPr>
                      <m:t>l</m:t>
                    </m:r>
                  </m:sub>
                </m:sSub>
              </m:oMath>
            </m:oMathPara>
          </w:p>
        </w:tc>
        <w:tc>
          <w:tcPr>
            <w:tcW w:w="4140" w:type="dxa"/>
            <w:vAlign w:val="center"/>
          </w:tcPr>
          <w:p w14:paraId="6A13B781" w14:textId="77777777" w:rsidR="007C2F53" w:rsidRDefault="007C2F53" w:rsidP="002B3C97">
            <w:pPr>
              <w:spacing w:line="160" w:lineRule="exact"/>
              <w:jc w:val="left"/>
              <w:rPr>
                <w:rFonts w:ascii="Times New Roman" w:eastAsia="Times New Roman" w:hAnsi="Times New Roman"/>
                <w:sz w:val="12"/>
                <w:szCs w:val="12"/>
              </w:rPr>
            </w:pPr>
            <w:r w:rsidRPr="00426292">
              <w:rPr>
                <w:rFonts w:ascii="Times New Roman" w:eastAsia="Times New Roman" w:hAnsi="Times New Roman"/>
                <w:sz w:val="12"/>
                <w:szCs w:val="12"/>
              </w:rPr>
              <w:t>Classical HPC bandwidth metric used to characterize communication capacity under worst-case workload partitioning.</w:t>
            </w:r>
            <w:r>
              <w:rPr>
                <w:rFonts w:ascii="Times New Roman" w:eastAsia="Times New Roman" w:hAnsi="Times New Roman"/>
                <w:sz w:val="12"/>
                <w:szCs w:val="12"/>
              </w:rPr>
              <w:t xml:space="preserve"> </w:t>
            </w:r>
            <w:r w:rsidRPr="00426292">
              <w:rPr>
                <w:rFonts w:ascii="Times New Roman" w:eastAsia="Times New Roman" w:hAnsi="Times New Roman"/>
                <w:sz w:val="12"/>
                <w:szCs w:val="12"/>
              </w:rPr>
              <w:t>High BB is essential for large-model all-reduce and for maintaining low synchronization overhead in transformer training.</w:t>
            </w:r>
          </w:p>
        </w:tc>
      </w:tr>
      <w:tr w:rsidR="007C2F53" w14:paraId="14F44DF5" w14:textId="77777777" w:rsidTr="002B3C97">
        <w:trPr>
          <w:cantSplit/>
        </w:trPr>
        <w:tc>
          <w:tcPr>
            <w:tcW w:w="1435" w:type="dxa"/>
            <w:vMerge/>
            <w:vAlign w:val="center"/>
          </w:tcPr>
          <w:p w14:paraId="228093AB"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39ADDA24"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Interconnect Bisection Bandwidth (IBB)</w:t>
            </w:r>
          </w:p>
        </w:tc>
        <w:tc>
          <w:tcPr>
            <w:tcW w:w="2880" w:type="dxa"/>
            <w:vAlign w:val="center"/>
          </w:tcPr>
          <w:p w14:paraId="5D967ACE" w14:textId="6237F2EC" w:rsidR="007C2F53" w:rsidRPr="002B3C97" w:rsidRDefault="007C2F53" w:rsidP="002B3C97">
            <w:pPr>
              <w:spacing w:line="240" w:lineRule="atLeast"/>
              <w:jc w:val="center"/>
              <w:rPr>
                <w:rFonts w:ascii="Cambria Math" w:eastAsia="Cambria Math" w:hAnsi="Cambria Math" w:cs="Cambria Math"/>
                <w:iCs/>
                <w:sz w:val="10"/>
                <w:szCs w:val="10"/>
              </w:rPr>
            </w:pPr>
            <m:oMathPara>
              <m:oMath>
                <m:r>
                  <m:rPr>
                    <m:nor/>
                  </m:rPr>
                  <w:rPr>
                    <w:rFonts w:ascii="Cambria Math" w:eastAsia="Cambria Math" w:hAnsi="Cambria Math" w:cs="Cambria Math"/>
                    <w:iCs/>
                    <w:sz w:val="10"/>
                    <w:szCs w:val="10"/>
                  </w:rPr>
                  <m:t>IBB</m:t>
                </m:r>
                <m:r>
                  <m:rPr>
                    <m:sty m:val="p"/>
                  </m:rPr>
                  <w:rPr>
                    <w:rFonts w:ascii="Cambria Math" w:eastAsia="Cambria Math" w:hAnsi="Cambria Math" w:cs="Cambria Math"/>
                    <w:sz w:val="10"/>
                    <w:szCs w:val="10"/>
                  </w:rPr>
                  <m:t>=</m:t>
                </m:r>
                <m:limLow>
                  <m:limLowPr>
                    <m:ctrlPr>
                      <w:rPr>
                        <w:rFonts w:ascii="Cambria Math" w:eastAsia="Cambria Math" w:hAnsi="Cambria Math" w:cs="Cambria Math"/>
                        <w:iCs/>
                        <w:sz w:val="10"/>
                        <w:szCs w:val="10"/>
                      </w:rPr>
                    </m:ctrlPr>
                  </m:limLowPr>
                  <m:e>
                    <m:r>
                      <m:rPr>
                        <m:sty m:val="p"/>
                      </m:rPr>
                      <w:rPr>
                        <w:rFonts w:ascii="Cambria Math" w:eastAsia="Cambria Math" w:hAnsi="Cambria Math" w:cs="Cambria Math"/>
                        <w:sz w:val="10"/>
                        <w:szCs w:val="10"/>
                      </w:rPr>
                      <m:t>min⁡</m:t>
                    </m:r>
                  </m:e>
                  <m:lim>
                    <m:r>
                      <m:rPr>
                        <m:nor/>
                      </m:rPr>
                      <w:rPr>
                        <w:rFonts w:ascii="Cambria Math" w:eastAsia="Cambria Math" w:hAnsi="Cambria Math" w:cs="Cambria Math"/>
                        <w:iCs/>
                        <w:sz w:val="10"/>
                        <w:szCs w:val="10"/>
                      </w:rPr>
                      <m:t>cut</m:t>
                    </m:r>
                  </m:lim>
                </m:limLow>
                <m:nary>
                  <m:naryPr>
                    <m:chr m:val="∑"/>
                    <m:limLoc m:val="undOvr"/>
                    <m:grow m:val="1"/>
                    <m:supHide m:val="1"/>
                    <m:ctrlPr>
                      <w:rPr>
                        <w:rFonts w:ascii="Cambria Math" w:eastAsia="Cambria Math" w:hAnsi="Cambria Math" w:cs="Cambria Math"/>
                        <w:iCs/>
                        <w:sz w:val="10"/>
                        <w:szCs w:val="10"/>
                      </w:rPr>
                    </m:ctrlPr>
                  </m:naryPr>
                  <m:sub>
                    <m:r>
                      <m:rPr>
                        <m:nor/>
                      </m:rPr>
                      <w:rPr>
                        <w:rFonts w:ascii="Cambria Math" w:eastAsia="Cambria Math" w:hAnsi="Cambria Math" w:cs="Cambria Math"/>
                        <w:iCs/>
                        <w:sz w:val="10"/>
                        <w:szCs w:val="10"/>
                      </w:rPr>
                      <m:t>links crossing cut</m:t>
                    </m:r>
                  </m:sub>
                  <m:sup/>
                  <m:e>
                    <m:r>
                      <m:rPr>
                        <m:nor/>
                      </m:rPr>
                      <w:rPr>
                        <w:rFonts w:ascii="Cambria Math" w:eastAsia="Cambria Math" w:hAnsi="Cambria Math" w:cs="Cambria Math"/>
                        <w:iCs/>
                        <w:sz w:val="10"/>
                        <w:szCs w:val="10"/>
                      </w:rPr>
                      <m:t>bandwidth</m:t>
                    </m:r>
                  </m:e>
                </m:nary>
              </m:oMath>
            </m:oMathPara>
          </w:p>
        </w:tc>
        <w:tc>
          <w:tcPr>
            <w:tcW w:w="4140" w:type="dxa"/>
            <w:vAlign w:val="center"/>
          </w:tcPr>
          <w:p w14:paraId="70F227F8"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M</w:t>
            </w:r>
            <w:r w:rsidRPr="00426292">
              <w:rPr>
                <w:rFonts w:ascii="Times New Roman" w:eastAsia="Times New Roman" w:hAnsi="Times New Roman"/>
                <w:sz w:val="12"/>
                <w:szCs w:val="12"/>
              </w:rPr>
              <w:t>easures the minimum bandwidth available across any cluster-wide network bisection and is the dominant determinant of distributed training scalability.</w:t>
            </w:r>
            <w:r>
              <w:rPr>
                <w:rFonts w:ascii="Times New Roman" w:eastAsia="Times New Roman" w:hAnsi="Times New Roman"/>
                <w:sz w:val="12"/>
                <w:szCs w:val="12"/>
              </w:rPr>
              <w:t xml:space="preserve"> Essential for </w:t>
            </w:r>
            <w:proofErr w:type="spellStart"/>
            <w:r>
              <w:rPr>
                <w:rFonts w:ascii="Times New Roman" w:eastAsia="Times New Roman" w:hAnsi="Times New Roman"/>
                <w:sz w:val="12"/>
                <w:szCs w:val="12"/>
              </w:rPr>
              <w:t>superpods</w:t>
            </w:r>
            <w:proofErr w:type="spellEnd"/>
            <w:r>
              <w:rPr>
                <w:rFonts w:ascii="Times New Roman" w:eastAsia="Times New Roman" w:hAnsi="Times New Roman"/>
                <w:sz w:val="12"/>
                <w:szCs w:val="12"/>
              </w:rPr>
              <w:t xml:space="preserve"> design. </w:t>
            </w:r>
          </w:p>
        </w:tc>
      </w:tr>
      <w:tr w:rsidR="007C2F53" w14:paraId="4755F6E7" w14:textId="77777777" w:rsidTr="002B3C97">
        <w:trPr>
          <w:cantSplit/>
        </w:trPr>
        <w:tc>
          <w:tcPr>
            <w:tcW w:w="1435" w:type="dxa"/>
            <w:vMerge/>
            <w:vAlign w:val="center"/>
          </w:tcPr>
          <w:p w14:paraId="7B5F6307"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566F822"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Bandwidth per Watt</w:t>
            </w:r>
          </w:p>
        </w:tc>
        <w:tc>
          <w:tcPr>
            <w:tcW w:w="2880" w:type="dxa"/>
            <w:vAlign w:val="center"/>
          </w:tcPr>
          <w:p w14:paraId="2A49FC1B" w14:textId="4FD1F5F0"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 xml:space="preserve">BPW= </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B</m:t>
                    </m:r>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network</m:t>
                        </m:r>
                      </m:sub>
                    </m:sSub>
                  </m:den>
                </m:f>
              </m:oMath>
            </m:oMathPara>
          </w:p>
        </w:tc>
        <w:tc>
          <w:tcPr>
            <w:tcW w:w="4140" w:type="dxa"/>
            <w:vAlign w:val="center"/>
          </w:tcPr>
          <w:p w14:paraId="735963C8"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Data-movement throughput per watt of networking power. Higher values indicate more energy-efficient interconnect hardware.</w:t>
            </w:r>
          </w:p>
        </w:tc>
      </w:tr>
      <w:tr w:rsidR="007C2F53" w14:paraId="03C5FC41" w14:textId="77777777" w:rsidTr="002B3C97">
        <w:trPr>
          <w:cantSplit/>
        </w:trPr>
        <w:tc>
          <w:tcPr>
            <w:tcW w:w="1435" w:type="dxa"/>
            <w:vMerge/>
            <w:vAlign w:val="center"/>
          </w:tcPr>
          <w:p w14:paraId="47EDD083"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09650E34" w14:textId="77777777" w:rsidR="007C2F53" w:rsidRPr="005E13C1" w:rsidRDefault="007C2F53" w:rsidP="002B3C97">
            <w:pPr>
              <w:spacing w:line="160" w:lineRule="exact"/>
              <w:jc w:val="center"/>
              <w:rPr>
                <w:rFonts w:ascii="Times New Roman" w:eastAsiaTheme="minorEastAsia" w:hAnsi="Times New Roman"/>
                <w:sz w:val="12"/>
                <w:szCs w:val="12"/>
              </w:rPr>
            </w:pPr>
            <w:r w:rsidRPr="005E13C1">
              <w:rPr>
                <w:rFonts w:ascii="Times New Roman" w:eastAsia="Times New Roman" w:hAnsi="Times New Roman"/>
                <w:sz w:val="12"/>
                <w:szCs w:val="12"/>
              </w:rPr>
              <w:t>All-Reduce Latency</w:t>
            </w:r>
            <w:r>
              <w:rPr>
                <w:rFonts w:ascii="Times New Roman" w:eastAsiaTheme="minorEastAsia" w:hAnsi="Times New Roman" w:hint="eastAsia"/>
                <w:sz w:val="12"/>
                <w:szCs w:val="12"/>
              </w:rPr>
              <w:t xml:space="preserve"> </w:t>
            </w:r>
            <w:r>
              <w:rPr>
                <w:rFonts w:ascii="Times New Roman" w:eastAsiaTheme="minorEastAsia" w:hAnsi="Times New Roman"/>
                <w:sz w:val="12"/>
                <w:szCs w:val="12"/>
              </w:rPr>
              <w:t>(ARL)</w:t>
            </w:r>
          </w:p>
        </w:tc>
        <w:tc>
          <w:tcPr>
            <w:tcW w:w="2880" w:type="dxa"/>
            <w:vAlign w:val="center"/>
          </w:tcPr>
          <w:p w14:paraId="04DEA7DA" w14:textId="47E37645"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collective</m:t>
                    </m:r>
                  </m:sub>
                </m:sSub>
                <m:r>
                  <m:rPr>
                    <m:sty m:val="p"/>
                  </m:rPr>
                  <w:rPr>
                    <w:rFonts w:ascii="Cambria Math" w:eastAsia="Cambria Math" w:hAnsi="Cambria Math" w:cs="Cambria Math"/>
                    <w:sz w:val="10"/>
                    <w:szCs w:val="10"/>
                  </w:rPr>
                  <m:t>==f(topology, message size, congestion)</m:t>
                </m:r>
              </m:oMath>
            </m:oMathPara>
          </w:p>
        </w:tc>
        <w:tc>
          <w:tcPr>
            <w:tcW w:w="4140" w:type="dxa"/>
            <w:vAlign w:val="center"/>
          </w:tcPr>
          <w:p w14:paraId="6CDA0A31"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Latency of collective communication (</w:t>
            </w:r>
            <w:proofErr w:type="spellStart"/>
            <w:r>
              <w:rPr>
                <w:rFonts w:ascii="Times New Roman" w:eastAsia="Times New Roman" w:hAnsi="Times New Roman"/>
                <w:sz w:val="12"/>
                <w:szCs w:val="12"/>
              </w:rPr>
              <w:t>AllReduce</w:t>
            </w:r>
            <w:proofErr w:type="spellEnd"/>
            <w:r>
              <w:rPr>
                <w:rFonts w:ascii="Times New Roman" w:eastAsia="Times New Roman" w:hAnsi="Times New Roman"/>
                <w:sz w:val="12"/>
                <w:szCs w:val="12"/>
              </w:rPr>
              <w:t>, Broadcast, etc.), central to distributed deep learning performance.</w:t>
            </w:r>
          </w:p>
        </w:tc>
      </w:tr>
      <w:tr w:rsidR="007C2F53" w14:paraId="6F8AB25D" w14:textId="77777777" w:rsidTr="002B3C97">
        <w:trPr>
          <w:cantSplit/>
        </w:trPr>
        <w:tc>
          <w:tcPr>
            <w:tcW w:w="1435" w:type="dxa"/>
            <w:vMerge/>
            <w:vAlign w:val="center"/>
          </w:tcPr>
          <w:p w14:paraId="5D6B063B"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DDADD3F"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Congestion Penalty (CP)</w:t>
            </w:r>
          </w:p>
        </w:tc>
        <w:tc>
          <w:tcPr>
            <w:tcW w:w="2880" w:type="dxa"/>
            <w:vAlign w:val="center"/>
          </w:tcPr>
          <w:p w14:paraId="0066B599" w14:textId="173CB74F"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CP=</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p99</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p50</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p50</m:t>
                        </m:r>
                      </m:sub>
                    </m:sSub>
                  </m:den>
                </m:f>
              </m:oMath>
            </m:oMathPara>
          </w:p>
        </w:tc>
        <w:tc>
          <w:tcPr>
            <w:tcW w:w="4140" w:type="dxa"/>
            <w:vAlign w:val="center"/>
          </w:tcPr>
          <w:p w14:paraId="7F515DDC"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Quantifies tail-latency degradation due to network </w:t>
            </w:r>
            <w:proofErr w:type="gramStart"/>
            <w:r>
              <w:rPr>
                <w:rFonts w:ascii="Times New Roman" w:eastAsia="Times New Roman" w:hAnsi="Times New Roman"/>
                <w:sz w:val="12"/>
                <w:szCs w:val="12"/>
              </w:rPr>
              <w:t>congestion;</w:t>
            </w:r>
            <w:proofErr w:type="gramEnd"/>
            <w:r>
              <w:rPr>
                <w:rFonts w:ascii="Times New Roman" w:eastAsia="Times New Roman" w:hAnsi="Times New Roman"/>
                <w:sz w:val="12"/>
                <w:szCs w:val="12"/>
              </w:rPr>
              <w:t xml:space="preserve"> reflects imbalance and queueing delays under heavy load.</w:t>
            </w:r>
          </w:p>
        </w:tc>
      </w:tr>
      <w:tr w:rsidR="007C2F53" w14:paraId="2FA09A1D" w14:textId="77777777" w:rsidTr="002B3C97">
        <w:trPr>
          <w:cantSplit/>
        </w:trPr>
        <w:tc>
          <w:tcPr>
            <w:tcW w:w="1435" w:type="dxa"/>
            <w:vMerge/>
            <w:vAlign w:val="center"/>
          </w:tcPr>
          <w:p w14:paraId="36E98229"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73339C9"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Topology-Induced Throughput Loss</w:t>
            </w:r>
          </w:p>
        </w:tc>
        <w:tc>
          <w:tcPr>
            <w:tcW w:w="2880" w:type="dxa"/>
            <w:vAlign w:val="center"/>
          </w:tcPr>
          <w:p w14:paraId="433C9429" w14:textId="0B40BA23"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TTL=1-</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observed</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full-bisection</m:t>
                        </m:r>
                      </m:sub>
                    </m:sSub>
                  </m:den>
                </m:f>
              </m:oMath>
            </m:oMathPara>
          </w:p>
        </w:tc>
        <w:tc>
          <w:tcPr>
            <w:tcW w:w="4140" w:type="dxa"/>
            <w:vAlign w:val="center"/>
          </w:tcPr>
          <w:p w14:paraId="060CAEF5"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Fraction of throughput </w:t>
            </w:r>
            <w:proofErr w:type="gramStart"/>
            <w:r>
              <w:rPr>
                <w:rFonts w:ascii="Times New Roman" w:eastAsia="Times New Roman" w:hAnsi="Times New Roman"/>
                <w:sz w:val="12"/>
                <w:szCs w:val="12"/>
              </w:rPr>
              <w:t>lost</w:t>
            </w:r>
            <w:proofErr w:type="gramEnd"/>
            <w:r>
              <w:rPr>
                <w:rFonts w:ascii="Times New Roman" w:eastAsia="Times New Roman" w:hAnsi="Times New Roman"/>
                <w:sz w:val="12"/>
                <w:szCs w:val="12"/>
              </w:rPr>
              <w:t xml:space="preserve"> because real-world topology deviates from ideal full-bisection bandwidth (e.g., oversubscription).</w:t>
            </w:r>
          </w:p>
        </w:tc>
      </w:tr>
      <w:tr w:rsidR="007C2F53" w14:paraId="2F90A3D4" w14:textId="77777777" w:rsidTr="002B3C97">
        <w:trPr>
          <w:cantSplit/>
        </w:trPr>
        <w:tc>
          <w:tcPr>
            <w:tcW w:w="1435" w:type="dxa"/>
            <w:vMerge/>
            <w:vAlign w:val="center"/>
          </w:tcPr>
          <w:p w14:paraId="3F450B59"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56D133BE"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Effective Bandwidth Utilization</w:t>
            </w:r>
          </w:p>
        </w:tc>
        <w:tc>
          <w:tcPr>
            <w:tcW w:w="2880" w:type="dxa"/>
            <w:vAlign w:val="center"/>
          </w:tcPr>
          <w:p w14:paraId="32BAD4C5" w14:textId="28B8DD11"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EBU=</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B</m:t>
                        </m:r>
                      </m:e>
                      <m:sub>
                        <m:r>
                          <m:rPr>
                            <m:sty m:val="p"/>
                          </m:rPr>
                          <w:rPr>
                            <w:rFonts w:ascii="Cambria Math" w:eastAsia="Cambria Math" w:hAnsi="Cambria Math" w:cs="Cambria Math"/>
                            <w:sz w:val="10"/>
                            <w:szCs w:val="10"/>
                          </w:rPr>
                          <m:t>useful</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B</m:t>
                        </m:r>
                      </m:e>
                      <m:sub>
                        <m:r>
                          <m:rPr>
                            <m:sty m:val="p"/>
                          </m:rPr>
                          <w:rPr>
                            <w:rFonts w:ascii="Cambria Math" w:eastAsia="Cambria Math" w:hAnsi="Cambria Math" w:cs="Cambria Math"/>
                            <w:sz w:val="10"/>
                            <w:szCs w:val="10"/>
                          </w:rPr>
                          <m:t>peak</m:t>
                        </m:r>
                      </m:sub>
                    </m:sSub>
                  </m:den>
                </m:f>
              </m:oMath>
            </m:oMathPara>
          </w:p>
        </w:tc>
        <w:tc>
          <w:tcPr>
            <w:tcW w:w="4140" w:type="dxa"/>
            <w:vAlign w:val="center"/>
          </w:tcPr>
          <w:p w14:paraId="44814DC0"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Efficiency of available network bandwidth </w:t>
            </w:r>
            <w:proofErr w:type="gramStart"/>
            <w:r>
              <w:rPr>
                <w:rFonts w:ascii="Times New Roman" w:eastAsia="Times New Roman" w:hAnsi="Times New Roman"/>
                <w:sz w:val="12"/>
                <w:szCs w:val="12"/>
              </w:rPr>
              <w:t>actually used</w:t>
            </w:r>
            <w:proofErr w:type="gramEnd"/>
            <w:r>
              <w:rPr>
                <w:rFonts w:ascii="Times New Roman" w:eastAsia="Times New Roman" w:hAnsi="Times New Roman"/>
                <w:sz w:val="12"/>
                <w:szCs w:val="12"/>
              </w:rPr>
              <w:t xml:space="preserve"> for productive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-related communication.</w:t>
            </w:r>
          </w:p>
        </w:tc>
      </w:tr>
      <w:tr w:rsidR="007C2F53" w14:paraId="0FD550C5" w14:textId="77777777" w:rsidTr="002B3C97">
        <w:trPr>
          <w:cantSplit/>
        </w:trPr>
        <w:tc>
          <w:tcPr>
            <w:tcW w:w="1435" w:type="dxa"/>
            <w:vMerge w:val="restart"/>
            <w:vAlign w:val="center"/>
          </w:tcPr>
          <w:p w14:paraId="5AE9D721"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Networking &amp; Interconnect Layer - Domain 3: Lifecycle Economics &amp; Reliability Risk</w:t>
            </w:r>
          </w:p>
        </w:tc>
        <w:tc>
          <w:tcPr>
            <w:tcW w:w="2070" w:type="dxa"/>
            <w:vAlign w:val="center"/>
          </w:tcPr>
          <w:p w14:paraId="57EEE208"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 xml:space="preserve">Interconnect </w:t>
            </w:r>
            <w:proofErr w:type="spellStart"/>
            <w:r w:rsidRPr="005E13C1">
              <w:rPr>
                <w:rFonts w:ascii="Times New Roman" w:eastAsia="Times New Roman" w:hAnsi="Times New Roman"/>
                <w:sz w:val="12"/>
                <w:szCs w:val="12"/>
              </w:rPr>
              <w:t>CapEx</w:t>
            </w:r>
            <w:proofErr w:type="spellEnd"/>
            <w:r w:rsidRPr="005E13C1">
              <w:rPr>
                <w:rFonts w:ascii="Times New Roman" w:eastAsia="Times New Roman" w:hAnsi="Times New Roman"/>
                <w:sz w:val="12"/>
                <w:szCs w:val="12"/>
              </w:rPr>
              <w:t xml:space="preserve"> Contribution</w:t>
            </w:r>
          </w:p>
        </w:tc>
        <w:tc>
          <w:tcPr>
            <w:tcW w:w="2880" w:type="dxa"/>
            <w:vAlign w:val="center"/>
          </w:tcPr>
          <w:p w14:paraId="02622CF8" w14:textId="1B883E75"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net,capex</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switches</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optics</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NICs</m:t>
                    </m:r>
                  </m:sub>
                </m:sSub>
              </m:oMath>
            </m:oMathPara>
          </w:p>
        </w:tc>
        <w:tc>
          <w:tcPr>
            <w:tcW w:w="4140" w:type="dxa"/>
            <w:vAlign w:val="center"/>
          </w:tcPr>
          <w:p w14:paraId="0B63D454"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Capital cost associated with networking hardware as part of a cluster or data center build-out.</w:t>
            </w:r>
          </w:p>
        </w:tc>
      </w:tr>
      <w:tr w:rsidR="007C2F53" w14:paraId="05008204" w14:textId="77777777" w:rsidTr="002B3C97">
        <w:trPr>
          <w:cantSplit/>
        </w:trPr>
        <w:tc>
          <w:tcPr>
            <w:tcW w:w="1435" w:type="dxa"/>
            <w:vMerge/>
            <w:vAlign w:val="center"/>
          </w:tcPr>
          <w:p w14:paraId="05884D28"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5904B994"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Network Scaling Cost</w:t>
            </w:r>
          </w:p>
        </w:tc>
        <w:tc>
          <w:tcPr>
            <w:tcW w:w="2880" w:type="dxa"/>
            <w:vAlign w:val="center"/>
          </w:tcPr>
          <w:p w14:paraId="2550543F" w14:textId="2A88F02C"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scale</m:t>
                    </m:r>
                  </m:sub>
                </m:sSub>
                <m:r>
                  <m:rPr>
                    <m:sty m:val="p"/>
                  </m:rPr>
                  <w:rPr>
                    <w:rFonts w:ascii="Cambria Math" w:eastAsia="Cambria Math" w:hAnsi="Cambria Math" w:cs="Cambria Math"/>
                    <w:sz w:val="10"/>
                    <w:szCs w:val="10"/>
                  </w:rPr>
                  <m:t>==f(N, fabric type, oversubscription ratio)</m:t>
                </m:r>
              </m:oMath>
            </m:oMathPara>
          </w:p>
        </w:tc>
        <w:tc>
          <w:tcPr>
            <w:tcW w:w="4140" w:type="dxa"/>
            <w:vAlign w:val="center"/>
          </w:tcPr>
          <w:p w14:paraId="15BCBF38" w14:textId="6321488A"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Total cost of scaling the network as cluster size </w:t>
            </w:r>
            <m:oMath>
              <m:r>
                <w:rPr>
                  <w:rFonts w:ascii="Cambria Math" w:eastAsia="Cambria Math" w:hAnsi="Cambria Math" w:cs="Cambria Math"/>
                  <w:sz w:val="12"/>
                  <w:szCs w:val="12"/>
                </w:rPr>
                <m:t>N</m:t>
              </m:r>
            </m:oMath>
            <w:r>
              <w:rPr>
                <w:rFonts w:ascii="Times New Roman" w:eastAsia="Times New Roman" w:hAnsi="Times New Roman"/>
                <w:sz w:val="12"/>
                <w:szCs w:val="12"/>
              </w:rPr>
              <w:t>grows; reflects topology, bisection needs, and redundancy requirements.</w:t>
            </w:r>
          </w:p>
        </w:tc>
      </w:tr>
      <w:tr w:rsidR="007C2F53" w14:paraId="3A5B6254" w14:textId="77777777" w:rsidTr="002B3C97">
        <w:trPr>
          <w:cantSplit/>
        </w:trPr>
        <w:tc>
          <w:tcPr>
            <w:tcW w:w="1435" w:type="dxa"/>
            <w:vMerge/>
            <w:vAlign w:val="center"/>
          </w:tcPr>
          <w:p w14:paraId="7F888F8B"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4F7BB43"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Topology-Driven Efficiency Loss</w:t>
            </w:r>
          </w:p>
        </w:tc>
        <w:tc>
          <w:tcPr>
            <w:tcW w:w="2880" w:type="dxa"/>
            <w:vAlign w:val="center"/>
          </w:tcPr>
          <w:p w14:paraId="1ED7C53F" w14:textId="2E165A27"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TDL=</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ideal</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topology</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ideal</m:t>
                        </m:r>
                      </m:sub>
                    </m:sSub>
                  </m:den>
                </m:f>
              </m:oMath>
            </m:oMathPara>
          </w:p>
        </w:tc>
        <w:tc>
          <w:tcPr>
            <w:tcW w:w="4140" w:type="dxa"/>
            <w:vAlign w:val="center"/>
          </w:tcPr>
          <w:p w14:paraId="56B6B570"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Portion of throughput lost due to non-ideal network topology design (e.g., fat-tree oversubscription).</w:t>
            </w:r>
          </w:p>
        </w:tc>
      </w:tr>
      <w:tr w:rsidR="007C2F53" w14:paraId="676C0E7B" w14:textId="77777777" w:rsidTr="002B3C97">
        <w:trPr>
          <w:cantSplit/>
        </w:trPr>
        <w:tc>
          <w:tcPr>
            <w:tcW w:w="1435" w:type="dxa"/>
            <w:vMerge/>
            <w:vAlign w:val="center"/>
          </w:tcPr>
          <w:p w14:paraId="5ED805C8"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2062BE9F"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Network Failure Rate</w:t>
            </w:r>
          </w:p>
        </w:tc>
        <w:tc>
          <w:tcPr>
            <w:tcW w:w="2880" w:type="dxa"/>
            <w:vAlign w:val="center"/>
          </w:tcPr>
          <w:p w14:paraId="0737A1FF" w14:textId="307714C3"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λ</m:t>
                    </m:r>
                  </m:e>
                  <m:sub>
                    <m:r>
                      <m:rPr>
                        <m:sty m:val="p"/>
                      </m:rPr>
                      <w:rPr>
                        <w:rFonts w:ascii="Cambria Math" w:eastAsia="Cambria Math" w:hAnsi="Cambria Math" w:cs="Cambria Math"/>
                        <w:sz w:val="10"/>
                        <w:szCs w:val="10"/>
                      </w:rPr>
                      <m:t>net</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Number of failures</m:t>
                    </m:r>
                  </m:num>
                  <m:den>
                    <m:r>
                      <m:rPr>
                        <m:sty m:val="p"/>
                      </m:rPr>
                      <w:rPr>
                        <w:rFonts w:ascii="Cambria Math" w:eastAsia="Cambria Math" w:hAnsi="Cambria Math" w:cs="Cambria Math"/>
                        <w:sz w:val="10"/>
                        <w:szCs w:val="10"/>
                      </w:rPr>
                      <m:t>Time</m:t>
                    </m:r>
                  </m:den>
                </m:f>
              </m:oMath>
            </m:oMathPara>
          </w:p>
        </w:tc>
        <w:tc>
          <w:tcPr>
            <w:tcW w:w="4140" w:type="dxa"/>
            <w:vAlign w:val="center"/>
          </w:tcPr>
          <w:p w14:paraId="7C4E6B01"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Frequency of network-component failures (optics, NICs, switches); affects reliability planning and redundancy needs.</w:t>
            </w:r>
          </w:p>
        </w:tc>
      </w:tr>
      <w:tr w:rsidR="007C2F53" w14:paraId="3ECC60D9" w14:textId="77777777" w:rsidTr="002B3C97">
        <w:trPr>
          <w:cantSplit/>
        </w:trPr>
        <w:tc>
          <w:tcPr>
            <w:tcW w:w="1435" w:type="dxa"/>
            <w:vMerge/>
            <w:vAlign w:val="center"/>
          </w:tcPr>
          <w:p w14:paraId="37746E1C"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08B0F175"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Network Reliability Cost</w:t>
            </w:r>
          </w:p>
        </w:tc>
        <w:tc>
          <w:tcPr>
            <w:tcW w:w="2880" w:type="dxa"/>
            <w:vAlign w:val="center"/>
          </w:tcPr>
          <w:p w14:paraId="072BBB59" w14:textId="07CD8A27"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reliability</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λ</m:t>
                    </m:r>
                  </m:e>
                  <m:sub>
                    <m:r>
                      <m:rPr>
                        <m:sty m:val="p"/>
                      </m:rPr>
                      <w:rPr>
                        <w:rFonts w:ascii="Cambria Math" w:eastAsia="Cambria Math" w:hAnsi="Cambria Math" w:cs="Cambria Math"/>
                        <w:sz w:val="10"/>
                        <w:szCs w:val="10"/>
                      </w:rPr>
                      <m:t>net</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event</m:t>
                    </m:r>
                  </m:sub>
                </m:sSub>
              </m:oMath>
            </m:oMathPara>
          </w:p>
        </w:tc>
        <w:tc>
          <w:tcPr>
            <w:tcW w:w="4140" w:type="dxa"/>
            <w:vAlign w:val="center"/>
          </w:tcPr>
          <w:p w14:paraId="33BEEE65"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Expected economic cost associated with network outages or degraded service.</w:t>
            </w:r>
          </w:p>
        </w:tc>
      </w:tr>
      <w:tr w:rsidR="007C2F53" w14:paraId="46E82EFE" w14:textId="77777777" w:rsidTr="002B3C97">
        <w:trPr>
          <w:cantSplit/>
        </w:trPr>
        <w:tc>
          <w:tcPr>
            <w:tcW w:w="1435" w:type="dxa"/>
            <w:vMerge w:val="restart"/>
            <w:vAlign w:val="center"/>
          </w:tcPr>
          <w:p w14:paraId="41AC3B99"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ML Execution Layer - Domain 1: Physical Performance &amp; Efficiency</w:t>
            </w:r>
          </w:p>
        </w:tc>
        <w:tc>
          <w:tcPr>
            <w:tcW w:w="2070" w:type="dxa"/>
            <w:vAlign w:val="center"/>
          </w:tcPr>
          <w:p w14:paraId="07774376"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Thermal-Induced Failure Rate</w:t>
            </w:r>
          </w:p>
        </w:tc>
        <w:tc>
          <w:tcPr>
            <w:tcW w:w="2880" w:type="dxa"/>
            <w:vAlign w:val="center"/>
          </w:tcPr>
          <w:p w14:paraId="0563C868" w14:textId="65115497"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λ</m:t>
                    </m:r>
                  </m:e>
                  <m:sub>
                    <m:r>
                      <m:rPr>
                        <m:sty m:val="p"/>
                      </m:rPr>
                      <w:rPr>
                        <w:rFonts w:ascii="Cambria Math" w:eastAsia="Cambria Math" w:hAnsi="Cambria Math" w:cs="Cambria Math"/>
                        <w:sz w:val="10"/>
                        <w:szCs w:val="10"/>
                      </w:rPr>
                      <m:t>thermal</m:t>
                    </m:r>
                  </m:sub>
                </m:sSub>
                <m:r>
                  <m:rPr>
                    <m:sty m:val="p"/>
                  </m:rPr>
                  <w:rPr>
                    <w:rFonts w:ascii="Cambria Math" w:eastAsia="Cambria Math" w:hAnsi="Cambria Math" w:cs="Cambria Math"/>
                    <w:sz w:val="10"/>
                    <w:szCs w:val="10"/>
                  </w:rPr>
                  <m:t>=f</m:t>
                </m:r>
                <m:d>
                  <m:dPr>
                    <m:ctrlPr>
                      <w:rPr>
                        <w:rFonts w:ascii="Cambria Math" w:eastAsia="Cambria Math" w:hAnsi="Cambria Math" w:cs="Cambria Math"/>
                        <w:iCs/>
                        <w:sz w:val="10"/>
                        <w:szCs w:val="10"/>
                      </w:rPr>
                    </m:ctrlPr>
                  </m:dPr>
                  <m:e>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chip</m:t>
                        </m:r>
                      </m:sub>
                    </m:sSub>
                    <m:r>
                      <m:rPr>
                        <m:sty m:val="p"/>
                      </m:rPr>
                      <w:rPr>
                        <w:rFonts w:ascii="Cambria Math" w:eastAsia="Cambria Math" w:hAnsi="Cambria Math" w:cs="Cambria Math"/>
                        <w:sz w:val="10"/>
                        <w:szCs w:val="10"/>
                      </w:rPr>
                      <m:t xml:space="preserve">, </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exposure</m:t>
                        </m:r>
                      </m:sub>
                    </m:sSub>
                  </m:e>
                </m:d>
              </m:oMath>
            </m:oMathPara>
          </w:p>
        </w:tc>
        <w:tc>
          <w:tcPr>
            <w:tcW w:w="4140" w:type="dxa"/>
            <w:vAlign w:val="center"/>
          </w:tcPr>
          <w:p w14:paraId="600BFCA5"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Failure rate caused by prolonged exposure to elevated chip temperatures. Often modeled using Arrhenius acceleration factors.</w:t>
            </w:r>
          </w:p>
        </w:tc>
      </w:tr>
      <w:tr w:rsidR="007C2F53" w14:paraId="44A22F0A" w14:textId="77777777" w:rsidTr="002B3C97">
        <w:trPr>
          <w:cantSplit/>
        </w:trPr>
        <w:tc>
          <w:tcPr>
            <w:tcW w:w="1435" w:type="dxa"/>
            <w:vMerge/>
            <w:vAlign w:val="center"/>
          </w:tcPr>
          <w:p w14:paraId="545F9313"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719A20B5"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Power-Quality-Induced Failure Rate</w:t>
            </w:r>
          </w:p>
        </w:tc>
        <w:tc>
          <w:tcPr>
            <w:tcW w:w="2880" w:type="dxa"/>
            <w:vAlign w:val="center"/>
          </w:tcPr>
          <w:p w14:paraId="40E5B3AB" w14:textId="372E291B"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λ</m:t>
                    </m:r>
                  </m:e>
                  <m:sub>
                    <m:r>
                      <m:rPr>
                        <m:sty m:val="p"/>
                      </m:rPr>
                      <w:rPr>
                        <w:rFonts w:ascii="Cambria Math" w:eastAsia="Cambria Math" w:hAnsi="Cambria Math" w:cs="Cambria Math"/>
                        <w:sz w:val="10"/>
                        <w:szCs w:val="10"/>
                      </w:rPr>
                      <m:t>PQ</m:t>
                    </m:r>
                  </m:sub>
                </m:sSub>
                <m:r>
                  <m:rPr>
                    <m:sty m:val="p"/>
                  </m:rPr>
                  <w:rPr>
                    <w:rFonts w:ascii="Cambria Math" w:eastAsia="Cambria Math" w:hAnsi="Cambria Math" w:cs="Cambria Math"/>
                    <w:sz w:val="10"/>
                    <w:szCs w:val="10"/>
                  </w:rPr>
                  <m:t>=f(voltage sag, harmonics, transients)</m:t>
                </m:r>
              </m:oMath>
            </m:oMathPara>
          </w:p>
        </w:tc>
        <w:tc>
          <w:tcPr>
            <w:tcW w:w="4140" w:type="dxa"/>
            <w:vAlign w:val="center"/>
          </w:tcPr>
          <w:p w14:paraId="472A80F6"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Failure frequency arising from unstable or degraded power quality, including brownouts and voltage spikes.</w:t>
            </w:r>
          </w:p>
        </w:tc>
      </w:tr>
      <w:tr w:rsidR="007C2F53" w14:paraId="2F8F806C" w14:textId="77777777" w:rsidTr="002B3C97">
        <w:trPr>
          <w:cantSplit/>
        </w:trPr>
        <w:tc>
          <w:tcPr>
            <w:tcW w:w="1435" w:type="dxa"/>
            <w:vMerge/>
            <w:vAlign w:val="center"/>
          </w:tcPr>
          <w:p w14:paraId="1CF36C06"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4183F068"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Compiler-Induced Energy Overhead</w:t>
            </w:r>
          </w:p>
        </w:tc>
        <w:tc>
          <w:tcPr>
            <w:tcW w:w="2880" w:type="dxa"/>
            <w:vAlign w:val="center"/>
          </w:tcPr>
          <w:p w14:paraId="7DAA9188" w14:textId="1C634B41"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CEO=</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compiled</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ideal</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ideal</m:t>
                        </m:r>
                      </m:sub>
                    </m:sSub>
                  </m:den>
                </m:f>
              </m:oMath>
            </m:oMathPara>
          </w:p>
        </w:tc>
        <w:tc>
          <w:tcPr>
            <w:tcW w:w="4140" w:type="dxa"/>
            <w:vAlign w:val="center"/>
          </w:tcPr>
          <w:p w14:paraId="139E00C0"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Additional energy consumption caused by suboptimal </w:t>
            </w:r>
            <w:proofErr w:type="gramStart"/>
            <w:r>
              <w:rPr>
                <w:rFonts w:ascii="Times New Roman" w:eastAsia="Times New Roman" w:hAnsi="Times New Roman"/>
                <w:sz w:val="12"/>
                <w:szCs w:val="12"/>
              </w:rPr>
              <w:t>compiler</w:t>
            </w:r>
            <w:proofErr w:type="gramEnd"/>
            <w:r>
              <w:rPr>
                <w:rFonts w:ascii="Times New Roman" w:eastAsia="Times New Roman" w:hAnsi="Times New Roman"/>
                <w:sz w:val="12"/>
                <w:szCs w:val="12"/>
              </w:rPr>
              <w:t xml:space="preserve"> or kernel scheduling decisions.</w:t>
            </w:r>
          </w:p>
        </w:tc>
      </w:tr>
      <w:tr w:rsidR="007C2F53" w14:paraId="07FADEB9" w14:textId="77777777" w:rsidTr="002B3C97">
        <w:trPr>
          <w:cantSplit/>
        </w:trPr>
        <w:tc>
          <w:tcPr>
            <w:tcW w:w="1435" w:type="dxa"/>
            <w:vMerge/>
            <w:vAlign w:val="center"/>
          </w:tcPr>
          <w:p w14:paraId="2F3E6B54"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08A842EC"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Idle Energy from Inefficient Scheduling</w:t>
            </w:r>
          </w:p>
        </w:tc>
        <w:tc>
          <w:tcPr>
            <w:tcW w:w="2880" w:type="dxa"/>
            <w:vAlign w:val="center"/>
          </w:tcPr>
          <w:p w14:paraId="3A1BFD33" w14:textId="79942861"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idle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idle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idle</m:t>
                    </m:r>
                  </m:sub>
                </m:sSub>
              </m:oMath>
            </m:oMathPara>
          </w:p>
        </w:tc>
        <w:tc>
          <w:tcPr>
            <w:tcW w:w="4140" w:type="dxa"/>
            <w:vAlign w:val="center"/>
          </w:tcPr>
          <w:p w14:paraId="5ECD6079"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Total idle energy burned due to scheduling stalls, synchronization delays, or uneven pipeline workloads.</w:t>
            </w:r>
          </w:p>
        </w:tc>
      </w:tr>
      <w:tr w:rsidR="007C2F53" w14:paraId="323F7237" w14:textId="77777777" w:rsidTr="002B3C97">
        <w:trPr>
          <w:cantSplit/>
        </w:trPr>
        <w:tc>
          <w:tcPr>
            <w:tcW w:w="1435" w:type="dxa"/>
            <w:vMerge w:val="restart"/>
            <w:vAlign w:val="center"/>
          </w:tcPr>
          <w:p w14:paraId="3E3F0DBD"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ML Execution Layer - Domain 2: Compute &amp; Workload Efficiency</w:t>
            </w:r>
          </w:p>
        </w:tc>
        <w:tc>
          <w:tcPr>
            <w:tcW w:w="2070" w:type="dxa"/>
            <w:vAlign w:val="center"/>
          </w:tcPr>
          <w:p w14:paraId="13FEDDC9" w14:textId="77777777" w:rsidR="007C2F53" w:rsidRPr="005E13C1" w:rsidRDefault="007C2F53" w:rsidP="002B3C97">
            <w:pPr>
              <w:spacing w:line="160" w:lineRule="exact"/>
              <w:jc w:val="center"/>
              <w:rPr>
                <w:rFonts w:ascii="Times New Roman" w:eastAsia="Times New Roman" w:hAnsi="Times New Roman"/>
                <w:sz w:val="12"/>
                <w:szCs w:val="12"/>
              </w:rPr>
            </w:pPr>
            <w:proofErr w:type="spellStart"/>
            <w:r w:rsidRPr="005E13C1">
              <w:rPr>
                <w:rFonts w:ascii="Times New Roman" w:eastAsia="Times New Roman" w:hAnsi="Times New Roman"/>
                <w:sz w:val="12"/>
                <w:szCs w:val="12"/>
              </w:rPr>
              <w:t>MLPerf</w:t>
            </w:r>
            <w:proofErr w:type="spellEnd"/>
            <w:r w:rsidRPr="005E13C1">
              <w:rPr>
                <w:rFonts w:ascii="Times New Roman" w:eastAsia="Times New Roman" w:hAnsi="Times New Roman"/>
                <w:sz w:val="12"/>
                <w:szCs w:val="12"/>
              </w:rPr>
              <w:t xml:space="preserve"> Time-to-Train (TTT)</w:t>
            </w:r>
          </w:p>
        </w:tc>
        <w:tc>
          <w:tcPr>
            <w:tcW w:w="2880" w:type="dxa"/>
            <w:vAlign w:val="center"/>
          </w:tcPr>
          <w:p w14:paraId="338F1E7E" w14:textId="24C073FC"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TTT=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converged</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start</m:t>
                    </m:r>
                  </m:sub>
                </m:sSub>
              </m:oMath>
            </m:oMathPara>
          </w:p>
        </w:tc>
        <w:tc>
          <w:tcPr>
            <w:tcW w:w="4140" w:type="dxa"/>
            <w:vAlign w:val="center"/>
          </w:tcPr>
          <w:p w14:paraId="1491A3A3"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Time required for a model to reach a defined target accuracy. Primary metric for </w:t>
            </w:r>
            <w:proofErr w:type="spellStart"/>
            <w:r>
              <w:rPr>
                <w:rFonts w:ascii="Times New Roman" w:eastAsia="Times New Roman" w:hAnsi="Times New Roman"/>
                <w:sz w:val="12"/>
                <w:szCs w:val="12"/>
              </w:rPr>
              <w:t>MLPerf</w:t>
            </w:r>
            <w:proofErr w:type="spellEnd"/>
            <w:r>
              <w:rPr>
                <w:rFonts w:ascii="Times New Roman" w:eastAsia="Times New Roman" w:hAnsi="Times New Roman"/>
                <w:sz w:val="12"/>
                <w:szCs w:val="12"/>
              </w:rPr>
              <w:t xml:space="preserve"> Training benchmark.</w:t>
            </w:r>
          </w:p>
        </w:tc>
      </w:tr>
      <w:tr w:rsidR="007C2F53" w14:paraId="0F226491" w14:textId="77777777" w:rsidTr="002B3C97">
        <w:trPr>
          <w:cantSplit/>
        </w:trPr>
        <w:tc>
          <w:tcPr>
            <w:tcW w:w="1435" w:type="dxa"/>
            <w:vMerge/>
            <w:vAlign w:val="center"/>
          </w:tcPr>
          <w:p w14:paraId="470D8531"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CBB8124" w14:textId="77777777" w:rsidR="007C2F53" w:rsidRPr="005E13C1" w:rsidRDefault="007C2F53" w:rsidP="002B3C97">
            <w:pPr>
              <w:spacing w:line="160" w:lineRule="exact"/>
              <w:jc w:val="center"/>
              <w:rPr>
                <w:rFonts w:ascii="Times New Roman" w:eastAsia="Times New Roman" w:hAnsi="Times New Roman"/>
                <w:sz w:val="12"/>
                <w:szCs w:val="12"/>
              </w:rPr>
            </w:pPr>
            <w:proofErr w:type="spellStart"/>
            <w:r w:rsidRPr="005E13C1">
              <w:rPr>
                <w:rFonts w:ascii="Times New Roman" w:eastAsia="Times New Roman" w:hAnsi="Times New Roman"/>
                <w:sz w:val="12"/>
                <w:szCs w:val="12"/>
              </w:rPr>
              <w:t>MLPerf</w:t>
            </w:r>
            <w:proofErr w:type="spellEnd"/>
            <w:r w:rsidRPr="005E13C1">
              <w:rPr>
                <w:rFonts w:ascii="Times New Roman" w:eastAsia="Times New Roman" w:hAnsi="Times New Roman"/>
                <w:sz w:val="12"/>
                <w:szCs w:val="12"/>
              </w:rPr>
              <w:t xml:space="preserve"> Throughput (QPS/TPS)</w:t>
            </w:r>
          </w:p>
        </w:tc>
        <w:tc>
          <w:tcPr>
            <w:tcW w:w="2880" w:type="dxa"/>
            <w:vAlign w:val="center"/>
          </w:tcPr>
          <w:p w14:paraId="705621D5" w14:textId="16A725C1"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TPS=</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Total Queries</m:t>
                    </m:r>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window</m:t>
                        </m:r>
                      </m:sub>
                    </m:sSub>
                  </m:den>
                </m:f>
              </m:oMath>
            </m:oMathPara>
          </w:p>
        </w:tc>
        <w:tc>
          <w:tcPr>
            <w:tcW w:w="4140" w:type="dxa"/>
            <w:vAlign w:val="center"/>
          </w:tcPr>
          <w:p w14:paraId="335CEDFA"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Inference throughput under </w:t>
            </w:r>
            <w:proofErr w:type="spellStart"/>
            <w:r>
              <w:rPr>
                <w:rFonts w:ascii="Times New Roman" w:eastAsia="Times New Roman" w:hAnsi="Times New Roman"/>
                <w:sz w:val="12"/>
                <w:szCs w:val="12"/>
              </w:rPr>
              <w:t>MLPerf</w:t>
            </w:r>
            <w:proofErr w:type="spellEnd"/>
            <w:r>
              <w:rPr>
                <w:rFonts w:ascii="Times New Roman" w:eastAsia="Times New Roman" w:hAnsi="Times New Roman"/>
                <w:sz w:val="12"/>
                <w:szCs w:val="12"/>
              </w:rPr>
              <w:t xml:space="preserve"> constraints; widely used industry benchmark.</w:t>
            </w:r>
          </w:p>
        </w:tc>
      </w:tr>
      <w:tr w:rsidR="007C2F53" w:rsidRPr="00A87F0E" w14:paraId="24841CD3" w14:textId="77777777" w:rsidTr="002B3C97">
        <w:trPr>
          <w:cantSplit/>
        </w:trPr>
        <w:tc>
          <w:tcPr>
            <w:tcW w:w="1435" w:type="dxa"/>
            <w:vMerge/>
            <w:vAlign w:val="center"/>
          </w:tcPr>
          <w:p w14:paraId="3578D2DD"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773E26FF" w14:textId="77777777" w:rsidR="007C2F53" w:rsidRPr="005E13C1" w:rsidRDefault="007C2F53" w:rsidP="002B3C97">
            <w:pPr>
              <w:spacing w:line="160" w:lineRule="exact"/>
              <w:jc w:val="center"/>
              <w:rPr>
                <w:rFonts w:ascii="Times New Roman" w:eastAsia="Times New Roman" w:hAnsi="Times New Roman"/>
                <w:sz w:val="12"/>
                <w:szCs w:val="12"/>
              </w:rPr>
            </w:pPr>
            <w:r w:rsidRPr="00A87F0E">
              <w:rPr>
                <w:rFonts w:ascii="Times New Roman" w:eastAsia="Times New Roman" w:hAnsi="Times New Roman"/>
                <w:sz w:val="12"/>
                <w:szCs w:val="12"/>
              </w:rPr>
              <w:t>Data Pipeline Stalling Rate (DPSR)</w:t>
            </w:r>
          </w:p>
        </w:tc>
        <w:tc>
          <w:tcPr>
            <w:tcW w:w="2880" w:type="dxa"/>
            <w:vAlign w:val="center"/>
          </w:tcPr>
          <w:p w14:paraId="266B061D" w14:textId="5A358D30"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DPSR=</m:t>
                </m:r>
                <m:f>
                  <m:fPr>
                    <m:ctrlPr>
                      <w:rPr>
                        <w:rFonts w:ascii="Cambria Math" w:eastAsia="Cambria Math" w:hAnsi="Cambria Math" w:cs="Cambria Math"/>
                        <w:iCs/>
                        <w:sz w:val="10"/>
                        <w:szCs w:val="10"/>
                      </w:rPr>
                    </m:ctrlPr>
                  </m:fPr>
                  <m:num>
                    <m:r>
                      <m:rPr>
                        <m:nor/>
                      </m:rPr>
                      <w:rPr>
                        <w:rFonts w:ascii="Cambria Math" w:eastAsia="Cambria Math" w:hAnsi="Cambria Math" w:cs="Cambria Math"/>
                        <w:iCs/>
                        <w:sz w:val="10"/>
                        <w:szCs w:val="10"/>
                      </w:rPr>
                      <m:t>Stalled Steps</m:t>
                    </m:r>
                  </m:num>
                  <m:den>
                    <m:r>
                      <m:rPr>
                        <m:nor/>
                      </m:rPr>
                      <w:rPr>
                        <w:rFonts w:ascii="Cambria Math" w:eastAsia="Cambria Math" w:hAnsi="Cambria Math" w:cs="Cambria Math"/>
                        <w:iCs/>
                        <w:sz w:val="10"/>
                        <w:szCs w:val="10"/>
                      </w:rPr>
                      <m:t>Total Steps</m:t>
                    </m:r>
                  </m:den>
                </m:f>
              </m:oMath>
            </m:oMathPara>
          </w:p>
        </w:tc>
        <w:tc>
          <w:tcPr>
            <w:tcW w:w="4140" w:type="dxa"/>
            <w:vAlign w:val="center"/>
          </w:tcPr>
          <w:p w14:paraId="72D65B93" w14:textId="77777777" w:rsidR="007C2F53" w:rsidRPr="00A87F0E" w:rsidRDefault="007C2F53" w:rsidP="002B3C97">
            <w:pPr>
              <w:spacing w:line="160" w:lineRule="exact"/>
              <w:jc w:val="left"/>
              <w:rPr>
                <w:rFonts w:ascii="Times New Roman" w:eastAsiaTheme="minorEastAsia" w:hAnsi="Times New Roman"/>
                <w:sz w:val="12"/>
                <w:szCs w:val="12"/>
              </w:rPr>
            </w:pPr>
            <w:r w:rsidRPr="00A87F0E">
              <w:rPr>
                <w:rFonts w:ascii="Times New Roman" w:eastAsia="Times New Roman" w:hAnsi="Times New Roman"/>
                <w:sz w:val="12"/>
                <w:szCs w:val="12"/>
              </w:rPr>
              <w:t>Fraction of training steps where GPUs stall waiting for input data (decode, augment, batch assemble, prefetch)</w:t>
            </w:r>
            <w:r>
              <w:rPr>
                <w:rFonts w:ascii="宋体" w:hAnsi="宋体" w:cs="宋体" w:hint="eastAsia"/>
                <w:sz w:val="12"/>
                <w:szCs w:val="12"/>
              </w:rPr>
              <w:t>.</w:t>
            </w:r>
          </w:p>
        </w:tc>
      </w:tr>
      <w:tr w:rsidR="007C2F53" w:rsidRPr="00BC5956" w14:paraId="478EEA41" w14:textId="77777777" w:rsidTr="002B3C97">
        <w:trPr>
          <w:cantSplit/>
        </w:trPr>
        <w:tc>
          <w:tcPr>
            <w:tcW w:w="1435" w:type="dxa"/>
            <w:vMerge/>
            <w:vAlign w:val="center"/>
          </w:tcPr>
          <w:p w14:paraId="7B529F65"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2BB9D03E" w14:textId="77777777" w:rsidR="007C2F53" w:rsidRPr="005E13C1" w:rsidRDefault="007C2F53" w:rsidP="002B3C97">
            <w:pPr>
              <w:spacing w:line="160" w:lineRule="exact"/>
              <w:jc w:val="center"/>
              <w:rPr>
                <w:rFonts w:ascii="Times New Roman" w:eastAsia="Times New Roman" w:hAnsi="Times New Roman"/>
                <w:sz w:val="12"/>
                <w:szCs w:val="12"/>
              </w:rPr>
            </w:pPr>
            <w:r>
              <w:rPr>
                <w:rFonts w:ascii="Times New Roman" w:eastAsiaTheme="minorEastAsia" w:hAnsi="Times New Roman" w:hint="eastAsia"/>
                <w:sz w:val="12"/>
                <w:szCs w:val="12"/>
              </w:rPr>
              <w:t>J</w:t>
            </w:r>
            <w:r w:rsidRPr="00BC5956">
              <w:rPr>
                <w:rFonts w:ascii="Times New Roman" w:eastAsia="Times New Roman" w:hAnsi="Times New Roman"/>
                <w:sz w:val="12"/>
                <w:szCs w:val="12"/>
              </w:rPr>
              <w:t>ob Packing Efficiency/Fragmentation Loss</w:t>
            </w:r>
          </w:p>
        </w:tc>
        <w:tc>
          <w:tcPr>
            <w:tcW w:w="2880" w:type="dxa"/>
            <w:vAlign w:val="center"/>
          </w:tcPr>
          <w:p w14:paraId="12769964" w14:textId="31A42001"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Fragmentation Loss=1-JPE</m:t>
                </m:r>
              </m:oMath>
            </m:oMathPara>
          </w:p>
        </w:tc>
        <w:tc>
          <w:tcPr>
            <w:tcW w:w="4140" w:type="dxa"/>
            <w:vAlign w:val="center"/>
          </w:tcPr>
          <w:p w14:paraId="6AE75403" w14:textId="77777777" w:rsidR="007C2F53" w:rsidRPr="00BC5956" w:rsidRDefault="007C2F53" w:rsidP="002B3C97">
            <w:pPr>
              <w:spacing w:line="160" w:lineRule="exact"/>
              <w:jc w:val="left"/>
              <w:rPr>
                <w:rFonts w:ascii="Times New Roman" w:eastAsiaTheme="minorEastAsia" w:hAnsi="Times New Roman"/>
                <w:sz w:val="12"/>
                <w:szCs w:val="12"/>
              </w:rPr>
            </w:pPr>
            <w:r>
              <w:rPr>
                <w:rFonts w:ascii="Times New Roman" w:eastAsiaTheme="minorEastAsia" w:hAnsi="Times New Roman" w:hint="eastAsia"/>
                <w:sz w:val="12"/>
                <w:szCs w:val="12"/>
              </w:rPr>
              <w:t>U</w:t>
            </w:r>
            <w:r w:rsidRPr="00A87F0E">
              <w:rPr>
                <w:rFonts w:ascii="Times New Roman" w:eastAsiaTheme="minorEastAsia" w:hAnsi="Times New Roman"/>
                <w:sz w:val="12"/>
                <w:szCs w:val="12"/>
              </w:rPr>
              <w:t xml:space="preserve">tilization loss </w:t>
            </w:r>
            <w:proofErr w:type="gramStart"/>
            <w:r w:rsidRPr="00A87F0E">
              <w:rPr>
                <w:rFonts w:ascii="Times New Roman" w:eastAsiaTheme="minorEastAsia" w:hAnsi="Times New Roman"/>
                <w:sz w:val="12"/>
                <w:szCs w:val="12"/>
              </w:rPr>
              <w:t>not</w:t>
            </w:r>
            <w:proofErr w:type="gramEnd"/>
            <w:r w:rsidRPr="00A87F0E">
              <w:rPr>
                <w:rFonts w:ascii="Times New Roman" w:eastAsiaTheme="minorEastAsia" w:hAnsi="Times New Roman"/>
                <w:sz w:val="12"/>
                <w:szCs w:val="12"/>
              </w:rPr>
              <w:t xml:space="preserve"> caused by </w:t>
            </w:r>
            <w:proofErr w:type="gramStart"/>
            <w:r w:rsidRPr="00A87F0E">
              <w:rPr>
                <w:rFonts w:ascii="Times New Roman" w:eastAsiaTheme="minorEastAsia" w:hAnsi="Times New Roman"/>
                <w:sz w:val="12"/>
                <w:szCs w:val="12"/>
              </w:rPr>
              <w:t>compute</w:t>
            </w:r>
            <w:proofErr w:type="gramEnd"/>
            <w:r w:rsidRPr="00A87F0E">
              <w:rPr>
                <w:rFonts w:ascii="Times New Roman" w:eastAsiaTheme="minorEastAsia" w:hAnsi="Times New Roman"/>
                <w:sz w:val="12"/>
                <w:szCs w:val="12"/>
              </w:rPr>
              <w:t xml:space="preserve"> or data bottlenecks, but caused by orchestration geometry</w:t>
            </w:r>
          </w:p>
        </w:tc>
      </w:tr>
      <w:tr w:rsidR="007C2F53" w:rsidRPr="00A87F0E" w14:paraId="0B6B573D" w14:textId="77777777" w:rsidTr="002B3C97">
        <w:trPr>
          <w:cantSplit/>
        </w:trPr>
        <w:tc>
          <w:tcPr>
            <w:tcW w:w="1435" w:type="dxa"/>
            <w:vMerge/>
            <w:vAlign w:val="center"/>
          </w:tcPr>
          <w:p w14:paraId="50BDA07F"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5C2FCA9" w14:textId="77777777" w:rsidR="007C2F53" w:rsidRDefault="007C2F53" w:rsidP="002B3C97">
            <w:pPr>
              <w:spacing w:line="160" w:lineRule="exact"/>
              <w:jc w:val="center"/>
              <w:rPr>
                <w:rFonts w:ascii="Times New Roman" w:eastAsiaTheme="minorEastAsia" w:hAnsi="Times New Roman"/>
                <w:sz w:val="12"/>
                <w:szCs w:val="12"/>
              </w:rPr>
            </w:pPr>
            <w:r w:rsidRPr="00A87F0E">
              <w:rPr>
                <w:rFonts w:ascii="Times New Roman" w:eastAsiaTheme="minorEastAsia" w:hAnsi="Times New Roman"/>
                <w:sz w:val="12"/>
                <w:szCs w:val="12"/>
              </w:rPr>
              <w:t>Effective Model Parallel Efficiency (MPE)</w:t>
            </w:r>
          </w:p>
        </w:tc>
        <w:tc>
          <w:tcPr>
            <w:tcW w:w="2880" w:type="dxa"/>
            <w:vAlign w:val="center"/>
          </w:tcPr>
          <w:p w14:paraId="74638EAC" w14:textId="10C18E89"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MPE=</m:t>
                </m:r>
                <m:f>
                  <m:fPr>
                    <m:ctrlPr>
                      <w:rPr>
                        <w:rFonts w:ascii="Cambria Math" w:eastAsia="Cambria Math" w:hAnsi="Cambria Math" w:cs="Cambria Math"/>
                        <w:iCs/>
                        <w:sz w:val="10"/>
                        <w:szCs w:val="10"/>
                      </w:rPr>
                    </m:ctrlPr>
                  </m:fPr>
                  <m:num>
                    <m:r>
                      <m:rPr>
                        <m:nor/>
                      </m:rPr>
                      <w:rPr>
                        <w:rFonts w:ascii="Cambria Math" w:eastAsia="Cambria Math" w:hAnsi="Cambria Math" w:cs="Cambria Math"/>
                        <w:iCs/>
                        <w:sz w:val="10"/>
                        <w:szCs w:val="10"/>
                      </w:rPr>
                      <m:t>Achieved Throughput</m:t>
                    </m:r>
                  </m:num>
                  <m:den>
                    <m:r>
                      <m:rPr>
                        <m:nor/>
                      </m:rPr>
                      <w:rPr>
                        <w:rFonts w:ascii="Cambria Math" w:eastAsia="Cambria Math" w:hAnsi="Cambria Math" w:cs="Cambria Math"/>
                        <w:iCs/>
                        <w:sz w:val="10"/>
                        <w:szCs w:val="10"/>
                      </w:rPr>
                      <m:t>Ideal Parallel Throughput</m:t>
                    </m:r>
                  </m:den>
                </m:f>
              </m:oMath>
            </m:oMathPara>
          </w:p>
        </w:tc>
        <w:tc>
          <w:tcPr>
            <w:tcW w:w="4140" w:type="dxa"/>
            <w:vAlign w:val="center"/>
          </w:tcPr>
          <w:p w14:paraId="2A654DED" w14:textId="77777777" w:rsidR="007C2F53" w:rsidRPr="00A87F0E" w:rsidRDefault="007C2F53" w:rsidP="002B3C97">
            <w:pPr>
              <w:spacing w:line="160" w:lineRule="exact"/>
              <w:jc w:val="left"/>
              <w:rPr>
                <w:rFonts w:ascii="Times New Roman" w:eastAsiaTheme="minorEastAsia" w:hAnsi="Times New Roman"/>
                <w:sz w:val="10"/>
                <w:szCs w:val="10"/>
              </w:rPr>
            </w:pPr>
            <w:r w:rsidRPr="00A87F0E">
              <w:rPr>
                <w:rFonts w:ascii="Times New Roman" w:eastAsiaTheme="minorEastAsia" w:hAnsi="Times New Roman"/>
                <w:sz w:val="12"/>
                <w:szCs w:val="12"/>
              </w:rPr>
              <w:t>It captures communication overhead, pipeline bubbles, imbalance among stages, and tensor-parallel sharding cost.</w:t>
            </w:r>
          </w:p>
        </w:tc>
      </w:tr>
      <w:tr w:rsidR="007C2F53" w14:paraId="6C4CBCD1" w14:textId="77777777" w:rsidTr="002B3C97">
        <w:trPr>
          <w:cantSplit/>
        </w:trPr>
        <w:tc>
          <w:tcPr>
            <w:tcW w:w="1435" w:type="dxa"/>
            <w:vMerge/>
            <w:vAlign w:val="center"/>
          </w:tcPr>
          <w:p w14:paraId="2FFE8658"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5274A6E0"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Tokens per Second (LLM Serving Throughput)</w:t>
            </w:r>
          </w:p>
        </w:tc>
        <w:tc>
          <w:tcPr>
            <w:tcW w:w="2880" w:type="dxa"/>
            <w:vAlign w:val="center"/>
          </w:tcPr>
          <w:p w14:paraId="6032AF19" w14:textId="19B300E0"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TPS</m:t>
                    </m:r>
                  </m:e>
                  <m:sub>
                    <m:r>
                      <m:rPr>
                        <m:sty m:val="p"/>
                      </m:rPr>
                      <w:rPr>
                        <w:rFonts w:ascii="Cambria Math" w:eastAsia="Cambria Math" w:hAnsi="Cambria Math" w:cs="Cambria Math"/>
                        <w:sz w:val="10"/>
                        <w:szCs w:val="10"/>
                      </w:rPr>
                      <m:t>LLM</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Tokens</m:t>
                    </m:r>
                  </m:num>
                  <m:den>
                    <m:r>
                      <m:rPr>
                        <m:sty m:val="p"/>
                      </m:rPr>
                      <w:rPr>
                        <w:rFonts w:ascii="Cambria Math" w:eastAsia="Cambria Math" w:hAnsi="Cambria Math" w:cs="Cambria Math"/>
                        <w:sz w:val="10"/>
                        <w:szCs w:val="10"/>
                      </w:rPr>
                      <m:t>t</m:t>
                    </m:r>
                  </m:den>
                </m:f>
              </m:oMath>
            </m:oMathPara>
          </w:p>
        </w:tc>
        <w:tc>
          <w:tcPr>
            <w:tcW w:w="4140" w:type="dxa"/>
            <w:vAlign w:val="center"/>
          </w:tcPr>
          <w:p w14:paraId="1374361D"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Standard measure of LLM decoding throughput.</w:t>
            </w:r>
          </w:p>
        </w:tc>
      </w:tr>
      <w:tr w:rsidR="007C2F53" w14:paraId="3DC97780" w14:textId="77777777" w:rsidTr="002B3C97">
        <w:trPr>
          <w:cantSplit/>
        </w:trPr>
        <w:tc>
          <w:tcPr>
            <w:tcW w:w="1435" w:type="dxa"/>
            <w:vMerge/>
            <w:vAlign w:val="center"/>
          </w:tcPr>
          <w:p w14:paraId="56F4864D"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7DD112DB" w14:textId="77777777" w:rsidR="007C2F53" w:rsidRPr="005E13C1" w:rsidRDefault="007C2F53" w:rsidP="002B3C97">
            <w:pPr>
              <w:spacing w:line="160" w:lineRule="exact"/>
              <w:jc w:val="center"/>
              <w:rPr>
                <w:rFonts w:ascii="Times New Roman" w:eastAsia="Times New Roman" w:hAnsi="Times New Roman"/>
                <w:sz w:val="12"/>
                <w:szCs w:val="12"/>
              </w:rPr>
            </w:pPr>
            <w:r w:rsidRPr="005761F0">
              <w:rPr>
                <w:rFonts w:ascii="Times New Roman" w:eastAsia="Times New Roman" w:hAnsi="Times New Roman"/>
                <w:sz w:val="12"/>
                <w:szCs w:val="12"/>
              </w:rPr>
              <w:t>Storage I/O Throughput per Training Step</w:t>
            </w:r>
          </w:p>
        </w:tc>
        <w:tc>
          <w:tcPr>
            <w:tcW w:w="2880" w:type="dxa"/>
            <w:vAlign w:val="center"/>
          </w:tcPr>
          <w:p w14:paraId="58CD686C" w14:textId="5D6D74B6"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nor/>
                      </m:rPr>
                      <w:rPr>
                        <w:rFonts w:ascii="Cambria Math" w:eastAsia="Cambria Math" w:hAnsi="Cambria Math" w:cs="Cambria Math"/>
                        <w:iCs/>
                        <w:sz w:val="10"/>
                        <w:szCs w:val="10"/>
                      </w:rPr>
                      <m:t>IO</m:t>
                    </m:r>
                  </m:e>
                  <m:sub>
                    <m:r>
                      <m:rPr>
                        <m:nor/>
                      </m:rPr>
                      <w:rPr>
                        <w:rFonts w:ascii="Cambria Math" w:eastAsia="Cambria Math" w:hAnsi="Cambria Math" w:cs="Cambria Math"/>
                        <w:iCs/>
                        <w:sz w:val="10"/>
                        <w:szCs w:val="10"/>
                      </w:rPr>
                      <m:t>per step</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V</m:t>
                        </m:r>
                      </m:e>
                      <m:sub>
                        <m:r>
                          <m:rPr>
                            <m:nor/>
                          </m:rPr>
                          <w:rPr>
                            <w:rFonts w:ascii="Cambria Math" w:eastAsia="Cambria Math" w:hAnsi="Cambria Math" w:cs="Cambria Math"/>
                            <w:iCs/>
                            <w:sz w:val="10"/>
                            <w:szCs w:val="10"/>
                          </w:rPr>
                          <m:t>IO</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N</m:t>
                        </m:r>
                      </m:e>
                      <m:sub>
                        <m:r>
                          <m:rPr>
                            <m:nor/>
                          </m:rPr>
                          <w:rPr>
                            <w:rFonts w:ascii="Cambria Math" w:eastAsia="Cambria Math" w:hAnsi="Cambria Math" w:cs="Cambria Math"/>
                            <w:iCs/>
                            <w:sz w:val="10"/>
                            <w:szCs w:val="10"/>
                          </w:rPr>
                          <m:t>steps</m:t>
                        </m:r>
                      </m:sub>
                    </m:sSub>
                  </m:den>
                </m:f>
              </m:oMath>
            </m:oMathPara>
          </w:p>
        </w:tc>
        <w:tc>
          <w:tcPr>
            <w:tcW w:w="4140" w:type="dxa"/>
            <w:vAlign w:val="center"/>
          </w:tcPr>
          <w:p w14:paraId="5B2BE3A7" w14:textId="77777777" w:rsidR="007C2F53" w:rsidRDefault="007C2F53" w:rsidP="002B3C97">
            <w:pPr>
              <w:spacing w:line="160" w:lineRule="exact"/>
              <w:jc w:val="left"/>
              <w:rPr>
                <w:rFonts w:ascii="Times New Roman" w:eastAsia="Times New Roman" w:hAnsi="Times New Roman"/>
                <w:sz w:val="12"/>
                <w:szCs w:val="12"/>
              </w:rPr>
            </w:pPr>
            <w:r w:rsidRPr="005761F0">
              <w:rPr>
                <w:rFonts w:ascii="Times New Roman" w:eastAsia="Times New Roman" w:hAnsi="Times New Roman"/>
                <w:sz w:val="12"/>
                <w:szCs w:val="12"/>
              </w:rPr>
              <w:t>Measures dataset read bandwidth and I/O system ability to feed GPUs timely.</w:t>
            </w:r>
            <w:r>
              <w:rPr>
                <w:rFonts w:ascii="Times New Roman" w:eastAsiaTheme="minorEastAsia" w:hAnsi="Times New Roman" w:hint="eastAsia"/>
                <w:sz w:val="12"/>
                <w:szCs w:val="12"/>
              </w:rPr>
              <w:t xml:space="preserve"> G</w:t>
            </w:r>
            <w:r w:rsidRPr="005761F0">
              <w:rPr>
                <w:rFonts w:ascii="Times New Roman" w:eastAsia="Times New Roman" w:hAnsi="Times New Roman"/>
                <w:sz w:val="12"/>
                <w:szCs w:val="12"/>
              </w:rPr>
              <w:t>PU idle waiting for next batch</w:t>
            </w:r>
            <w:r>
              <w:rPr>
                <w:rFonts w:ascii="宋体" w:hAnsi="宋体" w:cs="宋体" w:hint="eastAsia"/>
                <w:sz w:val="12"/>
                <w:szCs w:val="12"/>
              </w:rPr>
              <w:t>.</w:t>
            </w:r>
          </w:p>
        </w:tc>
      </w:tr>
      <w:tr w:rsidR="007C2F53" w14:paraId="2BF30968" w14:textId="77777777" w:rsidTr="002B3C97">
        <w:trPr>
          <w:cantSplit/>
        </w:trPr>
        <w:tc>
          <w:tcPr>
            <w:tcW w:w="1435" w:type="dxa"/>
            <w:vMerge/>
            <w:vAlign w:val="center"/>
          </w:tcPr>
          <w:p w14:paraId="74FA50AC"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41F5DB42"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Pipeline Parallelism Efficiency</w:t>
            </w:r>
          </w:p>
        </w:tc>
        <w:tc>
          <w:tcPr>
            <w:tcW w:w="2880" w:type="dxa"/>
            <w:vAlign w:val="center"/>
          </w:tcPr>
          <w:p w14:paraId="0FE947B9" w14:textId="0DF3E0D3"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PPE=</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ideal</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pipeline</m:t>
                        </m:r>
                      </m:sub>
                    </m:sSub>
                  </m:den>
                </m:f>
              </m:oMath>
            </m:oMathPara>
          </w:p>
        </w:tc>
        <w:tc>
          <w:tcPr>
            <w:tcW w:w="4140" w:type="dxa"/>
            <w:vAlign w:val="center"/>
          </w:tcPr>
          <w:p w14:paraId="03714865"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Captures pipeline bubbles and per-stage imbalance in multi-stage distributed execution.</w:t>
            </w:r>
          </w:p>
        </w:tc>
      </w:tr>
      <w:tr w:rsidR="007C2F53" w14:paraId="181E0ADB" w14:textId="77777777" w:rsidTr="002B3C97">
        <w:trPr>
          <w:cantSplit/>
        </w:trPr>
        <w:tc>
          <w:tcPr>
            <w:tcW w:w="1435" w:type="dxa"/>
            <w:vMerge/>
            <w:vAlign w:val="center"/>
          </w:tcPr>
          <w:p w14:paraId="25BCB5E5"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539AE73C"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Energy per Checkpoint (EPC)</w:t>
            </w:r>
          </w:p>
        </w:tc>
        <w:tc>
          <w:tcPr>
            <w:tcW w:w="2880" w:type="dxa"/>
            <w:vAlign w:val="center"/>
          </w:tcPr>
          <w:p w14:paraId="78A5C8DA" w14:textId="75907ED4"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EPC=</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checkpoint</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N</m:t>
                        </m:r>
                      </m:e>
                      <m:sub>
                        <m:r>
                          <m:rPr>
                            <m:sty m:val="p"/>
                          </m:rPr>
                          <w:rPr>
                            <w:rFonts w:ascii="Cambria Math" w:eastAsia="Cambria Math" w:hAnsi="Cambria Math" w:cs="Cambria Math"/>
                            <w:sz w:val="10"/>
                            <w:szCs w:val="10"/>
                          </w:rPr>
                          <m:t>checkpoints</m:t>
                        </m:r>
                      </m:sub>
                    </m:sSub>
                  </m:den>
                </m:f>
              </m:oMath>
            </m:oMathPara>
          </w:p>
        </w:tc>
        <w:tc>
          <w:tcPr>
            <w:tcW w:w="4140" w:type="dxa"/>
            <w:vAlign w:val="center"/>
          </w:tcPr>
          <w:p w14:paraId="0B174E28"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Energy consumed per model checkpoint during training.</w:t>
            </w:r>
          </w:p>
        </w:tc>
      </w:tr>
      <w:tr w:rsidR="007C2F53" w14:paraId="7364D62E" w14:textId="77777777" w:rsidTr="002B3C97">
        <w:trPr>
          <w:cantSplit/>
        </w:trPr>
        <w:tc>
          <w:tcPr>
            <w:tcW w:w="1435" w:type="dxa"/>
            <w:vMerge w:val="restart"/>
            <w:vAlign w:val="center"/>
          </w:tcPr>
          <w:p w14:paraId="5393417C"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ML Execution Layer - Domain 3: Lifecycle Economics &amp; Reliability Risk</w:t>
            </w:r>
          </w:p>
          <w:p w14:paraId="5344084A"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73FEDB57"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Cost per Training</w:t>
            </w:r>
            <w:r>
              <w:rPr>
                <w:rFonts w:ascii="Times New Roman" w:eastAsia="Times New Roman" w:hAnsi="Times New Roman"/>
                <w:sz w:val="12"/>
                <w:szCs w:val="12"/>
              </w:rPr>
              <w:t xml:space="preserve"> (TPT)</w:t>
            </w:r>
          </w:p>
        </w:tc>
        <w:tc>
          <w:tcPr>
            <w:tcW w:w="2880" w:type="dxa"/>
            <w:vAlign w:val="center"/>
          </w:tcPr>
          <w:p w14:paraId="13319E5B" w14:textId="49C98528"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step</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total</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N</m:t>
                        </m:r>
                      </m:e>
                      <m:sub>
                        <m:r>
                          <m:rPr>
                            <m:sty m:val="p"/>
                          </m:rPr>
                          <w:rPr>
                            <w:rFonts w:ascii="Cambria Math" w:eastAsia="Cambria Math" w:hAnsi="Cambria Math" w:cs="Cambria Math"/>
                            <w:sz w:val="10"/>
                            <w:szCs w:val="10"/>
                          </w:rPr>
                          <m:t>steps</m:t>
                        </m:r>
                      </m:sub>
                    </m:sSub>
                  </m:den>
                </m:f>
              </m:oMath>
            </m:oMathPara>
          </w:p>
        </w:tc>
        <w:tc>
          <w:tcPr>
            <w:tcW w:w="4140" w:type="dxa"/>
            <w:vAlign w:val="center"/>
          </w:tcPr>
          <w:p w14:paraId="7194C560"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Total cost (compute, energy, depreciation) amortized per training step.</w:t>
            </w:r>
          </w:p>
        </w:tc>
      </w:tr>
      <w:tr w:rsidR="007C2F53" w14:paraId="68D90E17" w14:textId="77777777" w:rsidTr="002B3C97">
        <w:trPr>
          <w:cantSplit/>
        </w:trPr>
        <w:tc>
          <w:tcPr>
            <w:tcW w:w="1435" w:type="dxa"/>
            <w:vMerge/>
            <w:vAlign w:val="center"/>
          </w:tcPr>
          <w:p w14:paraId="7E798889"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777EA48"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Cost per Token (Inference)</w:t>
            </w:r>
          </w:p>
        </w:tc>
        <w:tc>
          <w:tcPr>
            <w:tcW w:w="2880" w:type="dxa"/>
            <w:vAlign w:val="center"/>
          </w:tcPr>
          <w:p w14:paraId="6E637F08" w14:textId="0171842E" w:rsidR="007C2F53" w:rsidRPr="002B3C97" w:rsidRDefault="00000000" w:rsidP="002B3C97">
            <w:pPr>
              <w:spacing w:line="240" w:lineRule="atLeast"/>
              <w:jc w:val="center"/>
              <w:rPr>
                <w:rFonts w:ascii="Cambria Math" w:eastAsia="Cambria Math" w:hAnsi="Cambria Math" w:cs="Cambria Math"/>
                <w:iCs/>
                <w:sz w:val="10"/>
                <w:szCs w:val="10"/>
              </w:rPr>
            </w:pPr>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token</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inference</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N</m:t>
                      </m:r>
                    </m:e>
                    <m:sub>
                      <m:r>
                        <m:rPr>
                          <m:sty m:val="p"/>
                        </m:rPr>
                        <w:rPr>
                          <w:rFonts w:ascii="Cambria Math" w:eastAsia="Cambria Math" w:hAnsi="Cambria Math" w:cs="Cambria Math"/>
                          <w:sz w:val="10"/>
                          <w:szCs w:val="10"/>
                        </w:rPr>
                        <m:t>tokens</m:t>
                      </m:r>
                    </m:sub>
                  </m:sSub>
                </m:den>
              </m:f>
            </m:oMath>
            <w:r w:rsidR="007C2F53" w:rsidRPr="002B3C97">
              <w:rPr>
                <w:rFonts w:ascii="Cambria Math" w:eastAsia="Cambria Math" w:hAnsi="Cambria Math" w:cs="Cambria Math"/>
                <w:iCs/>
                <w:sz w:val="10"/>
                <w:szCs w:val="10"/>
              </w:rPr>
              <w:t xml:space="preserve"> or </w:t>
            </w:r>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nor/>
                    </m:rPr>
                    <w:rPr>
                      <w:rFonts w:ascii="Cambria Math" w:eastAsia="Cambria Math" w:hAnsi="Cambria Math" w:cs="Cambria Math"/>
                      <w:iCs/>
                      <w:sz w:val="10"/>
                      <w:szCs w:val="10"/>
                    </w:rPr>
                    <m:t>token</m:t>
                  </m:r>
                </m:sub>
              </m:sSub>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nor/>
                        </m:rPr>
                        <w:rPr>
                          <w:rFonts w:ascii="Cambria Math" w:eastAsia="Cambria Math" w:hAnsi="Cambria Math" w:cs="Cambria Math"/>
                          <w:iCs/>
                          <w:sz w:val="10"/>
                          <w:szCs w:val="10"/>
                        </w:rPr>
                        <m:t>GPU</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nor/>
                        </m:rPr>
                        <w:rPr>
                          <w:rFonts w:ascii="Cambria Math" w:eastAsia="Cambria Math" w:hAnsi="Cambria Math" w:cs="Cambria Math"/>
                          <w:iCs/>
                          <w:sz w:val="10"/>
                          <w:szCs w:val="10"/>
                        </w:rPr>
                        <m:t>lat</m:t>
                      </m:r>
                    </m:sub>
                  </m:sSub>
                </m:num>
                <m:den>
                  <m:r>
                    <m:rPr>
                      <m:nor/>
                    </m:rPr>
                    <w:rPr>
                      <w:rFonts w:ascii="Cambria Math" w:eastAsia="Cambria Math" w:hAnsi="Cambria Math" w:cs="Cambria Math"/>
                      <w:iCs/>
                      <w:sz w:val="10"/>
                      <w:szCs w:val="10"/>
                    </w:rPr>
                    <m:t>tokens</m:t>
                  </m:r>
                </m:den>
              </m:f>
            </m:oMath>
          </w:p>
        </w:tc>
        <w:tc>
          <w:tcPr>
            <w:tcW w:w="4140" w:type="dxa"/>
            <w:vAlign w:val="center"/>
          </w:tcPr>
          <w:p w14:paraId="7A0D3C8E"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Monetary cost of generating one token during inference.</w:t>
            </w:r>
          </w:p>
        </w:tc>
      </w:tr>
      <w:tr w:rsidR="007C2F53" w14:paraId="1E6C997F" w14:textId="77777777" w:rsidTr="002B3C97">
        <w:trPr>
          <w:cantSplit/>
        </w:trPr>
        <w:tc>
          <w:tcPr>
            <w:tcW w:w="1435" w:type="dxa"/>
            <w:vMerge/>
            <w:vAlign w:val="center"/>
          </w:tcPr>
          <w:p w14:paraId="69FE87F5"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4B2A8A7"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Marginal Serving Cost (MSC)</w:t>
            </w:r>
          </w:p>
        </w:tc>
        <w:tc>
          <w:tcPr>
            <w:tcW w:w="2880" w:type="dxa"/>
            <w:vAlign w:val="center"/>
          </w:tcPr>
          <w:p w14:paraId="34FD0907" w14:textId="182C116E"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MSC=</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∂C</m:t>
                    </m:r>
                  </m:num>
                  <m:den>
                    <m:r>
                      <m:rPr>
                        <m:sty m:val="p"/>
                      </m:rPr>
                      <w:rPr>
                        <w:rFonts w:ascii="Cambria Math" w:eastAsia="Cambria Math" w:hAnsi="Cambria Math" w:cs="Cambria Math"/>
                        <w:sz w:val="10"/>
                        <w:szCs w:val="10"/>
                      </w:rPr>
                      <m:t>∂Q</m:t>
                    </m:r>
                  </m:den>
                </m:f>
              </m:oMath>
            </m:oMathPara>
          </w:p>
        </w:tc>
        <w:tc>
          <w:tcPr>
            <w:tcW w:w="4140" w:type="dxa"/>
            <w:vAlign w:val="center"/>
          </w:tcPr>
          <w:p w14:paraId="6A501CC5"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Additional cost of serving one more unit of workload (e.g., per 1k tokens or per request).</w:t>
            </w:r>
          </w:p>
        </w:tc>
      </w:tr>
      <w:tr w:rsidR="007C2F53" w14:paraId="120286C6" w14:textId="77777777" w:rsidTr="002B3C97">
        <w:trPr>
          <w:cantSplit/>
        </w:trPr>
        <w:tc>
          <w:tcPr>
            <w:tcW w:w="1435" w:type="dxa"/>
            <w:vMerge/>
            <w:vAlign w:val="center"/>
          </w:tcPr>
          <w:p w14:paraId="47494E24"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2478CF9"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Autoscaling Overhead (ASO)</w:t>
            </w:r>
          </w:p>
        </w:tc>
        <w:tc>
          <w:tcPr>
            <w:tcW w:w="2880" w:type="dxa"/>
            <w:vAlign w:val="center"/>
          </w:tcPr>
          <w:p w14:paraId="6DF81AC0" w14:textId="73352076"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ASO=</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autoscale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ideal</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ideal</m:t>
                        </m:r>
                      </m:sub>
                    </m:sSub>
                  </m:den>
                </m:f>
              </m:oMath>
            </m:oMathPara>
          </w:p>
        </w:tc>
        <w:tc>
          <w:tcPr>
            <w:tcW w:w="4140" w:type="dxa"/>
            <w:vAlign w:val="center"/>
          </w:tcPr>
          <w:p w14:paraId="62271FF9"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Cost penalty due to autoscaling inefficiencies such as cold starts or idle buffer capacity.</w:t>
            </w:r>
          </w:p>
        </w:tc>
      </w:tr>
      <w:tr w:rsidR="007C2F53" w14:paraId="0F57D08F" w14:textId="77777777" w:rsidTr="002B3C97">
        <w:trPr>
          <w:cantSplit/>
        </w:trPr>
        <w:tc>
          <w:tcPr>
            <w:tcW w:w="1435" w:type="dxa"/>
            <w:vMerge/>
            <w:vAlign w:val="center"/>
          </w:tcPr>
          <w:p w14:paraId="05F92250"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41A61C5F"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Expected Loss from Training Instability</w:t>
            </w:r>
          </w:p>
        </w:tc>
        <w:tc>
          <w:tcPr>
            <w:tcW w:w="2880" w:type="dxa"/>
            <w:vAlign w:val="center"/>
          </w:tcPr>
          <w:p w14:paraId="1C9B4307" w14:textId="60AED0A4"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EL</m:t>
                    </m:r>
                  </m:e>
                  <m:sub>
                    <m:r>
                      <m:rPr>
                        <m:sty m:val="p"/>
                      </m:rPr>
                      <w:rPr>
                        <w:rFonts w:ascii="Cambria Math" w:eastAsia="Cambria Math" w:hAnsi="Cambria Math" w:cs="Cambria Math"/>
                        <w:sz w:val="10"/>
                        <w:szCs w:val="10"/>
                      </w:rPr>
                      <m:t>inst</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diverge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restart</m:t>
                    </m:r>
                  </m:sub>
                </m:sSub>
              </m:oMath>
            </m:oMathPara>
          </w:p>
        </w:tc>
        <w:tc>
          <w:tcPr>
            <w:tcW w:w="4140" w:type="dxa"/>
            <w:vAlign w:val="center"/>
          </w:tcPr>
          <w:p w14:paraId="0B672735"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Expected loss from training runs that diverge and must be restarted.</w:t>
            </w:r>
          </w:p>
        </w:tc>
      </w:tr>
      <w:tr w:rsidR="007C2F53" w14:paraId="56B37918" w14:textId="77777777" w:rsidTr="002B3C97">
        <w:trPr>
          <w:cantSplit/>
        </w:trPr>
        <w:tc>
          <w:tcPr>
            <w:tcW w:w="1435" w:type="dxa"/>
            <w:vMerge/>
            <w:vAlign w:val="center"/>
          </w:tcPr>
          <w:p w14:paraId="36E8A92F"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6AF4280"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Annual Loss Expectancy (ALE) from Failures</w:t>
            </w:r>
          </w:p>
        </w:tc>
        <w:tc>
          <w:tcPr>
            <w:tcW w:w="2880" w:type="dxa"/>
            <w:vAlign w:val="center"/>
          </w:tcPr>
          <w:p w14:paraId="5C96D47B" w14:textId="710D5775"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ALE=</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λ</m:t>
                    </m:r>
                  </m:e>
                  <m:sub>
                    <m:r>
                      <m:rPr>
                        <m:sty m:val="p"/>
                      </m:rPr>
                      <w:rPr>
                        <w:rFonts w:ascii="Cambria Math" w:eastAsia="Cambria Math" w:hAnsi="Cambria Math" w:cs="Cambria Math"/>
                        <w:sz w:val="10"/>
                        <w:szCs w:val="10"/>
                      </w:rPr>
                      <m:t>failure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event</m:t>
                    </m:r>
                  </m:sub>
                </m:sSub>
              </m:oMath>
            </m:oMathPara>
          </w:p>
        </w:tc>
        <w:tc>
          <w:tcPr>
            <w:tcW w:w="4140" w:type="dxa"/>
            <w:vAlign w:val="center"/>
          </w:tcPr>
          <w:p w14:paraId="2162646D"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Expected annual economic loss resulting from system failures (hardware, network, software).</w:t>
            </w:r>
          </w:p>
        </w:tc>
      </w:tr>
      <w:tr w:rsidR="007C2F53" w14:paraId="3512D29B" w14:textId="77777777" w:rsidTr="002B3C97">
        <w:trPr>
          <w:cantSplit/>
        </w:trPr>
        <w:tc>
          <w:tcPr>
            <w:tcW w:w="1435" w:type="dxa"/>
            <w:vMerge w:val="restart"/>
            <w:vAlign w:val="center"/>
          </w:tcPr>
          <w:p w14:paraId="3E398335"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Service Layer - Domain 1: Physical Performance &amp; Efficiency</w:t>
            </w:r>
          </w:p>
        </w:tc>
        <w:tc>
          <w:tcPr>
            <w:tcW w:w="2070" w:type="dxa"/>
            <w:vAlign w:val="center"/>
          </w:tcPr>
          <w:p w14:paraId="3F6B5AE6"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Redundancy Energy Overhead</w:t>
            </w:r>
          </w:p>
        </w:tc>
        <w:tc>
          <w:tcPr>
            <w:tcW w:w="2880" w:type="dxa"/>
            <w:vAlign w:val="center"/>
          </w:tcPr>
          <w:p w14:paraId="148B10CF" w14:textId="14DE588D"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REO=</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redundant</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total</m:t>
                        </m:r>
                      </m:sub>
                    </m:sSub>
                  </m:den>
                </m:f>
              </m:oMath>
            </m:oMathPara>
          </w:p>
        </w:tc>
        <w:tc>
          <w:tcPr>
            <w:tcW w:w="4140" w:type="dxa"/>
            <w:vAlign w:val="center"/>
          </w:tcPr>
          <w:p w14:paraId="36109437"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Fraction of energy spent on redundant components (e.g., N+1, 2N systems) to ensure service reliability.</w:t>
            </w:r>
          </w:p>
        </w:tc>
      </w:tr>
      <w:tr w:rsidR="007C2F53" w14:paraId="4AD988ED" w14:textId="77777777" w:rsidTr="002B3C97">
        <w:trPr>
          <w:cantSplit/>
        </w:trPr>
        <w:tc>
          <w:tcPr>
            <w:tcW w:w="1435" w:type="dxa"/>
            <w:vMerge/>
            <w:vAlign w:val="center"/>
          </w:tcPr>
          <w:p w14:paraId="2E2648DF"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0DC64E35"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Energy from Thermal Penalties (Derating Overhead)</w:t>
            </w:r>
          </w:p>
        </w:tc>
        <w:tc>
          <w:tcPr>
            <w:tcW w:w="2880" w:type="dxa"/>
            <w:vAlign w:val="center"/>
          </w:tcPr>
          <w:p w14:paraId="0BB30DC4" w14:textId="1F6CAD7C"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DEO=</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derated</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optimal</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optimal</m:t>
                        </m:r>
                      </m:sub>
                    </m:sSub>
                  </m:den>
                </m:f>
              </m:oMath>
            </m:oMathPara>
          </w:p>
        </w:tc>
        <w:tc>
          <w:tcPr>
            <w:tcW w:w="4140" w:type="dxa"/>
            <w:vAlign w:val="center"/>
          </w:tcPr>
          <w:p w14:paraId="6F23C8C1"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Extra energy </w:t>
            </w:r>
            <w:proofErr w:type="gramStart"/>
            <w:r>
              <w:rPr>
                <w:rFonts w:ascii="Times New Roman" w:eastAsia="Times New Roman" w:hAnsi="Times New Roman"/>
                <w:sz w:val="12"/>
                <w:szCs w:val="12"/>
              </w:rPr>
              <w:t>incurred</w:t>
            </w:r>
            <w:proofErr w:type="gramEnd"/>
            <w:r>
              <w:rPr>
                <w:rFonts w:ascii="Times New Roman" w:eastAsia="Times New Roman" w:hAnsi="Times New Roman"/>
                <w:sz w:val="12"/>
                <w:szCs w:val="12"/>
              </w:rPr>
              <w:t xml:space="preserve"> when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xml:space="preserve"> systems operate below optimal efficiency due to high temperatures or thermal derating.</w:t>
            </w:r>
          </w:p>
        </w:tc>
      </w:tr>
      <w:tr w:rsidR="007C2F53" w14:paraId="5BACE90C" w14:textId="77777777" w:rsidTr="002B3C97">
        <w:trPr>
          <w:cantSplit/>
        </w:trPr>
        <w:tc>
          <w:tcPr>
            <w:tcW w:w="1435" w:type="dxa"/>
            <w:vMerge/>
            <w:vAlign w:val="center"/>
          </w:tcPr>
          <w:p w14:paraId="1666CCD5"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00CCCDF7"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Service Energy Inefficiency Factor</w:t>
            </w:r>
          </w:p>
        </w:tc>
        <w:tc>
          <w:tcPr>
            <w:tcW w:w="2880" w:type="dxa"/>
            <w:vAlign w:val="center"/>
          </w:tcPr>
          <w:p w14:paraId="4C063440" w14:textId="4DB5C99B"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SEIF=</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service</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E</m:t>
                        </m:r>
                      </m:e>
                      <m:sub>
                        <m:r>
                          <m:rPr>
                            <m:sty m:val="p"/>
                          </m:rPr>
                          <w:rPr>
                            <w:rFonts w:ascii="Cambria Math" w:eastAsia="Cambria Math" w:hAnsi="Cambria Math" w:cs="Cambria Math"/>
                            <w:sz w:val="10"/>
                            <w:szCs w:val="10"/>
                          </w:rPr>
                          <m:t>compute</m:t>
                        </m:r>
                      </m:sub>
                    </m:sSub>
                  </m:den>
                </m:f>
              </m:oMath>
            </m:oMathPara>
          </w:p>
        </w:tc>
        <w:tc>
          <w:tcPr>
            <w:tcW w:w="4140" w:type="dxa"/>
            <w:vAlign w:val="center"/>
          </w:tcPr>
          <w:p w14:paraId="250F6BF2"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Overhead energy consumption required for achieving a given level of service quality (e.g., replication, retries).</w:t>
            </w:r>
          </w:p>
        </w:tc>
      </w:tr>
      <w:tr w:rsidR="007C2F53" w14:paraId="313EF34A" w14:textId="77777777" w:rsidTr="002B3C97">
        <w:trPr>
          <w:cantSplit/>
        </w:trPr>
        <w:tc>
          <w:tcPr>
            <w:tcW w:w="1435" w:type="dxa"/>
            <w:vMerge/>
            <w:vAlign w:val="center"/>
          </w:tcPr>
          <w:p w14:paraId="13754BCD"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5E9B42B"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Thermal Stability Index</w:t>
            </w:r>
          </w:p>
        </w:tc>
        <w:tc>
          <w:tcPr>
            <w:tcW w:w="2880" w:type="dxa"/>
            <w:vAlign w:val="center"/>
          </w:tcPr>
          <w:p w14:paraId="41B18E0B" w14:textId="797555FD"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TSI=</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max</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service</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max</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nominal</m:t>
                        </m:r>
                      </m:sub>
                    </m:sSub>
                  </m:den>
                </m:f>
              </m:oMath>
            </m:oMathPara>
          </w:p>
        </w:tc>
        <w:tc>
          <w:tcPr>
            <w:tcW w:w="4140" w:type="dxa"/>
            <w:vAlign w:val="center"/>
          </w:tcPr>
          <w:p w14:paraId="53A30D38"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Normalized indication of thermal stability of service nodes relative to safe operating bounds.</w:t>
            </w:r>
          </w:p>
        </w:tc>
      </w:tr>
      <w:tr w:rsidR="007C2F53" w14:paraId="6E59B861" w14:textId="77777777" w:rsidTr="002B3C97">
        <w:trPr>
          <w:cantSplit/>
        </w:trPr>
        <w:tc>
          <w:tcPr>
            <w:tcW w:w="1435" w:type="dxa"/>
            <w:vMerge w:val="restart"/>
            <w:vAlign w:val="center"/>
          </w:tcPr>
          <w:p w14:paraId="57081E78"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Service Layer - Domain 2: Compute &amp; Reliability (SLO/SLA Metrics)</w:t>
            </w:r>
          </w:p>
        </w:tc>
        <w:tc>
          <w:tcPr>
            <w:tcW w:w="2070" w:type="dxa"/>
            <w:vAlign w:val="center"/>
          </w:tcPr>
          <w:p w14:paraId="6D85D176"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Service Level Indicator (SLI)</w:t>
            </w:r>
          </w:p>
        </w:tc>
        <w:tc>
          <w:tcPr>
            <w:tcW w:w="2880" w:type="dxa"/>
            <w:vAlign w:val="center"/>
          </w:tcPr>
          <w:p w14:paraId="41C17CF9" w14:textId="2F5D3FF8"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SLI=</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Number of successful requests</m:t>
                    </m:r>
                  </m:num>
                  <m:den>
                    <m:r>
                      <m:rPr>
                        <m:sty m:val="p"/>
                      </m:rPr>
                      <w:rPr>
                        <w:rFonts w:ascii="Cambria Math" w:eastAsia="Cambria Math" w:hAnsi="Cambria Math" w:cs="Cambria Math"/>
                        <w:sz w:val="10"/>
                        <w:szCs w:val="10"/>
                      </w:rPr>
                      <m:t>Total requests</m:t>
                    </m:r>
                  </m:den>
                </m:f>
              </m:oMath>
            </m:oMathPara>
          </w:p>
        </w:tc>
        <w:tc>
          <w:tcPr>
            <w:tcW w:w="4140" w:type="dxa"/>
            <w:vAlign w:val="center"/>
          </w:tcPr>
          <w:p w14:paraId="36E445E2"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Base measurement of service correctness, availability, or latency adherence.</w:t>
            </w:r>
          </w:p>
        </w:tc>
      </w:tr>
      <w:tr w:rsidR="007C2F53" w14:paraId="4150FE4B" w14:textId="77777777" w:rsidTr="002B3C97">
        <w:trPr>
          <w:cantSplit/>
        </w:trPr>
        <w:tc>
          <w:tcPr>
            <w:tcW w:w="1435" w:type="dxa"/>
            <w:vMerge/>
            <w:vAlign w:val="center"/>
          </w:tcPr>
          <w:p w14:paraId="030353CF"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1B2D556"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Availability (A)</w:t>
            </w:r>
          </w:p>
        </w:tc>
        <w:tc>
          <w:tcPr>
            <w:tcW w:w="2880" w:type="dxa"/>
            <w:vAlign w:val="center"/>
          </w:tcPr>
          <w:p w14:paraId="34AF135F" w14:textId="4DBA43B5"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A=</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Uptime</m:t>
                    </m:r>
                  </m:num>
                  <m:den>
                    <m:r>
                      <m:rPr>
                        <m:sty m:val="p"/>
                      </m:rPr>
                      <w:rPr>
                        <w:rFonts w:ascii="Cambria Math" w:eastAsia="Cambria Math" w:hAnsi="Cambria Math" w:cs="Cambria Math"/>
                        <w:sz w:val="10"/>
                        <w:szCs w:val="10"/>
                      </w:rPr>
                      <m:t>Uptime+Downtime</m:t>
                    </m:r>
                  </m:den>
                </m:f>
              </m:oMath>
            </m:oMathPara>
          </w:p>
        </w:tc>
        <w:tc>
          <w:tcPr>
            <w:tcW w:w="4140" w:type="dxa"/>
            <w:vAlign w:val="center"/>
          </w:tcPr>
          <w:p w14:paraId="3B86E6CC"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Standard measurement of system availability; often used in “five nines” reliability targets.</w:t>
            </w:r>
          </w:p>
        </w:tc>
      </w:tr>
      <w:tr w:rsidR="007C2F53" w14:paraId="4A36F78B" w14:textId="77777777" w:rsidTr="002B3C97">
        <w:trPr>
          <w:cantSplit/>
        </w:trPr>
        <w:tc>
          <w:tcPr>
            <w:tcW w:w="1435" w:type="dxa"/>
            <w:vMerge/>
            <w:vAlign w:val="center"/>
          </w:tcPr>
          <w:p w14:paraId="5B386972"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E323154"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SLO Violation Rate</w:t>
            </w:r>
          </w:p>
        </w:tc>
        <w:tc>
          <w:tcPr>
            <w:tcW w:w="2880" w:type="dxa"/>
            <w:vAlign w:val="center"/>
          </w:tcPr>
          <w:p w14:paraId="069B211C" w14:textId="711060AB"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ViolationRate=</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Violations</m:t>
                    </m:r>
                  </m:num>
                  <m:den>
                    <m:r>
                      <m:rPr>
                        <m:sty m:val="p"/>
                      </m:rPr>
                      <w:rPr>
                        <w:rFonts w:ascii="Cambria Math" w:eastAsia="Cambria Math" w:hAnsi="Cambria Math" w:cs="Cambria Math"/>
                        <w:sz w:val="10"/>
                        <w:szCs w:val="10"/>
                      </w:rPr>
                      <m:t>Total Requests</m:t>
                    </m:r>
                  </m:den>
                </m:f>
              </m:oMath>
            </m:oMathPara>
          </w:p>
        </w:tc>
        <w:tc>
          <w:tcPr>
            <w:tcW w:w="4140" w:type="dxa"/>
            <w:vAlign w:val="center"/>
          </w:tcPr>
          <w:p w14:paraId="0851EE7D"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Percentage of requests failing to meet defined service-level objectives (latency, throughput, correctness).</w:t>
            </w:r>
          </w:p>
        </w:tc>
      </w:tr>
      <w:tr w:rsidR="007C2F53" w14:paraId="0305A2DD" w14:textId="77777777" w:rsidTr="002B3C97">
        <w:trPr>
          <w:cantSplit/>
        </w:trPr>
        <w:tc>
          <w:tcPr>
            <w:tcW w:w="1435" w:type="dxa"/>
            <w:vMerge/>
            <w:vAlign w:val="center"/>
          </w:tcPr>
          <w:p w14:paraId="39C369EF"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18C3D8E2"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Error Budget Consumption (EBC)</w:t>
            </w:r>
          </w:p>
        </w:tc>
        <w:tc>
          <w:tcPr>
            <w:tcW w:w="2880" w:type="dxa"/>
            <w:vAlign w:val="center"/>
          </w:tcPr>
          <w:p w14:paraId="2C640E86" w14:textId="60EB0631"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EBC=</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SLO-SLI</m:t>
                    </m:r>
                  </m:num>
                  <m:den>
                    <m:r>
                      <m:rPr>
                        <m:sty m:val="p"/>
                      </m:rPr>
                      <w:rPr>
                        <w:rFonts w:ascii="Cambria Math" w:eastAsia="Cambria Math" w:hAnsi="Cambria Math" w:cs="Cambria Math"/>
                        <w:sz w:val="10"/>
                        <w:szCs w:val="10"/>
                      </w:rPr>
                      <m:t>1-SLO</m:t>
                    </m:r>
                  </m:den>
                </m:f>
              </m:oMath>
            </m:oMathPara>
          </w:p>
        </w:tc>
        <w:tc>
          <w:tcPr>
            <w:tcW w:w="4140" w:type="dxa"/>
            <w:vAlign w:val="center"/>
          </w:tcPr>
          <w:p w14:paraId="158DFBE8"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Fraction of allowable error budget consumed; widely used in SRE practice.</w:t>
            </w:r>
          </w:p>
        </w:tc>
      </w:tr>
      <w:tr w:rsidR="007C2F53" w14:paraId="65CCC2A6" w14:textId="77777777" w:rsidTr="002B3C97">
        <w:trPr>
          <w:cantSplit/>
        </w:trPr>
        <w:tc>
          <w:tcPr>
            <w:tcW w:w="1435" w:type="dxa"/>
            <w:vMerge/>
            <w:vAlign w:val="center"/>
          </w:tcPr>
          <w:p w14:paraId="0A45B8E0"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2FD232E2"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Mean Time Between Failures (MTBF)</w:t>
            </w:r>
          </w:p>
        </w:tc>
        <w:tc>
          <w:tcPr>
            <w:tcW w:w="2880" w:type="dxa"/>
            <w:vAlign w:val="center"/>
          </w:tcPr>
          <w:p w14:paraId="2DF6D9D7" w14:textId="2EB476AA"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MTBF=</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Total Operating Time</m:t>
                    </m:r>
                  </m:num>
                  <m:den>
                    <m:r>
                      <m:rPr>
                        <m:sty m:val="p"/>
                      </m:rPr>
                      <w:rPr>
                        <w:rFonts w:ascii="Cambria Math" w:eastAsia="Cambria Math" w:hAnsi="Cambria Math" w:cs="Cambria Math"/>
                        <w:sz w:val="10"/>
                        <w:szCs w:val="10"/>
                      </w:rPr>
                      <m:t>Number of Failures</m:t>
                    </m:r>
                  </m:den>
                </m:f>
              </m:oMath>
            </m:oMathPara>
          </w:p>
        </w:tc>
        <w:tc>
          <w:tcPr>
            <w:tcW w:w="4140" w:type="dxa"/>
            <w:vAlign w:val="center"/>
          </w:tcPr>
          <w:p w14:paraId="720FDE36"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Frequency metric describing how often service-impacting failures occur.</w:t>
            </w:r>
          </w:p>
        </w:tc>
      </w:tr>
      <w:tr w:rsidR="007C2F53" w14:paraId="0F210F71" w14:textId="77777777" w:rsidTr="002B3C97">
        <w:trPr>
          <w:cantSplit/>
        </w:trPr>
        <w:tc>
          <w:tcPr>
            <w:tcW w:w="1435" w:type="dxa"/>
            <w:vMerge/>
            <w:vAlign w:val="center"/>
          </w:tcPr>
          <w:p w14:paraId="7B545AA7"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E26BEA3"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Mean Time to Recovery (MTTR)</w:t>
            </w:r>
          </w:p>
        </w:tc>
        <w:tc>
          <w:tcPr>
            <w:tcW w:w="2880" w:type="dxa"/>
            <w:vAlign w:val="center"/>
          </w:tcPr>
          <w:p w14:paraId="5F6C6AB9" w14:textId="5A3444A1"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MTTR=</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∑Repair Time</m:t>
                    </m:r>
                  </m:num>
                  <m:den>
                    <m:r>
                      <m:rPr>
                        <m:sty m:val="p"/>
                      </m:rPr>
                      <w:rPr>
                        <w:rFonts w:ascii="Cambria Math" w:eastAsia="Cambria Math" w:hAnsi="Cambria Math" w:cs="Cambria Math"/>
                        <w:sz w:val="10"/>
                        <w:szCs w:val="10"/>
                      </w:rPr>
                      <m:t>Number of Failures</m:t>
                    </m:r>
                  </m:den>
                </m:f>
              </m:oMath>
            </m:oMathPara>
          </w:p>
        </w:tc>
        <w:tc>
          <w:tcPr>
            <w:tcW w:w="4140" w:type="dxa"/>
            <w:vAlign w:val="center"/>
          </w:tcPr>
          <w:p w14:paraId="5D47309E"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Average time to restore service after an outage.</w:t>
            </w:r>
          </w:p>
        </w:tc>
      </w:tr>
      <w:tr w:rsidR="007C2F53" w14:paraId="7960878D" w14:textId="77777777" w:rsidTr="002B3C97">
        <w:trPr>
          <w:cantSplit/>
        </w:trPr>
        <w:tc>
          <w:tcPr>
            <w:tcW w:w="1435" w:type="dxa"/>
            <w:vMerge/>
            <w:vAlign w:val="center"/>
          </w:tcPr>
          <w:p w14:paraId="025A2710"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57994F74"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QoS Compliance Rate</w:t>
            </w:r>
          </w:p>
        </w:tc>
        <w:tc>
          <w:tcPr>
            <w:tcW w:w="2880" w:type="dxa"/>
            <w:vAlign w:val="center"/>
          </w:tcPr>
          <w:p w14:paraId="2F89E94A" w14:textId="1C9AEEF2"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QCR=1-QDF=1-</m:t>
                </m:r>
                <m:f>
                  <m:fPr>
                    <m:ctrlPr>
                      <w:rPr>
                        <w:rFonts w:ascii="Cambria Math" w:eastAsia="Cambria Math" w:hAnsi="Cambria Math" w:cs="Cambria Math"/>
                        <w:iCs/>
                        <w:sz w:val="10"/>
                        <w:szCs w:val="10"/>
                      </w:rPr>
                    </m:ctrlPr>
                  </m:fPr>
                  <m:num>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QoS violated</m:t>
                        </m:r>
                      </m:sub>
                    </m:sSub>
                  </m:num>
                  <m:den>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t</m:t>
                        </m:r>
                      </m:e>
                      <m:sub>
                        <m:r>
                          <m:rPr>
                            <m:sty m:val="p"/>
                          </m:rPr>
                          <w:rPr>
                            <w:rFonts w:ascii="Cambria Math" w:eastAsia="Cambria Math" w:hAnsi="Cambria Math" w:cs="Cambria Math"/>
                            <w:sz w:val="10"/>
                            <w:szCs w:val="10"/>
                          </w:rPr>
                          <m:t>total</m:t>
                        </m:r>
                      </m:sub>
                    </m:sSub>
                  </m:den>
                </m:f>
              </m:oMath>
            </m:oMathPara>
          </w:p>
        </w:tc>
        <w:tc>
          <w:tcPr>
            <w:tcW w:w="4140" w:type="dxa"/>
            <w:vAlign w:val="center"/>
          </w:tcPr>
          <w:p w14:paraId="58C785B0"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Fraction of time service meets required QoS/SLO standards.</w:t>
            </w:r>
          </w:p>
        </w:tc>
      </w:tr>
      <w:tr w:rsidR="007C2F53" w14:paraId="5607A676" w14:textId="77777777" w:rsidTr="002B3C97">
        <w:trPr>
          <w:cantSplit/>
        </w:trPr>
        <w:tc>
          <w:tcPr>
            <w:tcW w:w="1435" w:type="dxa"/>
            <w:vMerge w:val="restart"/>
            <w:vAlign w:val="center"/>
          </w:tcPr>
          <w:p w14:paraId="073D2B88" w14:textId="77777777" w:rsidR="007C2F53" w:rsidRDefault="007C2F53" w:rsidP="002B3C97">
            <w:pPr>
              <w:spacing w:line="160" w:lineRule="exact"/>
              <w:jc w:val="center"/>
              <w:rPr>
                <w:rFonts w:ascii="Times New Roman" w:eastAsia="Times New Roman" w:hAnsi="Times New Roman"/>
                <w:b/>
                <w:bCs/>
                <w:sz w:val="12"/>
                <w:szCs w:val="12"/>
              </w:rPr>
            </w:pPr>
            <w:r>
              <w:rPr>
                <w:rFonts w:ascii="Times New Roman" w:eastAsia="Times New Roman" w:hAnsi="Times New Roman"/>
                <w:b/>
                <w:bCs/>
                <w:sz w:val="12"/>
                <w:szCs w:val="12"/>
              </w:rPr>
              <w:t>Service Layer - Domain 3: Lifecycle Economics &amp; Reliability Risk</w:t>
            </w:r>
          </w:p>
        </w:tc>
        <w:tc>
          <w:tcPr>
            <w:tcW w:w="2070" w:type="dxa"/>
            <w:vAlign w:val="center"/>
          </w:tcPr>
          <w:p w14:paraId="50BBA4E5"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Total Service Cost (TSC)</w:t>
            </w:r>
          </w:p>
        </w:tc>
        <w:tc>
          <w:tcPr>
            <w:tcW w:w="2880" w:type="dxa"/>
            <w:vAlign w:val="center"/>
          </w:tcPr>
          <w:p w14:paraId="49B1D0A3" w14:textId="73DF955D"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TSC=</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compute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network</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energy</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SRE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failures</m:t>
                    </m:r>
                  </m:sub>
                </m:sSub>
              </m:oMath>
            </m:oMathPara>
          </w:p>
        </w:tc>
        <w:tc>
          <w:tcPr>
            <w:tcW w:w="4140" w:type="dxa"/>
            <w:vAlign w:val="center"/>
          </w:tcPr>
          <w:p w14:paraId="459DE930"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Full economic cost of providing service reliability and performance, including SRE labor, hardware, network, and failure losses.</w:t>
            </w:r>
          </w:p>
        </w:tc>
      </w:tr>
      <w:tr w:rsidR="007C2F53" w14:paraId="4F68E1EC" w14:textId="77777777" w:rsidTr="002B3C97">
        <w:trPr>
          <w:cantSplit/>
        </w:trPr>
        <w:tc>
          <w:tcPr>
            <w:tcW w:w="1435" w:type="dxa"/>
            <w:vMerge/>
            <w:vAlign w:val="center"/>
          </w:tcPr>
          <w:p w14:paraId="7E89D667" w14:textId="77777777" w:rsidR="007C2F53" w:rsidRDefault="007C2F53" w:rsidP="002B3C97">
            <w:pPr>
              <w:spacing w:line="160" w:lineRule="exact"/>
              <w:jc w:val="center"/>
              <w:rPr>
                <w:rFonts w:ascii="Times New Roman" w:eastAsia="Times New Roman" w:hAnsi="Times New Roman"/>
                <w:b/>
                <w:bCs/>
                <w:sz w:val="12"/>
                <w:szCs w:val="12"/>
              </w:rPr>
            </w:pPr>
          </w:p>
        </w:tc>
        <w:tc>
          <w:tcPr>
            <w:tcW w:w="2070" w:type="dxa"/>
            <w:vAlign w:val="center"/>
          </w:tcPr>
          <w:p w14:paraId="08F32FF2" w14:textId="77777777" w:rsidR="007C2F53" w:rsidRPr="005E13C1" w:rsidRDefault="007C2F53" w:rsidP="002B3C97">
            <w:pPr>
              <w:spacing w:line="160" w:lineRule="exact"/>
              <w:jc w:val="center"/>
              <w:rPr>
                <w:rFonts w:ascii="Times New Roman" w:eastAsia="Times New Roman" w:hAnsi="Times New Roman"/>
                <w:sz w:val="12"/>
                <w:szCs w:val="12"/>
              </w:rPr>
            </w:pPr>
            <w:r w:rsidRPr="00B34399">
              <w:rPr>
                <w:rFonts w:ascii="Times New Roman" w:eastAsia="Times New Roman" w:hAnsi="Times New Roman"/>
                <w:sz w:val="12"/>
                <w:szCs w:val="12"/>
              </w:rPr>
              <w:t>GPU Interconnect Oversubscription Ratio</w:t>
            </w:r>
          </w:p>
        </w:tc>
        <w:tc>
          <w:tcPr>
            <w:tcW w:w="2880" w:type="dxa"/>
            <w:vAlign w:val="center"/>
          </w:tcPr>
          <w:p w14:paraId="74831A92" w14:textId="587E7810"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OSR=</m:t>
                </m:r>
                <m:f>
                  <m:fPr>
                    <m:ctrlPr>
                      <w:rPr>
                        <w:rFonts w:ascii="Cambria Math" w:eastAsia="Cambria Math" w:hAnsi="Cambria Math" w:cs="Cambria Math"/>
                        <w:iCs/>
                        <w:sz w:val="10"/>
                        <w:szCs w:val="10"/>
                      </w:rPr>
                    </m:ctrlPr>
                  </m:fPr>
                  <m:num>
                    <m:r>
                      <m:rPr>
                        <m:nor/>
                      </m:rPr>
                      <w:rPr>
                        <w:rFonts w:ascii="Cambria Math" w:eastAsia="Cambria Math" w:hAnsi="Cambria Math" w:cs="Cambria Math"/>
                        <w:iCs/>
                        <w:sz w:val="10"/>
                        <w:szCs w:val="10"/>
                      </w:rPr>
                      <m:t>GPU aggregate BW</m:t>
                    </m:r>
                  </m:num>
                  <m:den>
                    <m:r>
                      <m:rPr>
                        <m:nor/>
                      </m:rPr>
                      <w:rPr>
                        <w:rFonts w:ascii="Cambria Math" w:eastAsia="Cambria Math" w:hAnsi="Cambria Math" w:cs="Cambria Math"/>
                        <w:iCs/>
                        <w:sz w:val="10"/>
                        <w:szCs w:val="10"/>
                      </w:rPr>
                      <m:t>switch uplink BW</m:t>
                    </m:r>
                  </m:den>
                </m:f>
              </m:oMath>
            </m:oMathPara>
          </w:p>
        </w:tc>
        <w:tc>
          <w:tcPr>
            <w:tcW w:w="4140" w:type="dxa"/>
            <w:vAlign w:val="center"/>
          </w:tcPr>
          <w:p w14:paraId="649F5410"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heme="minorEastAsia" w:hAnsi="Times New Roman" w:hint="eastAsia"/>
                <w:sz w:val="12"/>
                <w:szCs w:val="12"/>
              </w:rPr>
              <w:t>M</w:t>
            </w:r>
            <w:r w:rsidRPr="00B34399">
              <w:rPr>
                <w:rFonts w:ascii="Times New Roman" w:eastAsia="Times New Roman" w:hAnsi="Times New Roman"/>
                <w:sz w:val="12"/>
                <w:szCs w:val="12"/>
              </w:rPr>
              <w:t>easures how heavily the GPU-to-switch or GPU-to-GPU network bandwidth is oversubscribed relative to the aggregate bandwidth required by training workloads.</w:t>
            </w:r>
          </w:p>
        </w:tc>
      </w:tr>
      <w:tr w:rsidR="007C2F53" w14:paraId="74EB50CF" w14:textId="77777777" w:rsidTr="002B3C97">
        <w:trPr>
          <w:cantSplit/>
        </w:trPr>
        <w:tc>
          <w:tcPr>
            <w:tcW w:w="1435" w:type="dxa"/>
            <w:vMerge/>
            <w:vAlign w:val="center"/>
          </w:tcPr>
          <w:p w14:paraId="05AFFB19"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4B4091D3"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SLA Penalty Cost</w:t>
            </w:r>
          </w:p>
        </w:tc>
        <w:tc>
          <w:tcPr>
            <w:tcW w:w="2880" w:type="dxa"/>
            <w:vAlign w:val="center"/>
          </w:tcPr>
          <w:p w14:paraId="072717C9" w14:textId="1DAF4EB5" w:rsidR="007C2F53" w:rsidRPr="002B3C97" w:rsidRDefault="00000000" w:rsidP="002B3C97">
            <w:pPr>
              <w:spacing w:line="240" w:lineRule="atLeast"/>
              <w:jc w:val="center"/>
              <w:rPr>
                <w:rFonts w:ascii="Cambria Math" w:eastAsia="Cambria Math" w:hAnsi="Cambria Math" w:cs="Cambria Math"/>
                <w:iCs/>
                <w:sz w:val="10"/>
                <w:szCs w:val="10"/>
              </w:rPr>
            </w:pPr>
            <m:oMathPara>
              <m:oMath>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SLA</m:t>
                    </m:r>
                  </m:sub>
                </m:sSub>
                <m:r>
                  <m:rPr>
                    <m:sty m:val="p"/>
                  </m:rPr>
                  <w:rPr>
                    <w:rFonts w:ascii="Cambria Math" w:eastAsia="Cambria Math" w:hAnsi="Cambria Math" w:cs="Cambria Math"/>
                    <w:sz w:val="10"/>
                    <w:szCs w:val="10"/>
                  </w:rPr>
                  <m:t>=</m:t>
                </m:r>
                <m:nary>
                  <m:naryPr>
                    <m:chr m:val="∑"/>
                    <m:ctrlPr>
                      <w:rPr>
                        <w:rFonts w:ascii="Cambria Math" w:eastAsia="Cambria Math" w:hAnsi="Cambria Math" w:cs="Cambria Math"/>
                        <w:iCs/>
                        <w:sz w:val="10"/>
                        <w:szCs w:val="10"/>
                      </w:rPr>
                    </m:ctrlPr>
                  </m:naryPr>
                  <m:sub>
                    <m:r>
                      <m:rPr>
                        <m:sty m:val="p"/>
                      </m:rPr>
                      <w:rPr>
                        <w:rFonts w:ascii="Cambria Math" w:eastAsia="Cambria Math" w:hAnsi="Cambria Math" w:cs="Cambria Math"/>
                        <w:sz w:val="10"/>
                        <w:szCs w:val="10"/>
                      </w:rPr>
                      <m:t>i</m:t>
                    </m:r>
                  </m:sub>
                  <m:sup/>
                  <m:e>
                    <m:d>
                      <m:dPr>
                        <m:ctrlPr>
                          <w:rPr>
                            <w:rFonts w:ascii="Cambria Math" w:eastAsia="Cambria Math" w:hAnsi="Cambria Math" w:cs="Cambria Math"/>
                            <w:iCs/>
                            <w:sz w:val="10"/>
                            <w:szCs w:val="10"/>
                          </w:rPr>
                        </m:ctrlPr>
                      </m:dPr>
                      <m:e>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i</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P</m:t>
                            </m:r>
                          </m:e>
                          <m:sub>
                            <m:r>
                              <m:rPr>
                                <m:sty m:val="p"/>
                              </m:rPr>
                              <w:rPr>
                                <w:rFonts w:ascii="Cambria Math" w:eastAsia="Cambria Math" w:hAnsi="Cambria Math" w:cs="Cambria Math"/>
                                <w:sz w:val="10"/>
                                <w:szCs w:val="10"/>
                              </w:rPr>
                              <m:t>penalty</m:t>
                            </m:r>
                          </m:sub>
                        </m:sSub>
                      </m:e>
                    </m:d>
                  </m:e>
                </m:nary>
              </m:oMath>
            </m:oMathPara>
          </w:p>
        </w:tc>
        <w:tc>
          <w:tcPr>
            <w:tcW w:w="4140" w:type="dxa"/>
            <w:vAlign w:val="center"/>
          </w:tcPr>
          <w:p w14:paraId="01C81C1E" w14:textId="77777777" w:rsidR="007C2F53" w:rsidRDefault="007C2F53" w:rsidP="002B3C97">
            <w:pPr>
              <w:spacing w:line="160" w:lineRule="exact"/>
              <w:jc w:val="left"/>
              <w:rPr>
                <w:rFonts w:ascii="Times New Roman" w:eastAsia="Times New Roman" w:hAnsi="Times New Roman"/>
                <w:sz w:val="12"/>
                <w:szCs w:val="12"/>
              </w:rPr>
            </w:pPr>
            <w:proofErr w:type="gramStart"/>
            <w:r>
              <w:rPr>
                <w:rFonts w:ascii="Times New Roman" w:eastAsia="Times New Roman" w:hAnsi="Times New Roman"/>
                <w:sz w:val="12"/>
                <w:szCs w:val="12"/>
              </w:rPr>
              <w:t>Cost</w:t>
            </w:r>
            <w:proofErr w:type="gramEnd"/>
            <w:r>
              <w:rPr>
                <w:rFonts w:ascii="Times New Roman" w:eastAsia="Times New Roman" w:hAnsi="Times New Roman"/>
                <w:sz w:val="12"/>
                <w:szCs w:val="12"/>
              </w:rPr>
              <w:t xml:space="preserve"> incurred when service availability breaches contractual SLAs.</w:t>
            </w:r>
          </w:p>
        </w:tc>
      </w:tr>
      <w:tr w:rsidR="007C2F53" w:rsidRPr="00BC5956" w14:paraId="417A2C5C" w14:textId="77777777" w:rsidTr="002B3C97">
        <w:trPr>
          <w:cantSplit/>
        </w:trPr>
        <w:tc>
          <w:tcPr>
            <w:tcW w:w="1435" w:type="dxa"/>
            <w:vMerge/>
            <w:vAlign w:val="center"/>
          </w:tcPr>
          <w:p w14:paraId="028811F6"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925BF0B" w14:textId="77777777" w:rsidR="007C2F53" w:rsidRPr="005E13C1" w:rsidRDefault="007C2F53" w:rsidP="002B3C97">
            <w:pPr>
              <w:spacing w:line="160" w:lineRule="exact"/>
              <w:jc w:val="center"/>
              <w:rPr>
                <w:rFonts w:ascii="Times New Roman" w:eastAsia="Times New Roman" w:hAnsi="Times New Roman"/>
                <w:sz w:val="12"/>
                <w:szCs w:val="12"/>
              </w:rPr>
            </w:pPr>
            <w:r w:rsidRPr="00BC5956">
              <w:rPr>
                <w:rFonts w:ascii="Times New Roman" w:eastAsia="Times New Roman" w:hAnsi="Times New Roman"/>
                <w:sz w:val="12"/>
                <w:szCs w:val="12"/>
              </w:rPr>
              <w:t>Cluster Utilization Rate (CUR)</w:t>
            </w:r>
          </w:p>
        </w:tc>
        <w:tc>
          <w:tcPr>
            <w:tcW w:w="2880" w:type="dxa"/>
            <w:vAlign w:val="center"/>
          </w:tcPr>
          <w:p w14:paraId="781ED712" w14:textId="60DD7133"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b"/>
                  </m:rPr>
                  <w:rPr>
                    <w:rFonts w:ascii="Cambria Math" w:eastAsia="Cambria Math" w:hAnsi="Cambria Math" w:cs="Cambria Math"/>
                    <w:sz w:val="10"/>
                    <w:szCs w:val="10"/>
                  </w:rPr>
                  <m:t>CUR</m:t>
                </m:r>
                <m:r>
                  <m:rPr>
                    <m:sty m:val="p"/>
                  </m:rPr>
                  <w:rPr>
                    <w:rFonts w:ascii="Cambria Math" w:eastAsia="Cambria Math" w:hAnsi="Cambria Math" w:cs="Cambria Math"/>
                    <w:sz w:val="10"/>
                    <w:szCs w:val="10"/>
                  </w:rPr>
                  <m:t>=</m:t>
                </m:r>
                <m:f>
                  <m:fPr>
                    <m:ctrlPr>
                      <w:rPr>
                        <w:rFonts w:ascii="Cambria Math" w:eastAsia="Cambria Math" w:hAnsi="Cambria Math" w:cs="Cambria Math"/>
                        <w:iCs/>
                        <w:sz w:val="10"/>
                        <w:szCs w:val="10"/>
                      </w:rPr>
                    </m:ctrlPr>
                  </m:fPr>
                  <m:num>
                    <m:r>
                      <m:rPr>
                        <m:nor/>
                      </m:rPr>
                      <w:rPr>
                        <w:rFonts w:ascii="Cambria Math" w:eastAsia="Cambria Math" w:hAnsi="Cambria Math" w:cs="Cambria Math"/>
                        <w:iCs/>
                        <w:sz w:val="10"/>
                        <w:szCs w:val="10"/>
                      </w:rPr>
                      <m:t>Active Compute Time</m:t>
                    </m:r>
                  </m:num>
                  <m:den>
                    <m:r>
                      <m:rPr>
                        <m:nor/>
                      </m:rPr>
                      <w:rPr>
                        <w:rFonts w:ascii="Cambria Math" w:eastAsia="Cambria Math" w:hAnsi="Cambria Math" w:cs="Cambria Math"/>
                        <w:iCs/>
                        <w:sz w:val="10"/>
                        <w:szCs w:val="10"/>
                      </w:rPr>
                      <m:t>Total Provisioned GPU Time</m:t>
                    </m:r>
                  </m:den>
                </m:f>
              </m:oMath>
            </m:oMathPara>
          </w:p>
        </w:tc>
        <w:tc>
          <w:tcPr>
            <w:tcW w:w="4140" w:type="dxa"/>
            <w:vAlign w:val="center"/>
          </w:tcPr>
          <w:p w14:paraId="522DC8B8" w14:textId="77777777" w:rsidR="007C2F53" w:rsidRPr="00BC5956" w:rsidRDefault="007C2F53" w:rsidP="002B3C97">
            <w:pPr>
              <w:spacing w:line="160" w:lineRule="exact"/>
              <w:jc w:val="left"/>
              <w:rPr>
                <w:rFonts w:ascii="Times New Roman" w:eastAsiaTheme="minorEastAsia" w:hAnsi="Times New Roman"/>
                <w:sz w:val="12"/>
                <w:szCs w:val="12"/>
              </w:rPr>
            </w:pPr>
            <w:r>
              <w:rPr>
                <w:rFonts w:asciiTheme="minorEastAsia" w:eastAsiaTheme="minorEastAsia" w:hAnsiTheme="minorEastAsia" w:hint="eastAsia"/>
                <w:sz w:val="12"/>
                <w:szCs w:val="12"/>
              </w:rPr>
              <w:t>M</w:t>
            </w:r>
            <w:r w:rsidRPr="00BC5956">
              <w:rPr>
                <w:rFonts w:ascii="Times New Roman" w:eastAsia="Times New Roman" w:hAnsi="Times New Roman"/>
                <w:sz w:val="12"/>
                <w:szCs w:val="12"/>
              </w:rPr>
              <w:t>easures the fraction of total available accelerator capacity actively performing useful computation over time</w:t>
            </w:r>
            <w:r>
              <w:rPr>
                <w:rFonts w:ascii="Times New Roman" w:eastAsiaTheme="minorEastAsia" w:hAnsi="Times New Roman" w:hint="eastAsia"/>
                <w:sz w:val="12"/>
                <w:szCs w:val="12"/>
              </w:rPr>
              <w:t xml:space="preserve">, determining GPU amortization </w:t>
            </w:r>
            <w:r>
              <w:rPr>
                <w:rFonts w:ascii="Times New Roman" w:eastAsiaTheme="minorEastAsia" w:hAnsi="Times New Roman"/>
                <w:sz w:val="12"/>
                <w:szCs w:val="12"/>
              </w:rPr>
              <w:t>efficiency</w:t>
            </w:r>
            <w:r>
              <w:rPr>
                <w:rFonts w:ascii="Times New Roman" w:eastAsiaTheme="minorEastAsia" w:hAnsi="Times New Roman" w:hint="eastAsia"/>
                <w:sz w:val="12"/>
                <w:szCs w:val="12"/>
              </w:rPr>
              <w:t xml:space="preserve">. </w:t>
            </w:r>
          </w:p>
        </w:tc>
      </w:tr>
      <w:tr w:rsidR="007C2F53" w14:paraId="7EBE3573" w14:textId="77777777" w:rsidTr="002B3C97">
        <w:trPr>
          <w:cantSplit/>
        </w:trPr>
        <w:tc>
          <w:tcPr>
            <w:tcW w:w="1435" w:type="dxa"/>
            <w:vMerge/>
            <w:vAlign w:val="center"/>
          </w:tcPr>
          <w:p w14:paraId="0704A662"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586FB2B9" w14:textId="77777777" w:rsidR="007C2F53" w:rsidRPr="00BC5956" w:rsidRDefault="007C2F53" w:rsidP="002B3C97">
            <w:pPr>
              <w:spacing w:line="160" w:lineRule="exact"/>
              <w:jc w:val="center"/>
              <w:rPr>
                <w:rFonts w:ascii="Times New Roman" w:eastAsia="Times New Roman" w:hAnsi="Times New Roman"/>
                <w:sz w:val="12"/>
                <w:szCs w:val="12"/>
              </w:rPr>
            </w:pPr>
            <w:r w:rsidRPr="00A87F0E">
              <w:rPr>
                <w:rFonts w:ascii="Times New Roman" w:eastAsia="Times New Roman" w:hAnsi="Times New Roman"/>
                <w:sz w:val="12"/>
                <w:szCs w:val="12"/>
              </w:rPr>
              <w:t>Token Throughput per Watt (TPW)</w:t>
            </w:r>
          </w:p>
        </w:tc>
        <w:tc>
          <w:tcPr>
            <w:tcW w:w="2880" w:type="dxa"/>
            <w:vAlign w:val="center"/>
          </w:tcPr>
          <w:p w14:paraId="50285B17" w14:textId="746AEB8A"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b"/>
                  </m:rPr>
                  <w:rPr>
                    <w:rFonts w:ascii="Cambria Math" w:eastAsia="Cambria Math" w:hAnsi="Cambria Math" w:cs="Cambria Math"/>
                    <w:sz w:val="10"/>
                    <w:szCs w:val="10"/>
                  </w:rPr>
                  <m:t>T</m:t>
                </m:r>
                <m:r>
                  <m:rPr>
                    <m:sty m:val="p"/>
                  </m:rPr>
                  <w:rPr>
                    <w:rFonts w:ascii="Cambria Math" w:eastAsia="Cambria Math" w:hAnsi="Cambria Math" w:cs="Cambria Math"/>
                    <w:sz w:val="10"/>
                    <w:szCs w:val="10"/>
                  </w:rPr>
                  <m:t>PW=</m:t>
                </m:r>
                <m:f>
                  <m:fPr>
                    <m:ctrlPr>
                      <w:rPr>
                        <w:rFonts w:ascii="Cambria Math" w:eastAsia="Cambria Math" w:hAnsi="Cambria Math" w:cs="Cambria Math"/>
                        <w:iCs/>
                        <w:sz w:val="10"/>
                        <w:szCs w:val="10"/>
                      </w:rPr>
                    </m:ctrlPr>
                  </m:fPr>
                  <m:num>
                    <m:r>
                      <m:rPr>
                        <m:nor/>
                      </m:rPr>
                      <w:rPr>
                        <w:rFonts w:ascii="Cambria Math" w:eastAsia="Cambria Math" w:hAnsi="Cambria Math" w:cs="Cambria Math"/>
                        <w:iCs/>
                        <w:sz w:val="10"/>
                        <w:szCs w:val="10"/>
                      </w:rPr>
                      <m:t>Tokens Processed</m:t>
                    </m:r>
                  </m:num>
                  <m:den>
                    <m:r>
                      <m:rPr>
                        <m:nor/>
                      </m:rPr>
                      <w:rPr>
                        <w:rFonts w:ascii="Cambria Math" w:eastAsia="Cambria Math" w:hAnsi="Cambria Math" w:cs="Cambria Math"/>
                        <w:iCs/>
                        <w:sz w:val="10"/>
                        <w:szCs w:val="10"/>
                      </w:rPr>
                      <m:t>Energy (W\</m:t>
                    </m:r>
                    <w:proofErr w:type="spellStart"/>
                    <m:r>
                      <m:rPr>
                        <m:nor/>
                      </m:rPr>
                      <w:rPr>
                        <w:rFonts w:ascii="Cambria Math" w:eastAsia="Cambria Math" w:hAnsi="Cambria Math" w:cs="Cambria Math"/>
                        <w:iCs/>
                        <w:sz w:val="10"/>
                        <w:szCs w:val="10"/>
                      </w:rPr>
                      <m:t>cdotps</m:t>
                    </m:r>
                    <w:proofErr w:type="spellEnd"/>
                    <m:r>
                      <m:rPr>
                        <m:nor/>
                      </m:rPr>
                      <w:rPr>
                        <w:rFonts w:ascii="Cambria Math" w:eastAsia="Cambria Math" w:hAnsi="Cambria Math" w:cs="Cambria Math"/>
                        <w:iCs/>
                        <w:sz w:val="10"/>
                        <w:szCs w:val="10"/>
                      </w:rPr>
                      <m:t>)</m:t>
                    </m:r>
                  </m:den>
                </m:f>
              </m:oMath>
            </m:oMathPara>
          </w:p>
        </w:tc>
        <w:tc>
          <w:tcPr>
            <w:tcW w:w="4140" w:type="dxa"/>
            <w:vAlign w:val="center"/>
          </w:tcPr>
          <w:p w14:paraId="373B732C" w14:textId="77777777" w:rsidR="007C2F53" w:rsidRDefault="007C2F53" w:rsidP="002B3C97">
            <w:pPr>
              <w:spacing w:line="160" w:lineRule="exact"/>
              <w:jc w:val="left"/>
              <w:rPr>
                <w:rFonts w:asciiTheme="minorEastAsia" w:eastAsiaTheme="minorEastAsia" w:hAnsiTheme="minorEastAsia"/>
                <w:sz w:val="12"/>
                <w:szCs w:val="12"/>
              </w:rPr>
            </w:pPr>
            <w:r w:rsidRPr="00A87F0E">
              <w:rPr>
                <w:rFonts w:ascii="Times New Roman" w:eastAsia="Times New Roman" w:hAnsi="Times New Roman"/>
                <w:sz w:val="12"/>
                <w:szCs w:val="12"/>
              </w:rPr>
              <w:t>Energy efficiency metric for inference (and sometimes training).</w:t>
            </w:r>
            <w:r w:rsidRPr="00A87F0E">
              <w:rPr>
                <w:rFonts w:ascii="Times New Roman" w:eastAsia="Times New Roman" w:hAnsi="Times New Roman" w:hint="eastAsia"/>
                <w:sz w:val="12"/>
                <w:szCs w:val="12"/>
              </w:rPr>
              <w:t xml:space="preserve"> Fits better for LLM inference than FLOP/W. Key for inference scaling, cost-per-token, and carbon footprint. </w:t>
            </w:r>
          </w:p>
        </w:tc>
      </w:tr>
      <w:tr w:rsidR="007C2F53" w14:paraId="60EE11C1" w14:textId="77777777" w:rsidTr="002B3C97">
        <w:trPr>
          <w:cantSplit/>
        </w:trPr>
        <w:tc>
          <w:tcPr>
            <w:tcW w:w="1435" w:type="dxa"/>
            <w:vMerge/>
            <w:vAlign w:val="center"/>
          </w:tcPr>
          <w:p w14:paraId="62156E24"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6B2F5489"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Expected Loss from MTBF/MTTR Mismatch (ALE)</w:t>
            </w:r>
          </w:p>
        </w:tc>
        <w:tc>
          <w:tcPr>
            <w:tcW w:w="2880" w:type="dxa"/>
            <w:vAlign w:val="center"/>
          </w:tcPr>
          <w:p w14:paraId="11CAF678" w14:textId="6C6D09D5"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ALE=</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λ</m:t>
                    </m:r>
                  </m:e>
                  <m:sub>
                    <m:r>
                      <m:rPr>
                        <m:sty m:val="p"/>
                      </m:rPr>
                      <w:rPr>
                        <w:rFonts w:ascii="Cambria Math" w:eastAsia="Cambria Math" w:hAnsi="Cambria Math" w:cs="Cambria Math"/>
                        <w:sz w:val="10"/>
                        <w:szCs w:val="10"/>
                      </w:rPr>
                      <m:t>failure</m:t>
                    </m:r>
                  </m:sub>
                </m:sSub>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L</m:t>
                    </m:r>
                  </m:e>
                  <m:sub>
                    <m:r>
                      <m:rPr>
                        <m:sty m:val="p"/>
                      </m:rPr>
                      <w:rPr>
                        <w:rFonts w:ascii="Cambria Math" w:eastAsia="Cambria Math" w:hAnsi="Cambria Math" w:cs="Cambria Math"/>
                        <w:sz w:val="10"/>
                        <w:szCs w:val="10"/>
                      </w:rPr>
                      <m:t>event</m:t>
                    </m:r>
                  </m:sub>
                </m:sSub>
              </m:oMath>
            </m:oMathPara>
          </w:p>
        </w:tc>
        <w:tc>
          <w:tcPr>
            <w:tcW w:w="4140" w:type="dxa"/>
            <w:vAlign w:val="center"/>
          </w:tcPr>
          <w:p w14:paraId="325E263F"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Expected annual financial loss due to reliability shortfalls (hardware, network, or service components).</w:t>
            </w:r>
          </w:p>
        </w:tc>
      </w:tr>
      <w:tr w:rsidR="007C2F53" w14:paraId="2F3722E7" w14:textId="77777777" w:rsidTr="002B3C97">
        <w:trPr>
          <w:cantSplit/>
        </w:trPr>
        <w:tc>
          <w:tcPr>
            <w:tcW w:w="1435" w:type="dxa"/>
            <w:vMerge/>
            <w:vAlign w:val="center"/>
          </w:tcPr>
          <w:p w14:paraId="282C1545"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3E38D115"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Operational Cost Elasticity</w:t>
            </w:r>
          </w:p>
        </w:tc>
        <w:tc>
          <w:tcPr>
            <w:tcW w:w="2880" w:type="dxa"/>
            <w:vAlign w:val="center"/>
          </w:tcPr>
          <w:p w14:paraId="24B9E461" w14:textId="7E7258F0"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OCE=</m:t>
                </m:r>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m:t>
                    </m:r>
                    <m:sSub>
                      <m:sSubPr>
                        <m:ctrlPr>
                          <w:rPr>
                            <w:rFonts w:ascii="Cambria Math" w:eastAsia="Cambria Math" w:hAnsi="Cambria Math" w:cs="Cambria Math"/>
                            <w:iCs/>
                            <w:sz w:val="10"/>
                            <w:szCs w:val="10"/>
                          </w:rPr>
                        </m:ctrlPr>
                      </m:sSubPr>
                      <m:e>
                        <m:r>
                          <m:rPr>
                            <m:sty m:val="p"/>
                          </m:rPr>
                          <w:rPr>
                            <w:rFonts w:ascii="Cambria Math" w:eastAsia="Cambria Math" w:hAnsi="Cambria Math" w:cs="Cambria Math"/>
                            <w:sz w:val="10"/>
                            <w:szCs w:val="10"/>
                          </w:rPr>
                          <m:t>C</m:t>
                        </m:r>
                      </m:e>
                      <m:sub>
                        <m:r>
                          <m:rPr>
                            <m:sty m:val="p"/>
                          </m:rPr>
                          <w:rPr>
                            <w:rFonts w:ascii="Cambria Math" w:eastAsia="Cambria Math" w:hAnsi="Cambria Math" w:cs="Cambria Math"/>
                            <w:sz w:val="10"/>
                            <w:szCs w:val="10"/>
                          </w:rPr>
                          <m:t>service</m:t>
                        </m:r>
                      </m:sub>
                    </m:sSub>
                  </m:num>
                  <m:den>
                    <m:r>
                      <m:rPr>
                        <m:sty m:val="p"/>
                      </m:rPr>
                      <w:rPr>
                        <w:rFonts w:ascii="Cambria Math" w:eastAsia="Cambria Math" w:hAnsi="Cambria Math" w:cs="Cambria Math"/>
                        <w:sz w:val="10"/>
                        <w:szCs w:val="10"/>
                      </w:rPr>
                      <m:t>∂Q</m:t>
                    </m:r>
                  </m:den>
                </m:f>
              </m:oMath>
            </m:oMathPara>
          </w:p>
        </w:tc>
        <w:tc>
          <w:tcPr>
            <w:tcW w:w="4140" w:type="dxa"/>
            <w:vAlign w:val="center"/>
          </w:tcPr>
          <w:p w14:paraId="0A7B173D"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Additional service </w:t>
            </w:r>
            <w:proofErr w:type="gramStart"/>
            <w:r>
              <w:rPr>
                <w:rFonts w:ascii="Times New Roman" w:eastAsia="Times New Roman" w:hAnsi="Times New Roman"/>
                <w:sz w:val="12"/>
                <w:szCs w:val="12"/>
              </w:rPr>
              <w:t>cost</w:t>
            </w:r>
            <w:proofErr w:type="gramEnd"/>
            <w:r>
              <w:rPr>
                <w:rFonts w:ascii="Times New Roman" w:eastAsia="Times New Roman" w:hAnsi="Times New Roman"/>
                <w:sz w:val="12"/>
                <w:szCs w:val="12"/>
              </w:rPr>
              <w:t xml:space="preserve"> incurred per incremental unit of workload (queries, tokens, users).</w:t>
            </w:r>
          </w:p>
        </w:tc>
      </w:tr>
      <w:tr w:rsidR="007C2F53" w14:paraId="74D31171" w14:textId="77777777" w:rsidTr="002B3C97">
        <w:trPr>
          <w:cantSplit/>
        </w:trPr>
        <w:tc>
          <w:tcPr>
            <w:tcW w:w="1435" w:type="dxa"/>
            <w:vMerge/>
            <w:vAlign w:val="center"/>
          </w:tcPr>
          <w:p w14:paraId="7142C40B" w14:textId="77777777" w:rsidR="007C2F53" w:rsidRDefault="007C2F53" w:rsidP="002B3C97">
            <w:pPr>
              <w:pBdr>
                <w:top w:val="nil"/>
                <w:left w:val="nil"/>
                <w:bottom w:val="nil"/>
                <w:right w:val="nil"/>
                <w:between w:val="nil"/>
              </w:pBdr>
              <w:spacing w:line="160" w:lineRule="exact"/>
              <w:jc w:val="left"/>
              <w:rPr>
                <w:rFonts w:ascii="Times New Roman" w:eastAsia="Times New Roman" w:hAnsi="Times New Roman"/>
                <w:sz w:val="12"/>
                <w:szCs w:val="12"/>
              </w:rPr>
            </w:pPr>
          </w:p>
        </w:tc>
        <w:tc>
          <w:tcPr>
            <w:tcW w:w="2070" w:type="dxa"/>
            <w:vAlign w:val="center"/>
          </w:tcPr>
          <w:p w14:paraId="2967C8D1" w14:textId="77777777" w:rsidR="007C2F53" w:rsidRPr="005E13C1" w:rsidRDefault="007C2F53" w:rsidP="002B3C97">
            <w:pPr>
              <w:spacing w:line="160" w:lineRule="exact"/>
              <w:jc w:val="center"/>
              <w:rPr>
                <w:rFonts w:ascii="Times New Roman" w:eastAsia="Times New Roman" w:hAnsi="Times New Roman"/>
                <w:sz w:val="12"/>
                <w:szCs w:val="12"/>
              </w:rPr>
            </w:pPr>
            <w:r w:rsidRPr="005E13C1">
              <w:rPr>
                <w:rFonts w:ascii="Times New Roman" w:eastAsia="Times New Roman" w:hAnsi="Times New Roman"/>
                <w:sz w:val="12"/>
                <w:szCs w:val="12"/>
              </w:rPr>
              <w:t>Service Lifetime Value (SLV)</w:t>
            </w:r>
          </w:p>
        </w:tc>
        <w:tc>
          <w:tcPr>
            <w:tcW w:w="2880" w:type="dxa"/>
            <w:vAlign w:val="center"/>
          </w:tcPr>
          <w:p w14:paraId="0D8FC648" w14:textId="2C61DA4F" w:rsidR="007C2F53" w:rsidRPr="002B3C97" w:rsidRDefault="002B3C97" w:rsidP="002B3C97">
            <w:pPr>
              <w:spacing w:line="240" w:lineRule="atLeast"/>
              <w:jc w:val="center"/>
              <w:rPr>
                <w:rFonts w:ascii="Cambria Math" w:eastAsia="Cambria Math" w:hAnsi="Cambria Math" w:cs="Cambria Math"/>
                <w:iCs/>
                <w:sz w:val="10"/>
                <w:szCs w:val="10"/>
              </w:rPr>
            </w:pPr>
            <m:oMathPara>
              <m:oMath>
                <m:r>
                  <m:rPr>
                    <m:sty m:val="p"/>
                  </m:rPr>
                  <w:rPr>
                    <w:rFonts w:ascii="Cambria Math" w:eastAsia="Cambria Math" w:hAnsi="Cambria Math" w:cs="Cambria Math"/>
                    <w:sz w:val="10"/>
                    <w:szCs w:val="10"/>
                  </w:rPr>
                  <m:t>SLV=</m:t>
                </m:r>
                <m:nary>
                  <m:naryPr>
                    <m:chr m:val="∑"/>
                    <m:ctrlPr>
                      <w:rPr>
                        <w:rFonts w:ascii="Cambria Math" w:eastAsia="Cambria Math" w:hAnsi="Cambria Math" w:cs="Cambria Math"/>
                        <w:iCs/>
                        <w:sz w:val="10"/>
                        <w:szCs w:val="10"/>
                      </w:rPr>
                    </m:ctrlPr>
                  </m:naryPr>
                  <m:sub>
                    <m:r>
                      <m:rPr>
                        <m:sty m:val="p"/>
                      </m:rPr>
                      <w:rPr>
                        <w:rFonts w:ascii="Cambria Math" w:eastAsia="Cambria Math" w:hAnsi="Cambria Math" w:cs="Cambria Math"/>
                        <w:sz w:val="10"/>
                        <w:szCs w:val="10"/>
                      </w:rPr>
                      <m:t>t=1</m:t>
                    </m:r>
                  </m:sub>
                  <m:sup>
                    <m:r>
                      <m:rPr>
                        <m:sty m:val="p"/>
                      </m:rPr>
                      <w:rPr>
                        <w:rFonts w:ascii="Cambria Math" w:eastAsia="Cambria Math" w:hAnsi="Cambria Math" w:cs="Cambria Math"/>
                        <w:sz w:val="10"/>
                        <w:szCs w:val="10"/>
                      </w:rPr>
                      <m:t>T</m:t>
                    </m:r>
                  </m:sup>
                  <m:e>
                    <m:f>
                      <m:fPr>
                        <m:ctrlPr>
                          <w:rPr>
                            <w:rFonts w:ascii="Cambria Math" w:eastAsia="Cambria Math" w:hAnsi="Cambria Math" w:cs="Cambria Math"/>
                            <w:iCs/>
                            <w:sz w:val="10"/>
                            <w:szCs w:val="10"/>
                          </w:rPr>
                        </m:ctrlPr>
                      </m:fPr>
                      <m:num>
                        <m:r>
                          <m:rPr>
                            <m:sty m:val="p"/>
                          </m:rPr>
                          <w:rPr>
                            <w:rFonts w:ascii="Cambria Math" w:eastAsia="Cambria Math" w:hAnsi="Cambria Math" w:cs="Cambria Math"/>
                            <w:sz w:val="10"/>
                            <w:szCs w:val="10"/>
                          </w:rPr>
                          <m:t>Revenue(t)-Cost(t)</m:t>
                        </m:r>
                      </m:num>
                      <m:den>
                        <m:r>
                          <m:rPr>
                            <m:sty m:val="p"/>
                          </m:rPr>
                          <w:rPr>
                            <w:rFonts w:ascii="Cambria Math" w:eastAsia="Cambria Math" w:hAnsi="Cambria Math" w:cs="Cambria Math"/>
                            <w:sz w:val="10"/>
                            <w:szCs w:val="10"/>
                          </w:rPr>
                          <m:t>(r</m:t>
                        </m:r>
                        <m:sSup>
                          <m:sSupPr>
                            <m:ctrlPr>
                              <w:rPr>
                                <w:rFonts w:ascii="Cambria Math" w:eastAsia="Cambria Math" w:hAnsi="Cambria Math" w:cs="Cambria Math"/>
                                <w:iCs/>
                                <w:sz w:val="10"/>
                                <w:szCs w:val="10"/>
                              </w:rPr>
                            </m:ctrlPr>
                          </m:sSupPr>
                          <m:e>
                            <m:r>
                              <m:rPr>
                                <m:sty m:val="p"/>
                              </m:rPr>
                              <w:rPr>
                                <w:rFonts w:ascii="Cambria Math" w:eastAsia="Cambria Math" w:hAnsi="Cambria Math" w:cs="Cambria Math"/>
                                <w:sz w:val="10"/>
                                <w:szCs w:val="10"/>
                              </w:rPr>
                              <m:t>)</m:t>
                            </m:r>
                          </m:e>
                          <m:sup>
                            <m:r>
                              <m:rPr>
                                <m:sty m:val="p"/>
                              </m:rPr>
                              <w:rPr>
                                <w:rFonts w:ascii="Cambria Math" w:eastAsia="Cambria Math" w:hAnsi="Cambria Math" w:cs="Cambria Math"/>
                                <w:sz w:val="10"/>
                                <w:szCs w:val="10"/>
                              </w:rPr>
                              <m:t>t</m:t>
                            </m:r>
                          </m:sup>
                        </m:sSup>
                      </m:den>
                    </m:f>
                  </m:e>
                </m:nary>
              </m:oMath>
            </m:oMathPara>
          </w:p>
        </w:tc>
        <w:tc>
          <w:tcPr>
            <w:tcW w:w="4140" w:type="dxa"/>
            <w:vAlign w:val="center"/>
          </w:tcPr>
          <w:p w14:paraId="5FB66F27" w14:textId="77777777" w:rsidR="007C2F53" w:rsidRDefault="007C2F53" w:rsidP="002B3C97">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Net </w:t>
            </w:r>
            <w:proofErr w:type="gramStart"/>
            <w:r>
              <w:rPr>
                <w:rFonts w:ascii="Times New Roman" w:eastAsia="Times New Roman" w:hAnsi="Times New Roman"/>
                <w:sz w:val="12"/>
                <w:szCs w:val="12"/>
              </w:rPr>
              <w:t>present</w:t>
            </w:r>
            <w:proofErr w:type="gramEnd"/>
            <w:r>
              <w:rPr>
                <w:rFonts w:ascii="Times New Roman" w:eastAsia="Times New Roman" w:hAnsi="Times New Roman"/>
                <w:sz w:val="12"/>
                <w:szCs w:val="12"/>
              </w:rPr>
              <w:t xml:space="preserve"> value of operating a service over its lifetime.</w:t>
            </w:r>
          </w:p>
        </w:tc>
      </w:tr>
    </w:tbl>
    <w:p w14:paraId="605119EE" w14:textId="77777777" w:rsidR="007C2F53" w:rsidRPr="00770120" w:rsidRDefault="007C2F53" w:rsidP="007C2F53">
      <w:pPr>
        <w:pStyle w:val="MDPI31text"/>
        <w:spacing w:line="280" w:lineRule="exact"/>
        <w:rPr>
          <w:lang w:val="en"/>
        </w:rPr>
      </w:pPr>
      <w:r w:rsidRPr="00770120">
        <w:rPr>
          <w:lang w:val="en"/>
        </w:rPr>
        <w:t xml:space="preserve">Notes: This table consolidates all metrics defined across 6x3 taxonomy into a single, unified reference spanning the full six-layer, three-domain analytical framework. Metrics include physical, thermal, compute-level, networking, ML execution, reliability, and economic indicators used throughout the paper’s propagation-graph and cross-layer analysis. Each entry preserves the original terminology used in Table 3 while providing a standardized mathematical formulation and concise interpretation for reproducibility. Metrics belonging to the </w:t>
      </w:r>
      <w:proofErr w:type="spellStart"/>
      <w:r>
        <w:rPr>
          <w:rFonts w:eastAsiaTheme="minorEastAsia" w:hint="eastAsia"/>
          <w:lang w:val="en" w:eastAsia="zh-CN"/>
        </w:rPr>
        <w:t>x</w:t>
      </w:r>
      <w:r w:rsidRPr="00770120">
        <w:rPr>
          <w:lang w:val="en"/>
        </w:rPr>
        <w:t>UE</w:t>
      </w:r>
      <w:proofErr w:type="spellEnd"/>
      <w:r w:rsidRPr="00770120">
        <w:rPr>
          <w:lang w:val="en"/>
        </w:rPr>
        <w:t xml:space="preserve"> family (e.g., PUE, WUE, CUE, ERE) and TCO-related measures are omitted here, as they are documented separately in dedicated appendices.</w:t>
      </w:r>
    </w:p>
    <w:p w14:paraId="225C9F4C" w14:textId="77777777" w:rsidR="007C2F53" w:rsidRPr="00770120" w:rsidRDefault="007C2F53" w:rsidP="007C2F53">
      <w:pPr>
        <w:pStyle w:val="MDPI31text"/>
        <w:spacing w:line="280" w:lineRule="exact"/>
        <w:ind w:left="0" w:firstLine="0"/>
      </w:pPr>
    </w:p>
    <w:bookmarkEnd w:id="0"/>
    <w:p w14:paraId="5657E64C" w14:textId="68C36B96" w:rsidR="007C2F53" w:rsidRPr="00ED5755" w:rsidRDefault="007C2F53" w:rsidP="007C2F53">
      <w:pPr>
        <w:pStyle w:val="MDPI21heading1"/>
      </w:pPr>
      <w:r w:rsidRPr="00ED5755">
        <w:lastRenderedPageBreak/>
        <w:t xml:space="preserve">Appendix </w:t>
      </w:r>
      <w:r w:rsidR="005E04FA">
        <w:rPr>
          <w:rFonts w:eastAsiaTheme="minorEastAsia" w:hint="eastAsia"/>
          <w:lang w:eastAsia="zh-CN"/>
        </w:rPr>
        <w:t>C</w:t>
      </w:r>
      <w:r w:rsidRPr="008D769E">
        <w:t>. A PUE Literature Review</w:t>
      </w:r>
    </w:p>
    <w:p w14:paraId="052ADA96" w14:textId="77777777" w:rsidR="007C2F53" w:rsidRPr="008D769E" w:rsidRDefault="007C2F53" w:rsidP="007C2F53">
      <w:pPr>
        <w:pStyle w:val="MDPI31text"/>
      </w:pPr>
      <w:r w:rsidRPr="008D769E">
        <w:t xml:space="preserve">Power Usage Effectiveness (PUE) remains one of the most important metrics for evaluating data-center energy efficiency, originally introduced by The Green Grid in 2007 </w:t>
      </w:r>
      <w:r>
        <w:fldChar w:fldCharType="begin">
          <w:fldData xml:space="preserve">PEVuZE5vdGU+PENpdGU+PEF1dGhvcj5HcmlkPC9BdXRob3I+PFJlY051bT40NTwvUmVjTnVtPjxE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==
</w:fldData>
        </w:fldChar>
      </w:r>
      <w:r>
        <w:instrText xml:space="preserve"> ADDIN EN.CITE </w:instrText>
      </w:r>
      <w:r>
        <w:fldChar w:fldCharType="begin">
          <w:fldData xml:space="preserve">PEVuZE5vdGU+PENpdGU+PEF1dGhvcj5HcmlkPC9BdXRob3I+PFJlY051bT40NTwvUmVjTnVtPjxE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==
</w:fldData>
        </w:fldChar>
      </w:r>
      <w:r>
        <w:instrText xml:space="preserve"> ADDIN EN.CITE.DATA </w:instrText>
      </w:r>
      <w:r>
        <w:fldChar w:fldCharType="end"/>
      </w:r>
      <w:r>
        <w:fldChar w:fldCharType="separate"/>
      </w:r>
      <w:r>
        <w:rPr>
          <w:noProof/>
        </w:rPr>
        <w:t>[</w:t>
      </w:r>
      <w:hyperlink w:anchor="_ENREF_40" w:tooltip="Grid,  #45" w:history="1">
        <w:r>
          <w:rPr>
            <w:rFonts w:eastAsiaTheme="minorEastAsia" w:hint="eastAsia"/>
            <w:noProof/>
            <w:lang w:eastAsia="zh-CN"/>
          </w:rPr>
          <w:t>56-60</w:t>
        </w:r>
      </w:hyperlink>
      <w:r>
        <w:rPr>
          <w:noProof/>
        </w:rPr>
        <w:t>]</w:t>
      </w:r>
      <w:r>
        <w:fldChar w:fldCharType="end"/>
      </w:r>
      <w:r w:rsidRPr="008D769E">
        <w:t xml:space="preserve">. Since its adoption, PUE has been widely used as a high-level indicator of facility </w:t>
      </w:r>
      <w:proofErr w:type="gramStart"/>
      <w:r w:rsidRPr="008D769E">
        <w:t>overhead, and</w:t>
      </w:r>
      <w:proofErr w:type="gramEnd"/>
      <w:r w:rsidRPr="008D769E">
        <w:t xml:space="preserve"> continues to appear as the dominant metric in recent industrial assessments. For example, the Uptime Institute’s global survey reports a nearly flat annual average PUE of about 1.56 for major facilities (2024), reflecting both historical progress and ongoing stagnation across legacy sites </w:t>
      </w:r>
      <w:r>
        <w:fldChar w:fldCharType="begin"/>
      </w:r>
      <w:r>
        <w:instrText xml:space="preserve"> ADDIN EN.CITE &lt;EndNote&gt;&lt;Cite&gt;&lt;Author&gt;Institute&lt;/Author&gt;&lt;RecNum&gt;50&lt;/RecNum&gt;&lt;DisplayText&gt;&lt;style size="10"&gt;[45]&lt;/style&gt;&lt;/DisplayText&gt;&lt;record&gt;&lt;rec-number&gt;50&lt;/rec-number&gt;&lt;foreign-keys&gt;&lt;key app="EN" db-id="5f9xazta90s0z6er29opzrwb92505sz200ev" timestamp="1769758965"&gt;50&lt;/key&gt;&lt;/foreign-keys&gt;&lt;ref-type name="Web Page"&gt;12&lt;/ref-type&gt;&lt;contributors&gt;&lt;authors&gt;&lt;author&gt;Uptime Institute&lt;/author&gt;&lt;/authors&gt;&lt;/contributors&gt;&lt;titles&gt;&lt;title&gt;Global Data Center Survey Results 2024&lt;/title&gt;&lt;/titles&gt;&lt;number&gt;2024&lt;/number&gt;&lt;dates&gt;&lt;/dates&gt;&lt;publisher&gt;Uptime Institute&lt;/publisher&gt;&lt;urls&gt;&lt;related-urls&gt;&lt;url&gt;https://uptimeinstitute.com/resources/research-and-reports/uptime-institute-global-data-center-survey-results-2024&lt;/url&gt;&lt;/related-urls&gt;&lt;/urls&gt;&lt;/record&gt;&lt;/Cite&gt;&lt;/EndNote&gt;</w:instrText>
      </w:r>
      <w:r>
        <w:fldChar w:fldCharType="separate"/>
      </w:r>
      <w:r>
        <w:rPr>
          <w:noProof/>
        </w:rPr>
        <w:t>[</w:t>
      </w:r>
      <w:r>
        <w:rPr>
          <w:rFonts w:eastAsiaTheme="minorEastAsia" w:hint="eastAsia"/>
          <w:lang w:eastAsia="zh-CN"/>
        </w:rPr>
        <w:t>61</w:t>
      </w:r>
      <w:r>
        <w:rPr>
          <w:noProof/>
        </w:rPr>
        <w:t>]</w:t>
      </w:r>
      <w:r>
        <w:fldChar w:fldCharType="end"/>
      </w:r>
      <w:r w:rsidRPr="008D769E">
        <w:t>.</w:t>
      </w:r>
    </w:p>
    <w:p w14:paraId="58107253" w14:textId="77777777" w:rsidR="007C2F53" w:rsidRPr="008D769E" w:rsidRDefault="007C2F53" w:rsidP="007C2F53">
      <w:pPr>
        <w:pStyle w:val="MDPI31text"/>
      </w:pPr>
      <w:r w:rsidRPr="008D769E">
        <w:t xml:space="preserve">At the same time, a growing literature highlights the limitations of PUE, especially for high-density, AI-intensive deployments. Li et al. (2020) demonstrate that PUE alone cannot support fair cross-site comparison due to sensitivity to climate, IT utilization, and design strategies, and propose a normalized indicator that decomposes these external factors </w:t>
      </w:r>
      <w:r>
        <w:fldChar w:fldCharType="begin"/>
      </w:r>
      <w:r>
        <w:instrText xml:space="preserve"> ADDIN EN.CITE &lt;EndNote&gt;&lt;Cite&gt;&lt;Author&gt;Li&lt;/Author&gt;&lt;Year&gt;2020&lt;/Year&gt;&lt;RecNum&gt;51&lt;/RecNum&gt;&lt;DisplayText&gt;&lt;style size="10"&gt;[46]&lt;/style&gt;&lt;/DisplayText&gt;&lt;record&gt;&lt;rec-number&gt;51&lt;/rec-number&gt;&lt;foreign-keys&gt;&lt;key app="EN" db-id="5f9xazta90s0z6er29opzrwb92505sz200ev" timestamp="1769759216"&gt;51&lt;/key&gt;&lt;/foreign-keys&gt;&lt;ref-type name="Journal Article"&gt;17&lt;/ref-type&gt;&lt;contributors&gt;&lt;authors&gt;&lt;author&gt;Li, Jian&lt;/author&gt;&lt;author&gt;Jurasz, Jakub&lt;/author&gt;&lt;author&gt;Li, Hai Long&lt;/author&gt;&lt;author&gt;Tao, Wen Quan&lt;/author&gt;&lt;author&gt;Duan, Yuan Yuan&lt;/author&gt;&lt;author&gt;Yan, Jin Yue&lt;/author&gt;&lt;/authors&gt;&lt;/contributors&gt;&lt;titles&gt;&lt;title&gt;A new indicator for a fair comparison on the energy performance of data centers&lt;/title&gt;&lt;secondary-title&gt;Applied Energy&lt;/secondary-title&gt;&lt;/titles&gt;&lt;periodical&gt;&lt;full-title&gt;Applied Energy&lt;/full-title&gt;&lt;/periodical&gt;&lt;pages&gt;115497&lt;/pages&gt;&lt;volume&gt;276&lt;/volume&gt;&lt;section&gt;115497&lt;/section&gt;&lt;keywords&gt;&lt;keyword&gt;Data center&lt;/keyword&gt;&lt;keyword&gt;Power usage effectiveness (PUE)&lt;/keyword&gt;&lt;keyword&gt;Cooling technology&lt;/keyword&gt;&lt;keyword&gt;Coefficient of PUE (COPUE)&lt;/keyword&gt;&lt;keyword&gt;Energy efficiency&lt;/keyword&gt;&lt;keyword&gt;Climatic conditions&lt;/keyword&gt;&lt;/keywords&gt;&lt;dates&gt;&lt;year&gt;2020&lt;/year&gt;&lt;pub-dates&gt;&lt;date&gt;2020/10/15/&lt;/date&gt;&lt;/pub-dates&gt;&lt;/dates&gt;&lt;isbn&gt;03062619&lt;/isbn&gt;&lt;urls&gt;&lt;related-urls&gt;&lt;url&gt;https://www.sciencedirect.com/science/article/pii/S0306261920310096&lt;/url&gt;&lt;/related-urls&gt;&lt;/urls&gt;&lt;electronic-resource-num&gt;10.1016/j.apenergy.2020.115497&lt;/electronic-resource-num&gt;&lt;/record&gt;&lt;/Cite&gt;&lt;/EndNote&gt;</w:instrText>
      </w:r>
      <w:r>
        <w:fldChar w:fldCharType="separate"/>
      </w:r>
      <w:r>
        <w:rPr>
          <w:noProof/>
        </w:rPr>
        <w:t>[</w:t>
      </w:r>
      <w:r>
        <w:rPr>
          <w:rFonts w:eastAsiaTheme="minorEastAsia" w:hint="eastAsia"/>
          <w:lang w:eastAsia="zh-CN"/>
        </w:rPr>
        <w:t>62</w:t>
      </w:r>
      <w:r>
        <w:rPr>
          <w:noProof/>
        </w:rPr>
        <w:t>]</w:t>
      </w:r>
      <w:r>
        <w:fldChar w:fldCharType="end"/>
      </w:r>
      <w:r w:rsidRPr="008D769E">
        <w:t xml:space="preserve">. Earlier critiques, such as Horner and Azevedo (2016), argue that PUE is often “overloaded and overvalued” when used as a proxy for sustainability because it ignores utilization, embodied energy, and workload-level efficiency </w:t>
      </w:r>
      <w:r>
        <w:fldChar w:fldCharType="begin"/>
      </w:r>
      <w:r>
        <w:instrText xml:space="preserve"> ADDIN EN.CITE &lt;EndNote&gt;&lt;Cite&gt;&lt;Author&gt;Horner&lt;/Author&gt;&lt;Year&gt;2016&lt;/Year&gt;&lt;RecNum&gt;52&lt;/RecNum&gt;&lt;DisplayText&gt;&lt;style size="10"&gt;[47]&lt;/style&gt;&lt;/DisplayText&gt;&lt;record&gt;&lt;rec-number&gt;52&lt;/rec-number&gt;&lt;foreign-keys&gt;&lt;key app="EN" db-id="5f9xazta90s0z6er29opzrwb92505sz200ev" timestamp="1769759420"&gt;52&lt;/key&gt;&lt;/foreign-keys&gt;&lt;ref-type name="Journal Article"&gt;17&lt;/ref-type&gt;&lt;contributors&gt;&lt;authors&gt;&lt;author&gt;Horner, Nathaniel&lt;/author&gt;&lt;author&gt;Azevedo, Inês&lt;/author&gt;&lt;/authors&gt;&lt;/contributors&gt;&lt;titles&gt;&lt;title&gt;Power usage effectiveness in data centers: overloaded and underachieving&lt;/title&gt;&lt;secondary-title&gt;The Electricity Journal&lt;/secondary-title&gt;&lt;/titles&gt;&lt;periodical&gt;&lt;full-title&gt;The Electricity Journal&lt;/full-title&gt;&lt;/periodical&gt;&lt;pages&gt;61-69&lt;/pages&gt;&lt;volume&gt;29&lt;/volume&gt;&lt;number&gt;4&lt;/number&gt;&lt;section&gt;61&lt;/section&gt;&lt;keywords&gt;&lt;keyword&gt;Data center&lt;/keyword&gt;&lt;keyword&gt;Energy metric&lt;/keyword&gt;&lt;keyword&gt;PUE&lt;/keyword&gt;&lt;keyword&gt;Information technology&lt;/keyword&gt;&lt;/keywords&gt;&lt;dates&gt;&lt;year&gt;2016&lt;/year&gt;&lt;pub-dates&gt;&lt;date&gt;2016/05/01/&lt;/date&gt;&lt;/pub-dates&gt;&lt;/dates&gt;&lt;isbn&gt;10406190&lt;/isbn&gt;&lt;urls&gt;&lt;related-urls&gt;&lt;url&gt;https://www.sciencedirect.com/science/article/pii/S1040619016300446&lt;/url&gt;&lt;/related-urls&gt;&lt;/urls&gt;&lt;electronic-resource-num&gt;10.1016/j.tej.2016.04.011&lt;/electronic-resource-num&gt;&lt;/record&gt;&lt;/Cite&gt;&lt;/EndNote&gt;</w:instrText>
      </w:r>
      <w:r>
        <w:fldChar w:fldCharType="separate"/>
      </w:r>
      <w:r>
        <w:rPr>
          <w:noProof/>
        </w:rPr>
        <w:t>[</w:t>
      </w:r>
      <w:r>
        <w:rPr>
          <w:rFonts w:eastAsiaTheme="minorEastAsia" w:hint="eastAsia"/>
          <w:lang w:eastAsia="zh-CN"/>
        </w:rPr>
        <w:t>63</w:t>
      </w:r>
      <w:r>
        <w:rPr>
          <w:noProof/>
        </w:rPr>
        <w:t>]</w:t>
      </w:r>
      <w:r>
        <w:fldChar w:fldCharType="end"/>
      </w:r>
      <w:r w:rsidRPr="008D769E">
        <w:t>.</w:t>
      </w:r>
    </w:p>
    <w:p w14:paraId="09FEBF16" w14:textId="77777777" w:rsidR="007C2F53" w:rsidRPr="008D769E" w:rsidRDefault="007C2F53" w:rsidP="007C2F53">
      <w:pPr>
        <w:pStyle w:val="MDPI31text"/>
      </w:pPr>
      <w:r w:rsidRPr="008D769E">
        <w:t xml:space="preserve">These limitations have motivated a shift toward a PUE-family of metrics. The U.S. DOE’s Best Practices Guide (2024) explicitly situates PUE within a broader suite of indicators including ERE, WUE, and CUE, and recommends joint monitoring with IT utilization and cooling-system performance </w:t>
      </w:r>
      <w:r>
        <w:fldChar w:fldCharType="begin"/>
      </w:r>
      <w:r>
        <w:instrText xml:space="preserve"> ADDIN EN.CITE &lt;EndNote&gt;&lt;Cite&gt;&lt;Author&gt;Energy&lt;/Author&gt;&lt;RecNum&gt;53&lt;/RecNum&gt;&lt;DisplayText&gt;&lt;style size="10"&gt;[48]&lt;/style&gt;&lt;/DisplayText&gt;&lt;record&gt;&lt;rec-number&gt;53&lt;/rec-number&gt;&lt;foreign-keys&gt;&lt;key app="EN" db-id="5f9xazta90s0z6er29opzrwb92505sz200ev" timestamp="1769759634"&gt;53&lt;/key&gt;&lt;/foreign-keys&gt;&lt;ref-type name="Web Page"&gt;12&lt;/ref-type&gt;&lt;contributors&gt;&lt;authors&gt;&lt;author&gt;U.S. Department of Energy&lt;/author&gt;&lt;/authors&gt;&lt;/contributors&gt;&lt;titles&gt;&lt;title&gt;Best Practices Guide for Energy-Efficient Data Center Design&lt;/title&gt;&lt;/titles&gt;&lt;number&gt;2024&lt;/number&gt;&lt;dates&gt;&lt;/dates&gt;&lt;publisher&gt;U.S. Department of Energy&lt;/publisher&gt;&lt;urls&gt;&lt;related-urls&gt;&lt;url&gt;https://www.energy.gov/femp/articles/best-practices-guide-energy-efficient-data-center-design&lt;/url&gt;&lt;/related-urls&gt;&lt;/urls&gt;&lt;/record&gt;&lt;/Cite&gt;&lt;/EndNote&gt;</w:instrText>
      </w:r>
      <w:r>
        <w:fldChar w:fldCharType="separate"/>
      </w:r>
      <w:r>
        <w:rPr>
          <w:noProof/>
        </w:rPr>
        <w:t>[</w:t>
      </w:r>
      <w:r>
        <w:rPr>
          <w:rFonts w:eastAsiaTheme="minorEastAsia" w:hint="eastAsia"/>
          <w:lang w:eastAsia="zh-CN"/>
        </w:rPr>
        <w:t>64</w:t>
      </w:r>
      <w:r>
        <w:rPr>
          <w:noProof/>
        </w:rPr>
        <w:t>]</w:t>
      </w:r>
      <w:r>
        <w:fldChar w:fldCharType="end"/>
      </w:r>
      <w:r w:rsidRPr="008D769E">
        <w:t xml:space="preserve">. In parallel, broader reviews such as Safari et al. (2025) classify more than twenty-five data-center energy metrics into infrastructure-level, IT-level, and application-level categories, and map their applicability to cloud and AI workloads. Thermal-management surveys such as Xu et al. (2023) likewise emphasize that PUE is useful for comparing cooling topologies but insufficient for capturing interactions between workload characteristics and system-level energy behavior </w:t>
      </w:r>
      <w:r>
        <w:fldChar w:fldCharType="begin"/>
      </w:r>
      <w:r>
        <w:instrText xml:space="preserve"> ADDIN EN.CITE &lt;EndNote&gt;&lt;Cite&gt;&lt;Author&gt;Xu&lt;/Author&gt;&lt;Year&gt;2023&lt;/Year&gt;&lt;RecNum&gt;54&lt;/RecNum&gt;&lt;DisplayText&gt;&lt;style size="10"&gt;[49]&lt;/style&gt;&lt;/DisplayText&gt;&lt;record&gt;&lt;rec-number&gt;54&lt;/rec-number&gt;&lt;foreign-keys&gt;&lt;key app="EN" db-id="5f9xazta90s0z6er29opzrwb92505sz200ev" timestamp="1769759869"&gt;54&lt;/key&gt;&lt;/foreign-keys&gt;&lt;ref-type name="Journal Article"&gt;17&lt;/ref-type&gt;&lt;contributors&gt;&lt;authors&gt;&lt;author&gt;Xu, Si Jun&lt;/author&gt;&lt;author&gt;Zhang, Hua&lt;/author&gt;&lt;author&gt;Wang, Zi Long&lt;/author&gt;&lt;/authors&gt;&lt;/contributors&gt;&lt;titles&gt;&lt;title&gt;Thermal management and energy consumption in air, liquid, and free cooling systems for data centers: A review&lt;/title&gt;&lt;secondary-title&gt;Energies&lt;/secondary-title&gt;&lt;/titles&gt;&lt;periodical&gt;&lt;full-title&gt;Energies&lt;/full-title&gt;&lt;/periodical&gt;&lt;pages&gt;1279&lt;/pages&gt;&lt;volume&gt;16&lt;/volume&gt;&lt;number&gt;3&lt;/number&gt;&lt;dates&gt;&lt;year&gt;2023&lt;/year&gt;&lt;/dates&gt;&lt;isbn&gt;1996-1073&lt;/isbn&gt;&lt;accession-num&gt;doi:10.3390/en16031279&lt;/accession-num&gt;&lt;urls&gt;&lt;related-urls&gt;&lt;url&gt;https://www.mdpi.com/1996-1073/16/3/1279&lt;/url&gt;&lt;/related-urls&gt;&lt;/urls&gt;&lt;electronic-resource-num&gt;10.3390/en16031279&lt;/electronic-resource-num&gt;&lt;/record&gt;&lt;/Cite&gt;&lt;/EndNote&gt;</w:instrText>
      </w:r>
      <w:r>
        <w:fldChar w:fldCharType="separate"/>
      </w:r>
      <w:r>
        <w:rPr>
          <w:noProof/>
        </w:rPr>
        <w:t>[</w:t>
      </w:r>
      <w:r>
        <w:rPr>
          <w:rFonts w:eastAsiaTheme="minorEastAsia" w:hint="eastAsia"/>
          <w:lang w:eastAsia="zh-CN"/>
        </w:rPr>
        <w:t>65</w:t>
      </w:r>
      <w:r>
        <w:rPr>
          <w:noProof/>
        </w:rPr>
        <w:t>]</w:t>
      </w:r>
      <w:r>
        <w:fldChar w:fldCharType="end"/>
      </w:r>
      <w:r w:rsidRPr="008D769E">
        <w:t>.</w:t>
      </w:r>
    </w:p>
    <w:p w14:paraId="0CF555CF" w14:textId="77777777" w:rsidR="007C2F53" w:rsidRPr="008D769E" w:rsidRDefault="007C2F53" w:rsidP="007C2F53">
      <w:pPr>
        <w:pStyle w:val="MDPI31text"/>
      </w:pPr>
      <w:r w:rsidRPr="008D769E">
        <w:t xml:space="preserve">A second strand of literature uses PUE to quantify the impact of advanced cooling architectures, particularly those capable of pushing PUE toward 1.0 or even lower. Wang et al. (2022) design a directly air-cooled compact looped heat pipe (LHP) module capable of dissipating 550 W per server with minimum thermal resistance of 0.16 °C/W, achieving PUE values as low as 1.02 </w:t>
      </w:r>
      <w:r>
        <w:fldChar w:fldCharType="begin"/>
      </w:r>
      <w:r>
        <w:instrText xml:space="preserve"> ADDIN EN.CITE &lt;EndNote&gt;&lt;Cite&gt;&lt;Author&gt;Wang&lt;/Author&gt;&lt;Year&gt;2022&lt;/Year&gt;&lt;RecNum&gt;46&lt;/RecNum&gt;&lt;DisplayText&gt;&lt;style size="10"&gt;[41]&lt;/style&gt;&lt;/DisplayText&gt;&lt;record&gt;&lt;rec-number&gt;46&lt;/rec-number&gt;&lt;foreign-keys&gt;&lt;key app="EN" db-id="5f9xazta90s0z6er29opzrwb92505sz200ev" timestamp="1769758299"&gt;46&lt;/key&gt;&lt;/foreign-keys&gt;&lt;ref-type name="Journal Article"&gt;17&lt;/ref-type&gt;&lt;contributors&gt;&lt;authors&gt;&lt;author&gt;Wang, Xin Yue&lt;/author&gt;&lt;author&gt;Liu, Yang&lt;/author&gt;&lt;author&gt;Tian, Tong&lt;/author&gt;&lt;author&gt;Li, Ji&lt;/author&gt;&lt;/authors&gt;&lt;/contributors&gt;&lt;titles&gt;&lt;title&gt;Directly air-cooled compact looped heat pipe module for high power servers with extremely low power usage effectiveness&lt;/title&gt;&lt;secondary-title&gt;Applied Energy&lt;/secondary-title&gt;&lt;/titles&gt;&lt;periodical&gt;&lt;full-title&gt;Applied Energy&lt;/full-title&gt;&lt;/periodical&gt;&lt;pages&gt;119279&lt;/pages&gt;&lt;volume&gt;319&lt;/volume&gt;&lt;section&gt;119279&lt;/section&gt;&lt;keywords&gt;&lt;keyword&gt;High power&lt;/keyword&gt;&lt;keyword&gt;Heat leakage&lt;/keyword&gt;&lt;keyword&gt;Looped heat pipe&lt;/keyword&gt;&lt;keyword&gt;Data centers cooling&lt;/keyword&gt;&lt;keyword&gt;Power usage effectiveness&lt;/keyword&gt;&lt;/keywords&gt;&lt;dates&gt;&lt;year&gt;2022&lt;/year&gt;&lt;pub-dates&gt;&lt;date&gt;2022/08/01/&lt;/date&gt;&lt;/pub-dates&gt;&lt;/dates&gt;&lt;isbn&gt;03062619&lt;/isbn&gt;&lt;urls&gt;&lt;related-urls&gt;&lt;url&gt;https://www.sciencedirect.com/science/article/pii/S0306261922006365&lt;/url&gt;&lt;/related-urls&gt;&lt;/urls&gt;&lt;electronic-resource-num&gt;10.1016/j.apenergy.2022.119279&lt;/electronic-resource-num&gt;&lt;/record&gt;&lt;/Cite&gt;&lt;/EndNote&gt;</w:instrText>
      </w:r>
      <w:r>
        <w:fldChar w:fldCharType="separate"/>
      </w:r>
      <w:r>
        <w:rPr>
          <w:noProof/>
        </w:rPr>
        <w:t>[</w:t>
      </w:r>
      <w:hyperlink w:anchor="_ENREF_41" w:tooltip="Wang, 2022 #46" w:history="1">
        <w:r>
          <w:rPr>
            <w:rFonts w:eastAsiaTheme="minorEastAsia" w:hint="eastAsia"/>
            <w:noProof/>
            <w:lang w:eastAsia="zh-CN"/>
          </w:rPr>
          <w:t>5</w:t>
        </w:r>
        <w:r>
          <w:rPr>
            <w:noProof/>
          </w:rPr>
          <w:t>1</w:t>
        </w:r>
      </w:hyperlink>
      <w:r>
        <w:rPr>
          <w:noProof/>
        </w:rPr>
        <w:t>]</w:t>
      </w:r>
      <w:r>
        <w:fldChar w:fldCharType="end"/>
      </w:r>
      <w:r w:rsidRPr="008D769E">
        <w:t xml:space="preserve">. Zhou et al. (2022) simulate a liquid-pump-driven hybrid free-cooling and mechanical-cooling system across 20 sub-climate zones and 37 cities, showing annual PUE below 1.40 in most locations except hot-humid regions </w:t>
      </w:r>
      <w:r>
        <w:fldChar w:fldCharType="begin"/>
      </w:r>
      <w:r>
        <w:instrText xml:space="preserve"> ADDIN EN.CITE &lt;EndNote&gt;&lt;Cite&gt;&lt;Author&gt;Zhou&lt;/Author&gt;&lt;Year&gt;2022&lt;/Year&gt;&lt;RecNum&gt;47&lt;/RecNum&gt;&lt;DisplayText&gt;&lt;style size="10"&gt;[42]&lt;/style&gt;&lt;/DisplayText&gt;&lt;record&gt;&lt;rec-number&gt;47&lt;/rec-number&gt;&lt;foreign-keys&gt;&lt;key app="EN" db-id="5f9xazta90s0z6er29opzrwb92505sz200ev" timestamp="1769758426"&gt;47&lt;/key&gt;&lt;/foreign-keys&gt;&lt;ref-type name="Journal Article"&gt;17&lt;/ref-type&gt;&lt;contributors&gt;&lt;authors&gt;&lt;author&gt;Zhou, Feng&lt;/author&gt;&lt;author&gt;Shen, Chao Ya&lt;/author&gt;&lt;author&gt;Ma, Guo Yuan&lt;/author&gt;&lt;author&gt;Yan, Xiang Hui&lt;/author&gt;&lt;/authors&gt;&lt;/contributors&gt;&lt;titles&gt;&lt;title&gt;Power usage effectiveness analysis of a liquid-pump-driven hybrid cooling system for data centers in subclimate zones&lt;/title&gt;&lt;secondary-title&gt;Sustainable Energy Technologies and Assessments&lt;/secondary-title&gt;&lt;/titles&gt;&lt;periodical&gt;&lt;full-title&gt;Sustainable Energy Technologies and Assessments&lt;/full-title&gt;&lt;/periodical&gt;&lt;pages&gt;102277&lt;/pages&gt;&lt;volume&gt;52&lt;/volume&gt;&lt;section&gt;102277&lt;/section&gt;&lt;keywords&gt;&lt;keyword&gt;Liquid-pump-driven hybrid system&lt;/keyword&gt;&lt;keyword&gt;Data center free cooling&lt;/keyword&gt;&lt;keyword&gt;Climate zone&lt;/keyword&gt;&lt;keyword&gt;EER&lt;/keyword&gt;&lt;keyword&gt;PUE&lt;/keyword&gt;&lt;/keywords&gt;&lt;dates&gt;&lt;year&gt;2022&lt;/year&gt;&lt;pub-dates&gt;&lt;date&gt;2022/08/01/&lt;/date&gt;&lt;/pub-dates&gt;&lt;/dates&gt;&lt;isbn&gt;22131388&lt;/isbn&gt;&lt;urls&gt;&lt;related-urls&gt;&lt;url&gt;https://www.sciencedirect.com/science/article/pii/S2213138822003290&lt;/url&gt;&lt;/related-urls&gt;&lt;/urls&gt;&lt;electronic-resource-num&gt;10.1016/j.seta.2022.102277&lt;/electronic-resource-num&gt;&lt;/record&gt;&lt;/Cite&gt;&lt;/EndNote&gt;</w:instrText>
      </w:r>
      <w:r>
        <w:fldChar w:fldCharType="separate"/>
      </w:r>
      <w:r>
        <w:rPr>
          <w:noProof/>
        </w:rPr>
        <w:t>[</w:t>
      </w:r>
      <w:hyperlink w:anchor="_ENREF_42" w:tooltip="Zhou, 2022 #47" w:history="1">
        <w:r>
          <w:rPr>
            <w:rFonts w:eastAsiaTheme="minorEastAsia" w:hint="eastAsia"/>
            <w:noProof/>
            <w:lang w:eastAsia="zh-CN"/>
          </w:rPr>
          <w:t>5</w:t>
        </w:r>
      </w:hyperlink>
      <w:r>
        <w:rPr>
          <w:rFonts w:eastAsiaTheme="minorEastAsia" w:hint="eastAsia"/>
          <w:lang w:eastAsia="zh-CN"/>
        </w:rPr>
        <w:t>8</w:t>
      </w:r>
      <w:r>
        <w:rPr>
          <w:noProof/>
        </w:rPr>
        <w:t>]</w:t>
      </w:r>
      <w:r>
        <w:fldChar w:fldCharType="end"/>
      </w:r>
      <w:r w:rsidRPr="008D769E">
        <w:t xml:space="preserve">. Building on these strategies, Zhou et al. (2023) combine an LHP with a thermoelectric generator (TEG) module, achieving PUE = 0.997 at 155 W heat load, demonstrating the technical feasibility of “PUE &lt; 1” under specific operating conditions </w:t>
      </w:r>
      <w:r>
        <w:fldChar w:fldCharType="begin"/>
      </w:r>
      <w:r>
        <w:instrText xml:space="preserve"> ADDIN EN.CITE &lt;EndNote&gt;&lt;Cite&gt;&lt;Author&gt;Zhou&lt;/Author&gt;&lt;Year&gt;2023&lt;/Year&gt;&lt;RecNum&gt;48&lt;/RecNum&gt;&lt;DisplayText&gt;&lt;style size="10"&gt;[43]&lt;/style&gt;&lt;/DisplayText&gt;&lt;record&gt;&lt;rec-number&gt;48&lt;/rec-number&gt;&lt;foreign-keys&gt;&lt;key app="EN" db-id="5f9xazta90s0z6er29opzrwb92505sz200ev" timestamp="1769758595"&gt;48&lt;/key&gt;&lt;/foreign-keys&gt;&lt;ref-type name="Journal Article"&gt;17&lt;/ref-type&gt;&lt;contributors&gt;&lt;authors&gt;&lt;author&gt;Zhou, Hao Jie&lt;/author&gt;&lt;author&gt;Tian, Tong&lt;/author&gt;&lt;author&gt;Wang, Xin Yue&lt;/author&gt;&lt;author&gt;Li, Ji&lt;/author&gt;&lt;/authors&gt;&lt;/contributors&gt;&lt;titles&gt;&lt;title&gt;Combining looped heat pipe and thermoelectric generator module to pursue data center servers with possible power usage effectiveness less than 1&lt;/title&gt;&lt;secondary-title&gt;Applied Energy&lt;/secondary-title&gt;&lt;/titles&gt;&lt;periodical&gt;&lt;full-title&gt;Applied Energy&lt;/full-title&gt;&lt;/periodical&gt;&lt;pages&gt;120539&lt;/pages&gt;&lt;volume&gt;332&lt;/volume&gt;&lt;section&gt;120539&lt;/section&gt;&lt;keywords&gt;&lt;keyword&gt;Looped heat pipe&lt;/keyword&gt;&lt;keyword&gt;Thermoelectric generator&lt;/keyword&gt;&lt;keyword&gt;Electronics waste heat recovery&lt;/keyword&gt;&lt;keyword&gt;Energy harvesting&lt;/keyword&gt;&lt;keyword&gt;Data center server&lt;/keyword&gt;&lt;keyword&gt;Power usage effectiveness&lt;/keyword&gt;&lt;/keywords&gt;&lt;dates&gt;&lt;year&gt;2023&lt;/year&gt;&lt;pub-dates&gt;&lt;date&gt;2023/02/15/&lt;/date&gt;&lt;/pub-dates&gt;&lt;/dates&gt;&lt;isbn&gt;03062619&lt;/isbn&gt;&lt;urls&gt;&lt;related-urls&gt;&lt;url&gt;https://www.sciencedirect.com/science/article/pii/S0306261922017962&lt;/url&gt;&lt;/related-urls&gt;&lt;/urls&gt;&lt;electronic-resource-num&gt;10.1016/j.apenergy.2022.120539&lt;/electronic-resource-num&gt;&lt;/record&gt;&lt;/Cite&gt;&lt;/EndNote&gt;</w:instrText>
      </w:r>
      <w:r>
        <w:fldChar w:fldCharType="separate"/>
      </w:r>
      <w:r>
        <w:rPr>
          <w:noProof/>
        </w:rPr>
        <w:t>[</w:t>
      </w:r>
      <w:hyperlink w:anchor="_ENREF_43" w:tooltip="Zhou, 2023 #48" w:history="1">
        <w:r>
          <w:rPr>
            <w:rFonts w:eastAsiaTheme="minorEastAsia" w:hint="eastAsia"/>
            <w:noProof/>
            <w:lang w:eastAsia="zh-CN"/>
          </w:rPr>
          <w:t>5</w:t>
        </w:r>
      </w:hyperlink>
      <w:r>
        <w:rPr>
          <w:rFonts w:eastAsiaTheme="minorEastAsia" w:hint="eastAsia"/>
          <w:lang w:eastAsia="zh-CN"/>
        </w:rPr>
        <w:t>9</w:t>
      </w:r>
      <w:r>
        <w:rPr>
          <w:noProof/>
        </w:rPr>
        <w:t>]</w:t>
      </w:r>
      <w:r>
        <w:fldChar w:fldCharType="end"/>
      </w:r>
      <w:r w:rsidRPr="008D769E">
        <w:t>.</w:t>
      </w:r>
    </w:p>
    <w:p w14:paraId="3AE99D1F" w14:textId="77777777" w:rsidR="007C2F53" w:rsidRPr="008D769E" w:rsidRDefault="007C2F53" w:rsidP="007C2F53">
      <w:pPr>
        <w:pStyle w:val="MDPI31text"/>
      </w:pPr>
      <w:r w:rsidRPr="008D769E">
        <w:t xml:space="preserve">AI workloads magnify these issues. The IEA 4E program’s Data Centre Energy Use review (2025) estimates that AI </w:t>
      </w:r>
      <w:r w:rsidRPr="008D769E">
        <w:lastRenderedPageBreak/>
        <w:t xml:space="preserve">accelerators currently account for only 5-15% of global data-center electricity use but may rise to 200-400 TWh by 2030, driven largely by cooling burdens and assumptions about achievable PUE trajectories </w:t>
      </w:r>
      <w:r>
        <w:fldChar w:fldCharType="begin"/>
      </w:r>
      <w:r>
        <w:instrText xml:space="preserve"> ADDIN EN.CITE &lt;EndNote&gt;&lt;Cite&gt;&lt;Author&gt;Programme&lt;/Author&gt;&lt;RecNum&gt;55&lt;/RecNum&gt;&lt;DisplayText&gt;&lt;style size="10"&gt;[50]&lt;/style&gt;&lt;/DisplayText&gt;&lt;record&gt;&lt;rec-number&gt;55&lt;/rec-number&gt;&lt;foreign-keys&gt;&lt;key app="EN" db-id="5f9xazta90s0z6er29opzrwb92505sz200ev" timestamp="1769760348"&gt;55&lt;/key&gt;&lt;/foreign-keys&gt;&lt;ref-type name="Web Page"&gt;12&lt;/ref-type&gt;&lt;contributors&gt;&lt;authors&gt;&lt;author&gt;IEA 4E Programme&lt;/author&gt;&lt;/authors&gt;&lt;/contributors&gt;&lt;titles&gt;&lt;title&gt;Data Centre Energy Use: Critical Review of Models and Results&lt;/title&gt;&lt;/titles&gt;&lt;number&gt;2025&lt;/number&gt;&lt;dates&gt;&lt;/dates&gt;&lt;publisher&gt;IEA 4E Programme&lt;/publisher&gt;&lt;urls&gt;&lt;related-urls&gt;&lt;url&gt;https://www.iea-4e.org/edna/publications/data-centre-energy-use-critical-review-of-models-and-results/&lt;/url&gt;&lt;/related-urls&gt;&lt;/urls&gt;&lt;/record&gt;&lt;/Cite&gt;&lt;/EndNote&gt;</w:instrText>
      </w:r>
      <w:r>
        <w:fldChar w:fldCharType="separate"/>
      </w:r>
      <w:r>
        <w:rPr>
          <w:noProof/>
        </w:rPr>
        <w:t>[</w:t>
      </w:r>
      <w:hyperlink w:anchor="_ENREF_50" w:tooltip="Programme,  #55" w:history="1">
        <w:r>
          <w:rPr>
            <w:rFonts w:eastAsiaTheme="minorEastAsia" w:hint="eastAsia"/>
            <w:noProof/>
            <w:lang w:eastAsia="zh-CN"/>
          </w:rPr>
          <w:t>66</w:t>
        </w:r>
      </w:hyperlink>
      <w:r>
        <w:rPr>
          <w:noProof/>
        </w:rPr>
        <w:t>]</w:t>
      </w:r>
      <w:r>
        <w:fldChar w:fldCharType="end"/>
      </w:r>
      <w:r w:rsidRPr="008D769E">
        <w:t xml:space="preserve">. These projections warn that relying solely on optimistic PUE improvements may underestimate the energy footprint of upcoming GPU-dense clusters. Meanwhile, industry analyses (2023-2024) report typical PUE ≈ 1.58 for conventional colocation facilities but &lt;1.3 for AI-optimized deployments, underscoring both the performance gap and the uneven adoption across the installed base </w:t>
      </w:r>
      <w:r>
        <w:fldChar w:fldCharType="begin"/>
      </w:r>
      <w:r>
        <w:instrText xml:space="preserve"> ADDIN EN.CITE &lt;EndNote&gt;&lt;Cite&gt;&lt;Author&gt;Institute&lt;/Author&gt;&lt;RecNum&gt;50&lt;/RecNum&gt;&lt;DisplayText&gt;&lt;style size="10"&gt;[45]&lt;/style&gt;&lt;/DisplayText&gt;&lt;record&gt;&lt;rec-number&gt;50&lt;/rec-number&gt;&lt;foreign-keys&gt;&lt;key app="EN" db-id="5f9xazta90s0z6er29opzrwb92505sz200ev" timestamp="1769758965"&gt;50&lt;/key&gt;&lt;/foreign-keys&gt;&lt;ref-type name="Web Page"&gt;12&lt;/ref-type&gt;&lt;contributors&gt;&lt;authors&gt;&lt;author&gt;Uptime Institute&lt;/author&gt;&lt;/authors&gt;&lt;/contributors&gt;&lt;titles&gt;&lt;title&gt;Global Data Center Survey Results 2024&lt;/title&gt;&lt;/titles&gt;&lt;number&gt;2024&lt;/number&gt;&lt;dates&gt;&lt;/dates&gt;&lt;publisher&gt;Uptime Institute&lt;/publisher&gt;&lt;urls&gt;&lt;related-urls&gt;&lt;url&gt;https://uptimeinstitute.com/resources/research-and-reports/uptime-institute-global-data-center-survey-results-2024&lt;/url&gt;&lt;/related-urls&gt;&lt;/urls&gt;&lt;/record&gt;&lt;/Cite&gt;&lt;/EndNote&gt;</w:instrText>
      </w:r>
      <w:r>
        <w:fldChar w:fldCharType="separate"/>
      </w:r>
      <w:r>
        <w:rPr>
          <w:noProof/>
        </w:rPr>
        <w:t>[</w:t>
      </w:r>
      <w:hyperlink w:anchor="_ENREF_45" w:tooltip="Institute,  #50" w:history="1">
        <w:r>
          <w:rPr>
            <w:rFonts w:eastAsiaTheme="minorEastAsia" w:hint="eastAsia"/>
            <w:noProof/>
            <w:lang w:eastAsia="zh-CN"/>
          </w:rPr>
          <w:t>61</w:t>
        </w:r>
      </w:hyperlink>
      <w:r>
        <w:rPr>
          <w:noProof/>
        </w:rPr>
        <w:t>]</w:t>
      </w:r>
      <w:r>
        <w:fldChar w:fldCharType="end"/>
      </w:r>
      <w:r w:rsidRPr="008D769E">
        <w:t>.</w:t>
      </w:r>
    </w:p>
    <w:p w14:paraId="2F3D8D92" w14:textId="77777777" w:rsidR="007C2F53" w:rsidRPr="008D769E" w:rsidRDefault="007C2F53" w:rsidP="007C2F53">
      <w:pPr>
        <w:pStyle w:val="MDPI31text"/>
      </w:pPr>
      <w:r w:rsidRPr="008D769E">
        <w:t xml:space="preserve">To sum up, this body of work, spanning foundational critiques (2016-2020), systematic surveys (2023-2025), advanced cooling demonstrations (2022-2023), and macro-level projections (2024-2025), </w:t>
      </w:r>
      <w:proofErr w:type="gramStart"/>
      <w:r w:rsidRPr="008D769E">
        <w:t>reveals</w:t>
      </w:r>
      <w:proofErr w:type="gramEnd"/>
      <w:r w:rsidRPr="008D769E">
        <w:t xml:space="preserve"> three consistent insights. First, PUE remains essential but insufficient: indispensable for tracking facility overhead yet blind to workload-level performance and utilization. Second, contemporary best practices rely on tiered, multi-metric frameworks, where PUE/ERE/WUE/CUE </w:t>
      </w:r>
      <w:proofErr w:type="spellStart"/>
      <w:r w:rsidRPr="008D769E">
        <w:t>form</w:t>
      </w:r>
      <w:proofErr w:type="spellEnd"/>
      <w:r w:rsidRPr="008D769E">
        <w:t xml:space="preserve"> the infrastructure layer, IT utilization and server efficiency the middle layer, and application-level metrics (e.g., energy per inference or per training run) the top layer. Third, although experimental systems can achieve PUE near, or even below, 1.0, the global installed base is dominated by facilities operating around 1.5-1.6, meaning the real-world energy footprint of AI workloads depends primarily on scaling behavior rather than best-case cooling efficiency.</w:t>
      </w:r>
    </w:p>
    <w:p w14:paraId="676CF5AD" w14:textId="77777777" w:rsidR="007C2F53" w:rsidRDefault="007C2F53" w:rsidP="007C2F53">
      <w:pPr>
        <w:pStyle w:val="MDPI31text"/>
      </w:pPr>
      <w:r w:rsidRPr="008D769E">
        <w:t>In this paper,</w:t>
      </w:r>
      <w:r>
        <w:t xml:space="preserve"> this study </w:t>
      </w:r>
      <w:r w:rsidRPr="008D769E">
        <w:t>adopts this multi-layered perspective by treating PUE and its extensions as infrastructure-level AI metrics and linking them explicitly to workload-level indicators. This allows us to disentangle physical-infrastructure efficiency from algorithmic or hardware efficiency, and to analyze how different AI-infrastructure design choices jointly determine the “PUE × performance-per-watt” frontier.</w:t>
      </w:r>
    </w:p>
    <w:p w14:paraId="5A19CD4E" w14:textId="77777777" w:rsidR="007C2F53" w:rsidRPr="008D769E" w:rsidRDefault="007C2F53" w:rsidP="007C2F53">
      <w:pPr>
        <w:pStyle w:val="MDPI31text"/>
      </w:pPr>
      <w:r w:rsidRPr="008D769E">
        <w:rPr>
          <w:rFonts w:ascii="Times New Roman" w:hAnsi="Times New Roman"/>
          <w:b/>
          <w:bCs/>
          <w:szCs w:val="20"/>
        </w:rPr>
        <w:t xml:space="preserve">Table </w:t>
      </w:r>
      <w:r>
        <w:rPr>
          <w:rFonts w:ascii="Times New Roman" w:hAnsi="Times New Roman"/>
          <w:b/>
          <w:bCs/>
          <w:szCs w:val="20"/>
        </w:rPr>
        <w:t>B</w:t>
      </w:r>
      <w:r>
        <w:rPr>
          <w:rFonts w:ascii="Times New Roman" w:hAnsi="Times New Roman"/>
          <w:szCs w:val="20"/>
        </w:rPr>
        <w:t xml:space="preserve">. Summary of </w:t>
      </w:r>
      <w:proofErr w:type="spellStart"/>
      <w:r>
        <w:rPr>
          <w:rFonts w:ascii="Times New Roman" w:eastAsiaTheme="minorEastAsia" w:hAnsi="Times New Roman" w:hint="eastAsia"/>
          <w:szCs w:val="20"/>
          <w:lang w:eastAsia="zh-CN"/>
        </w:rPr>
        <w:t>x</w:t>
      </w:r>
      <w:r>
        <w:rPr>
          <w:rFonts w:ascii="Times New Roman" w:hAnsi="Times New Roman"/>
          <w:szCs w:val="20"/>
        </w:rPr>
        <w:t>UE</w:t>
      </w:r>
      <w:proofErr w:type="spellEnd"/>
      <w:r>
        <w:rPr>
          <w:rFonts w:ascii="Times New Roman" w:hAnsi="Times New Roman"/>
          <w:szCs w:val="20"/>
        </w:rPr>
        <w:t xml:space="preserve"> family metrics.</w:t>
      </w:r>
    </w:p>
    <w:tbl>
      <w:tblPr>
        <w:tblW w:w="10160" w:type="dxa"/>
        <w:tblInd w:w="-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4"/>
        <w:gridCol w:w="798"/>
        <w:gridCol w:w="2900"/>
        <w:gridCol w:w="1752"/>
        <w:gridCol w:w="1721"/>
        <w:gridCol w:w="1895"/>
      </w:tblGrid>
      <w:tr w:rsidR="007C2F53" w14:paraId="38448814" w14:textId="77777777" w:rsidTr="002B3C97">
        <w:trPr>
          <w:trHeight w:val="310"/>
        </w:trPr>
        <w:tc>
          <w:tcPr>
            <w:tcW w:w="1094" w:type="dxa"/>
            <w:vAlign w:val="center"/>
          </w:tcPr>
          <w:p w14:paraId="2AE612E9"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Metric</w:t>
            </w:r>
          </w:p>
        </w:tc>
        <w:tc>
          <w:tcPr>
            <w:tcW w:w="798" w:type="dxa"/>
            <w:vAlign w:val="center"/>
          </w:tcPr>
          <w:p w14:paraId="57704BDC"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Variable</w:t>
            </w:r>
          </w:p>
        </w:tc>
        <w:tc>
          <w:tcPr>
            <w:tcW w:w="2900" w:type="dxa"/>
            <w:vAlign w:val="center"/>
          </w:tcPr>
          <w:p w14:paraId="0A1B2140"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Formula</w:t>
            </w:r>
          </w:p>
        </w:tc>
        <w:tc>
          <w:tcPr>
            <w:tcW w:w="1752" w:type="dxa"/>
            <w:vAlign w:val="center"/>
          </w:tcPr>
          <w:p w14:paraId="4DD73E0F"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Variables Explanation</w:t>
            </w:r>
          </w:p>
        </w:tc>
        <w:tc>
          <w:tcPr>
            <w:tcW w:w="1721" w:type="dxa"/>
            <w:vAlign w:val="center"/>
          </w:tcPr>
          <w:p w14:paraId="5574ACED"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Range &amp; Direction</w:t>
            </w:r>
          </w:p>
        </w:tc>
        <w:tc>
          <w:tcPr>
            <w:tcW w:w="1895" w:type="dxa"/>
            <w:vAlign w:val="center"/>
          </w:tcPr>
          <w:p w14:paraId="781AD404"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Application Scenarios</w:t>
            </w:r>
          </w:p>
        </w:tc>
      </w:tr>
      <w:tr w:rsidR="007C2F53" w14:paraId="44CA45B3" w14:textId="77777777" w:rsidTr="002B3C97">
        <w:trPr>
          <w:trHeight w:val="754"/>
        </w:trPr>
        <w:tc>
          <w:tcPr>
            <w:tcW w:w="1094" w:type="dxa"/>
            <w:vAlign w:val="center"/>
          </w:tcPr>
          <w:p w14:paraId="38252D06"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Power Usage Effectiveness</w:t>
            </w:r>
          </w:p>
        </w:tc>
        <w:tc>
          <w:tcPr>
            <w:tcW w:w="798" w:type="dxa"/>
            <w:vAlign w:val="center"/>
          </w:tcPr>
          <w:p w14:paraId="053D1D25"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PUE</w:t>
            </w:r>
          </w:p>
        </w:tc>
        <w:tc>
          <w:tcPr>
            <w:tcW w:w="2900" w:type="dxa"/>
            <w:vAlign w:val="center"/>
          </w:tcPr>
          <w:p w14:paraId="1493BF61" w14:textId="77777777" w:rsidR="007C2F53" w:rsidRPr="00D515A5" w:rsidRDefault="007C2F53" w:rsidP="000F1AD0">
            <w:pPr>
              <w:spacing w:line="240" w:lineRule="atLeast"/>
              <w:jc w:val="center"/>
              <w:rPr>
                <w:rFonts w:ascii="Cambria Math" w:eastAsiaTheme="minorEastAsia" w:hAnsi="Cambria Math" w:cs="Cambria Math"/>
                <w:sz w:val="12"/>
                <w:szCs w:val="12"/>
              </w:rPr>
            </w:pPr>
            <m:oMathPara>
              <m:oMath>
                <m:r>
                  <w:rPr>
                    <w:rFonts w:ascii="Cambria Math" w:eastAsia="Cambria Math" w:hAnsi="Cambria Math" w:cs="Cambria Math"/>
                    <w:sz w:val="12"/>
                    <w:szCs w:val="12"/>
                  </w:rPr>
                  <m:t>PUE =</m:t>
                </m:r>
                <m:f>
                  <m:fPr>
                    <m:ctrlPr>
                      <w:rPr>
                        <w:rFonts w:ascii="Cambria Math" w:eastAsia="Cambria Math" w:hAnsi="Cambria Math" w:cs="Cambria Math"/>
                        <w:sz w:val="12"/>
                        <w:szCs w:val="12"/>
                      </w:rPr>
                    </m:ctrlPr>
                  </m:fPr>
                  <m:num>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Total Facility</m:t>
                        </m:r>
                      </m:sub>
                    </m:sSub>
                  </m:num>
                  <m:den>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 Equipment</m:t>
                        </m:r>
                      </m:sub>
                    </m:sSub>
                  </m:den>
                </m:f>
              </m:oMath>
            </m:oMathPara>
          </w:p>
          <w:p w14:paraId="0321A2CA"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Total Facility</m:t>
                  </m:r>
                </m:sub>
              </m:sSub>
              <m:r>
                <w:rPr>
                  <w:rFonts w:ascii="Cambria Math" w:eastAsia="Cambria Math" w:hAnsi="Cambria Math" w:cs="Cambria Math"/>
                  <w:sz w:val="12"/>
                  <w:szCs w:val="12"/>
                </w:rPr>
                <m:t xml:space="preserve"> </m:t>
              </m:r>
            </m:oMath>
            <w:r w:rsidR="007C2F53">
              <w:rPr>
                <w:rFonts w:ascii="Times New Roman" w:eastAsia="Times New Roman" w:hAnsi="Times New Roman"/>
                <w:sz w:val="12"/>
                <w:szCs w:val="12"/>
              </w:rPr>
              <w:t>= total energy consumed by the entire data center (kWh).</w:t>
            </w:r>
            <w:r w:rsidR="007C2F53">
              <w:rPr>
                <w:rFonts w:ascii="Times New Roman" w:eastAsia="Times New Roman" w:hAnsi="Times New Roman"/>
                <w:sz w:val="12"/>
                <w:szCs w:val="12"/>
              </w:rPr>
              <w:br/>
            </w: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 Equipment</m:t>
                  </m:r>
                </m:sub>
              </m:sSub>
            </m:oMath>
            <w:r w:rsidR="007C2F53">
              <w:rPr>
                <w:rFonts w:ascii="Times New Roman" w:eastAsia="Times New Roman" w:hAnsi="Times New Roman"/>
                <w:sz w:val="12"/>
                <w:szCs w:val="12"/>
              </w:rPr>
              <w:t xml:space="preserve"> = energy consumed by IT equipment over the same period (kWh).</w:t>
            </w:r>
          </w:p>
        </w:tc>
        <w:tc>
          <w:tcPr>
            <w:tcW w:w="1752" w:type="dxa"/>
            <w:vAlign w:val="center"/>
          </w:tcPr>
          <w:p w14:paraId="3C6EDBDA"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Measures how efficiently a data center uses energy.</w:t>
            </w:r>
          </w:p>
          <w:p w14:paraId="03F50415"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Numerator includes IT, cooling, power distribution losses, lighting, etc.</w:t>
            </w:r>
          </w:p>
        </w:tc>
        <w:tc>
          <w:tcPr>
            <w:tcW w:w="1721" w:type="dxa"/>
            <w:vAlign w:val="center"/>
          </w:tcPr>
          <w:p w14:paraId="69AA417D" w14:textId="77777777" w:rsidR="007C2F53" w:rsidRDefault="00000000" w:rsidP="000F1AD0">
            <w:pPr>
              <w:spacing w:line="160" w:lineRule="exact"/>
              <w:jc w:val="left"/>
              <w:rPr>
                <w:rFonts w:ascii="Times New Roman" w:eastAsia="Times New Roman" w:hAnsi="Times New Roman"/>
                <w:sz w:val="12"/>
                <w:szCs w:val="12"/>
              </w:rPr>
            </w:pPr>
            <w:sdt>
              <w:sdtPr>
                <w:rPr>
                  <w:rFonts w:ascii="Times New Roman" w:eastAsia="Times New Roman" w:hAnsi="Times New Roman"/>
                  <w:sz w:val="12"/>
                  <w:szCs w:val="12"/>
                </w:rPr>
                <w:tag w:val="goog_rdk_26"/>
                <w:id w:val="307332118"/>
              </w:sdtPr>
              <w:sdtContent>
                <w:r w:rsidR="007C2F53" w:rsidRPr="00FB51CF">
                  <w:rPr>
                    <w:rFonts w:ascii="Times New Roman" w:eastAsia="Times New Roman" w:hAnsi="Times New Roman"/>
                    <w:sz w:val="12"/>
                    <w:szCs w:val="12"/>
                  </w:rPr>
                  <w:t>Range: PUE ≥ 1 (theoretical minimum 1, no strict upper bound).</w:t>
                </w:r>
              </w:sdtContent>
            </w:sdt>
          </w:p>
          <w:p w14:paraId="439F4A8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Meaning: Lower is better; closer to 1  </w:t>
            </w:r>
            <m:oMath>
              <m:r>
                <m:rPr>
                  <m:sty m:val="p"/>
                </m:rPr>
                <w:rPr>
                  <w:rFonts w:ascii="Cambria Math" w:eastAsia="Times New Roman" w:hAnsi="Cambria Math"/>
                  <w:sz w:val="12"/>
                  <w:szCs w:val="12"/>
                </w:rPr>
                <m:t>→</m:t>
              </m:r>
            </m:oMath>
            <w:r>
              <w:rPr>
                <w:rFonts w:ascii="Times New Roman" w:eastAsia="Times New Roman" w:hAnsi="Times New Roman"/>
                <w:sz w:val="12"/>
                <w:szCs w:val="12"/>
              </w:rPr>
              <w:t xml:space="preserve">  higher efficiency.</w:t>
            </w:r>
          </w:p>
        </w:tc>
        <w:tc>
          <w:tcPr>
            <w:tcW w:w="1895" w:type="dxa"/>
            <w:vAlign w:val="center"/>
          </w:tcPr>
          <w:p w14:paraId="50FAE905"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Global key performance indicator for data center energy efficiency; used in design benchmarking, operations monitoring, and regulatory reporting.</w:t>
            </w:r>
          </w:p>
        </w:tc>
      </w:tr>
      <w:tr w:rsidR="007C2F53" w14:paraId="6A56194A" w14:textId="77777777" w:rsidTr="002B3C97">
        <w:trPr>
          <w:trHeight w:val="781"/>
        </w:trPr>
        <w:tc>
          <w:tcPr>
            <w:tcW w:w="1094" w:type="dxa"/>
            <w:vAlign w:val="center"/>
          </w:tcPr>
          <w:p w14:paraId="1EE0B88C"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Data Center infrastructure Efficiency</w:t>
            </w:r>
          </w:p>
        </w:tc>
        <w:tc>
          <w:tcPr>
            <w:tcW w:w="798" w:type="dxa"/>
            <w:vAlign w:val="center"/>
          </w:tcPr>
          <w:p w14:paraId="2E14A881" w14:textId="77777777" w:rsidR="007C2F53" w:rsidRDefault="007C2F53" w:rsidP="000F1AD0">
            <w:pPr>
              <w:spacing w:line="160" w:lineRule="exact"/>
              <w:jc w:val="left"/>
              <w:rPr>
                <w:rFonts w:ascii="Times New Roman" w:eastAsia="Times New Roman" w:hAnsi="Times New Roman"/>
                <w:sz w:val="12"/>
                <w:szCs w:val="12"/>
              </w:rPr>
            </w:pPr>
            <w:proofErr w:type="spellStart"/>
            <w:r>
              <w:rPr>
                <w:rFonts w:ascii="Times New Roman" w:eastAsia="Times New Roman" w:hAnsi="Times New Roman"/>
                <w:sz w:val="12"/>
                <w:szCs w:val="12"/>
              </w:rPr>
              <w:t>DCiE</w:t>
            </w:r>
            <w:proofErr w:type="spellEnd"/>
          </w:p>
        </w:tc>
        <w:tc>
          <w:tcPr>
            <w:tcW w:w="2900" w:type="dxa"/>
            <w:vAlign w:val="center"/>
          </w:tcPr>
          <w:p w14:paraId="699127F0"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 xml:space="preserve">DCiE = </m:t>
                </m:r>
                <m:f>
                  <m:fPr>
                    <m:ctrlPr>
                      <w:rPr>
                        <w:rFonts w:ascii="Cambria Math" w:eastAsia="Cambria Math" w:hAnsi="Cambria Math" w:cs="Cambria Math"/>
                        <w:i/>
                        <w:sz w:val="12"/>
                        <w:szCs w:val="12"/>
                      </w:rPr>
                    </m:ctrlPr>
                  </m:fPr>
                  <m:num>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m:t>
                        </m:r>
                      </m:sub>
                    </m:sSub>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Total Facility</m:t>
                        </m:r>
                      </m:sub>
                    </m:sSub>
                  </m:den>
                </m:f>
                <m:r>
                  <w:rPr>
                    <w:rFonts w:ascii="Cambria Math" w:eastAsia="Cambria Math" w:hAnsi="Cambria Math" w:cs="Cambria Math"/>
                    <w:sz w:val="12"/>
                    <w:szCs w:val="12"/>
                  </w:rPr>
                  <m:t xml:space="preserve">    =</m:t>
                </m:r>
                <m:f>
                  <m:fPr>
                    <m:ctrlPr>
                      <w:rPr>
                        <w:rFonts w:ascii="Cambria Math" w:eastAsia="Cambria Math" w:hAnsi="Cambria Math" w:cs="Cambria Math"/>
                        <w:i/>
                        <w:sz w:val="12"/>
                        <w:szCs w:val="12"/>
                      </w:rPr>
                    </m:ctrlPr>
                  </m:fPr>
                  <m:num>
                    <m:r>
                      <w:rPr>
                        <w:rFonts w:ascii="Cambria Math" w:eastAsia="Cambria Math" w:hAnsi="Cambria Math" w:cs="Cambria Math"/>
                        <w:sz w:val="12"/>
                        <w:szCs w:val="12"/>
                      </w:rPr>
                      <m:t>1</m:t>
                    </m:r>
                  </m:num>
                  <m:den>
                    <m:r>
                      <w:rPr>
                        <w:rFonts w:ascii="Cambria Math" w:eastAsia="Cambria Math" w:hAnsi="Cambria Math" w:cs="Cambria Math"/>
                        <w:sz w:val="12"/>
                        <w:szCs w:val="12"/>
                      </w:rPr>
                      <m:t>PUE</m:t>
                    </m:r>
                  </m:den>
                </m:f>
                <m:r>
                  <w:rPr>
                    <w:rFonts w:ascii="Cambria Math" w:eastAsia="Cambria Math" w:hAnsi="Cambria Math" w:cs="Cambria Math"/>
                    <w:sz w:val="12"/>
                    <w:szCs w:val="12"/>
                  </w:rPr>
                  <m:t xml:space="preserve"> </m:t>
                </m:r>
              </m:oMath>
            </m:oMathPara>
          </w:p>
          <w:p w14:paraId="00B6228B"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Total Facility</m:t>
                  </m:r>
                </m:sub>
              </m:sSub>
              <m:r>
                <w:rPr>
                  <w:rFonts w:ascii="Cambria Math" w:eastAsia="Cambria Math" w:hAnsi="Cambria Math" w:cs="Cambria Math"/>
                  <w:sz w:val="12"/>
                  <w:szCs w:val="12"/>
                </w:rPr>
                <m:t xml:space="preserve"> </m:t>
              </m:r>
            </m:oMath>
            <w:r w:rsidR="007C2F53">
              <w:rPr>
                <w:rFonts w:ascii="Times New Roman" w:eastAsia="Times New Roman" w:hAnsi="Times New Roman"/>
                <w:sz w:val="12"/>
                <w:szCs w:val="12"/>
              </w:rPr>
              <w:t>= total energy consumed by the entire data center (kWh).</w:t>
            </w:r>
            <w:r w:rsidR="007C2F53">
              <w:rPr>
                <w:rFonts w:ascii="Times New Roman" w:eastAsia="Times New Roman" w:hAnsi="Times New Roman"/>
                <w:sz w:val="12"/>
                <w:szCs w:val="12"/>
              </w:rPr>
              <w:br/>
            </w: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 Equipment</m:t>
                  </m:r>
                </m:sub>
              </m:sSub>
            </m:oMath>
            <w:r w:rsidR="007C2F53">
              <w:rPr>
                <w:rFonts w:ascii="Times New Roman" w:eastAsia="Times New Roman" w:hAnsi="Times New Roman"/>
                <w:sz w:val="12"/>
                <w:szCs w:val="12"/>
              </w:rPr>
              <w:t xml:space="preserve"> = energy consumed by IT equipment over the same </w:t>
            </w:r>
            <w:bookmarkStart w:id="1" w:name="bookmark=id.q81cvcfg7fvl" w:colFirst="0" w:colLast="0"/>
            <w:bookmarkEnd w:id="1"/>
            <w:r w:rsidR="007C2F53">
              <w:rPr>
                <w:rFonts w:ascii="Times New Roman" w:eastAsia="Times New Roman" w:hAnsi="Times New Roman"/>
                <w:sz w:val="12"/>
                <w:szCs w:val="12"/>
              </w:rPr>
              <w:t>period (kWh).</w:t>
            </w:r>
          </w:p>
        </w:tc>
        <w:tc>
          <w:tcPr>
            <w:tcW w:w="1752" w:type="dxa"/>
            <w:vAlign w:val="center"/>
          </w:tcPr>
          <w:p w14:paraId="6657E7BD"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Expresses the fraction of total facility energy </w:t>
            </w:r>
            <w:proofErr w:type="gramStart"/>
            <w:r>
              <w:rPr>
                <w:rFonts w:ascii="Times New Roman" w:eastAsia="Times New Roman" w:hAnsi="Times New Roman"/>
                <w:sz w:val="12"/>
                <w:szCs w:val="12"/>
              </w:rPr>
              <w:t>actually delivered</w:t>
            </w:r>
            <w:proofErr w:type="gramEnd"/>
            <w:r>
              <w:rPr>
                <w:rFonts w:ascii="Times New Roman" w:eastAsia="Times New Roman" w:hAnsi="Times New Roman"/>
                <w:sz w:val="12"/>
                <w:szCs w:val="12"/>
              </w:rPr>
              <w:t xml:space="preserve"> to IT equipment.</w:t>
            </w:r>
            <w:r>
              <w:rPr>
                <w:rFonts w:ascii="Times New Roman" w:eastAsia="Times New Roman" w:hAnsi="Times New Roman"/>
                <w:sz w:val="12"/>
                <w:szCs w:val="12"/>
              </w:rPr>
              <w:br/>
              <w:t>It is the reciprocal of PUE.</w:t>
            </w:r>
          </w:p>
        </w:tc>
        <w:tc>
          <w:tcPr>
            <w:tcW w:w="1721" w:type="dxa"/>
            <w:vAlign w:val="center"/>
          </w:tcPr>
          <w:p w14:paraId="5562352C" w14:textId="77777777" w:rsidR="007C2F53" w:rsidRDefault="00000000" w:rsidP="000F1AD0">
            <w:pPr>
              <w:spacing w:line="160" w:lineRule="exact"/>
              <w:jc w:val="left"/>
              <w:rPr>
                <w:rFonts w:ascii="Times New Roman" w:eastAsia="Times New Roman" w:hAnsi="Times New Roman"/>
                <w:sz w:val="12"/>
                <w:szCs w:val="12"/>
              </w:rPr>
            </w:pPr>
            <w:sdt>
              <w:sdtPr>
                <w:rPr>
                  <w:rFonts w:ascii="Times New Roman" w:eastAsia="Times New Roman" w:hAnsi="Times New Roman"/>
                  <w:sz w:val="12"/>
                  <w:szCs w:val="12"/>
                </w:rPr>
                <w:tag w:val="goog_rdk_27"/>
                <w:id w:val="-812954581"/>
              </w:sdtPr>
              <w:sdtContent>
                <w:r w:rsidR="007C2F53" w:rsidRPr="00FB51CF">
                  <w:rPr>
                    <w:rFonts w:ascii="Times New Roman" w:eastAsia="Times New Roman" w:hAnsi="Times New Roman"/>
                    <w:sz w:val="12"/>
                    <w:szCs w:val="12"/>
                  </w:rPr>
                  <w:t xml:space="preserve">Range: 0 &lt; </w:t>
                </w:r>
                <w:proofErr w:type="spellStart"/>
                <w:r w:rsidR="007C2F53" w:rsidRPr="00FB51CF">
                  <w:rPr>
                    <w:rFonts w:ascii="Times New Roman" w:eastAsia="Times New Roman" w:hAnsi="Times New Roman"/>
                    <w:sz w:val="12"/>
                    <w:szCs w:val="12"/>
                  </w:rPr>
                  <w:t>DCiE</w:t>
                </w:r>
                <w:proofErr w:type="spellEnd"/>
                <w:r w:rsidR="007C2F53" w:rsidRPr="00FB51CF">
                  <w:rPr>
                    <w:rFonts w:ascii="Times New Roman" w:eastAsia="Times New Roman" w:hAnsi="Times New Roman"/>
                    <w:sz w:val="12"/>
                    <w:szCs w:val="12"/>
                  </w:rPr>
                  <w:t xml:space="preserve"> ≤ 1.</w:t>
                </w:r>
                <w:r w:rsidR="007C2F53" w:rsidRPr="00FB51CF">
                  <w:rPr>
                    <w:rFonts w:ascii="Times New Roman" w:eastAsia="Times New Roman" w:hAnsi="Times New Roman"/>
                    <w:sz w:val="12"/>
                    <w:szCs w:val="12"/>
                  </w:rPr>
                  <w:br/>
                  <w:t>Meaning: Higher is better; values closer to 1 indicate a larger share of energy going to IT work.</w:t>
                </w:r>
              </w:sdtContent>
            </w:sdt>
          </w:p>
        </w:tc>
        <w:tc>
          <w:tcPr>
            <w:tcW w:w="1895" w:type="dxa"/>
            <w:vAlign w:val="center"/>
          </w:tcPr>
          <w:p w14:paraId="339EB36D"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Used alongside PUE for data center efficiency reporting; sometimes preferred for expressing "percentage of useful energy" to management.</w:t>
            </w:r>
          </w:p>
        </w:tc>
      </w:tr>
      <w:tr w:rsidR="007C2F53" w14:paraId="03F85183" w14:textId="77777777" w:rsidTr="002B3C97">
        <w:trPr>
          <w:trHeight w:val="653"/>
        </w:trPr>
        <w:tc>
          <w:tcPr>
            <w:tcW w:w="1094" w:type="dxa"/>
            <w:vAlign w:val="center"/>
          </w:tcPr>
          <w:p w14:paraId="04150AAC"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Water Usage Effectiveness</w:t>
            </w:r>
          </w:p>
        </w:tc>
        <w:tc>
          <w:tcPr>
            <w:tcW w:w="798" w:type="dxa"/>
            <w:vAlign w:val="center"/>
          </w:tcPr>
          <w:p w14:paraId="36471358"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WUE</w:t>
            </w:r>
          </w:p>
        </w:tc>
        <w:tc>
          <w:tcPr>
            <w:tcW w:w="2900" w:type="dxa"/>
            <w:vAlign w:val="center"/>
          </w:tcPr>
          <w:p w14:paraId="5FBDECE9"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WUE =</m:t>
                </m:r>
                <m:f>
                  <m:fPr>
                    <m:ctrlPr>
                      <w:rPr>
                        <w:rFonts w:ascii="Cambria Math" w:eastAsia="Cambria Math" w:hAnsi="Cambria Math" w:cs="Cambria Math"/>
                        <w:i/>
                        <w:sz w:val="12"/>
                        <w:szCs w:val="12"/>
                      </w:rPr>
                    </m:ctrlPr>
                  </m:fPr>
                  <m:num>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V</m:t>
                        </m:r>
                      </m:e>
                      <m:sub>
                        <m:r>
                          <w:rPr>
                            <w:rFonts w:ascii="Cambria Math" w:eastAsia="Cambria Math" w:hAnsi="Cambria Math" w:cs="Cambria Math"/>
                            <w:sz w:val="12"/>
                            <w:szCs w:val="12"/>
                          </w:rPr>
                          <m:t>Annual Site Water</m:t>
                        </m:r>
                      </m:sub>
                    </m:sSub>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 Equipment</m:t>
                        </m:r>
                      </m:sub>
                    </m:sSub>
                  </m:den>
                </m:f>
              </m:oMath>
            </m:oMathPara>
          </w:p>
          <w:p w14:paraId="14368D99"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V</m:t>
                  </m:r>
                </m:e>
                <m:sub>
                  <m:r>
                    <w:rPr>
                      <w:rFonts w:ascii="Cambria Math" w:eastAsia="Cambria Math" w:hAnsi="Cambria Math" w:cs="Cambria Math"/>
                      <w:sz w:val="12"/>
                      <w:szCs w:val="12"/>
                    </w:rPr>
                    <m:t>Annual Site Water</m:t>
                  </m:r>
                </m:sub>
              </m:sSub>
            </m:oMath>
            <w:r w:rsidR="007C2F53">
              <w:rPr>
                <w:rFonts w:ascii="Times New Roman" w:eastAsia="Times New Roman" w:hAnsi="Times New Roman"/>
                <w:sz w:val="12"/>
                <w:szCs w:val="12"/>
              </w:rPr>
              <w:t xml:space="preserve"> = annual water consumption attributable to the data center (L or m³ per year).</w:t>
            </w:r>
            <w:r w:rsidR="007C2F53">
              <w:rPr>
                <w:rFonts w:ascii="Times New Roman" w:eastAsia="Times New Roman" w:hAnsi="Times New Roman"/>
                <w:sz w:val="12"/>
                <w:szCs w:val="12"/>
              </w:rPr>
              <w:br/>
            </w: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 Equipment</m:t>
                  </m:r>
                </m:sub>
              </m:sSub>
            </m:oMath>
            <w:r w:rsidR="007C2F53">
              <w:rPr>
                <w:rFonts w:ascii="Times New Roman" w:eastAsia="Times New Roman" w:hAnsi="Times New Roman"/>
                <w:sz w:val="12"/>
                <w:szCs w:val="12"/>
              </w:rPr>
              <w:t xml:space="preserve"> = energy consumed by IT equipment over the same period (kWh).</w:t>
            </w:r>
          </w:p>
        </w:tc>
        <w:tc>
          <w:tcPr>
            <w:tcW w:w="1752" w:type="dxa"/>
            <w:vAlign w:val="center"/>
          </w:tcPr>
          <w:p w14:paraId="0BE2F01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Measures how much water is used per unit of IT energy.</w:t>
            </w:r>
            <w:r>
              <w:rPr>
                <w:rFonts w:ascii="Times New Roman" w:eastAsia="Times New Roman" w:hAnsi="Times New Roman"/>
                <w:sz w:val="12"/>
                <w:szCs w:val="12"/>
              </w:rPr>
              <w:br/>
              <w:t>Can be reported as L/kWh, m³/MWh, or similar.</w:t>
            </w:r>
          </w:p>
        </w:tc>
        <w:tc>
          <w:tcPr>
            <w:tcW w:w="1721" w:type="dxa"/>
            <w:vAlign w:val="center"/>
          </w:tcPr>
          <w:p w14:paraId="1C215D1A" w14:textId="77777777" w:rsidR="007C2F53" w:rsidRDefault="00000000" w:rsidP="000F1AD0">
            <w:pPr>
              <w:spacing w:line="160" w:lineRule="exact"/>
              <w:jc w:val="left"/>
              <w:rPr>
                <w:rFonts w:ascii="Times New Roman" w:eastAsia="Times New Roman" w:hAnsi="Times New Roman"/>
                <w:sz w:val="12"/>
                <w:szCs w:val="12"/>
              </w:rPr>
            </w:pPr>
            <w:sdt>
              <w:sdtPr>
                <w:rPr>
                  <w:rFonts w:ascii="Times New Roman" w:eastAsia="Times New Roman" w:hAnsi="Times New Roman"/>
                  <w:sz w:val="12"/>
                  <w:szCs w:val="12"/>
                </w:rPr>
                <w:tag w:val="goog_rdk_28"/>
                <w:id w:val="1025555833"/>
              </w:sdtPr>
              <w:sdtContent>
                <w:r w:rsidR="007C2F53" w:rsidRPr="00FB51CF">
                  <w:rPr>
                    <w:rFonts w:ascii="Times New Roman" w:eastAsia="Times New Roman" w:hAnsi="Times New Roman"/>
                    <w:sz w:val="12"/>
                    <w:szCs w:val="12"/>
                  </w:rPr>
                  <w:t>Range: WUE ≥ 0.</w:t>
                </w:r>
                <w:r w:rsidR="007C2F53" w:rsidRPr="00FB51CF">
                  <w:rPr>
                    <w:rFonts w:ascii="Times New Roman" w:eastAsia="Times New Roman" w:hAnsi="Times New Roman"/>
                    <w:sz w:val="12"/>
                    <w:szCs w:val="12"/>
                  </w:rPr>
                  <w:br/>
                  <w:t>Meaning: Lower is better; smaller values indicate less water used per unit of IT work.</w:t>
                </w:r>
              </w:sdtContent>
            </w:sdt>
          </w:p>
        </w:tc>
        <w:tc>
          <w:tcPr>
            <w:tcW w:w="1895" w:type="dxa"/>
            <w:vAlign w:val="center"/>
          </w:tcPr>
          <w:p w14:paraId="46FD7182"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Assessment of water footprint of data centers; comparison of cooling technologies (evaporative vs. air-cooled); environmental and ESG reporting.</w:t>
            </w:r>
          </w:p>
        </w:tc>
      </w:tr>
      <w:tr w:rsidR="007C2F53" w14:paraId="0CFBD1B1" w14:textId="77777777" w:rsidTr="002B3C97">
        <w:trPr>
          <w:trHeight w:val="285"/>
        </w:trPr>
        <w:tc>
          <w:tcPr>
            <w:tcW w:w="1094" w:type="dxa"/>
            <w:vAlign w:val="center"/>
          </w:tcPr>
          <w:p w14:paraId="685BB46D"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Carbon Usage Effectiveness</w:t>
            </w:r>
          </w:p>
        </w:tc>
        <w:tc>
          <w:tcPr>
            <w:tcW w:w="798" w:type="dxa"/>
            <w:vAlign w:val="center"/>
          </w:tcPr>
          <w:p w14:paraId="2125AF63"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CUE</w:t>
            </w:r>
          </w:p>
        </w:tc>
        <w:tc>
          <w:tcPr>
            <w:tcW w:w="2900" w:type="dxa"/>
            <w:vAlign w:val="center"/>
          </w:tcPr>
          <w:p w14:paraId="3DC6311F" w14:textId="77777777" w:rsidR="007C2F53" w:rsidRPr="00D515A5" w:rsidRDefault="007C2F53" w:rsidP="000F1AD0">
            <w:pPr>
              <w:spacing w:line="240" w:lineRule="atLeast"/>
              <w:jc w:val="center"/>
              <w:rPr>
                <w:rFonts w:ascii="Cambria Math" w:eastAsia="Cambria Math" w:hAnsi="Cambria Math" w:cs="Cambria Math"/>
                <w:i/>
                <w:sz w:val="12"/>
                <w:szCs w:val="12"/>
              </w:rPr>
            </w:pPr>
            <m:oMath>
              <m:r>
                <w:rPr>
                  <w:rFonts w:ascii="Cambria Math" w:eastAsia="Cambria Math" w:hAnsi="Cambria Math" w:cs="Cambria Math"/>
                  <w:sz w:val="12"/>
                  <w:szCs w:val="12"/>
                </w:rPr>
                <m:t>CUE =</m:t>
              </m:r>
              <m:f>
                <m:fPr>
                  <m:ctrlPr>
                    <w:rPr>
                      <w:rFonts w:ascii="Cambria Math" w:eastAsia="Cambria Math" w:hAnsi="Cambria Math" w:cs="Cambria Math"/>
                      <w:i/>
                      <w:sz w:val="12"/>
                      <w:szCs w:val="12"/>
                    </w:rPr>
                  </m:ctrlPr>
                </m:fPr>
                <m:num>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M</m:t>
                      </m:r>
                    </m:e>
                    <m:sub>
                      <m:r>
                        <w:rPr>
                          <w:rFonts w:ascii="Cambria Math" w:eastAsia="Cambria Math" w:hAnsi="Cambria Math" w:cs="Cambria Math"/>
                          <w:sz w:val="12"/>
                          <w:szCs w:val="12"/>
                        </w:rPr>
                        <m:t>CO2</m:t>
                      </m:r>
                    </m:sub>
                  </m:sSub>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m:t>
                      </m:r>
                    </m:sub>
                  </m:sSub>
                </m:den>
              </m:f>
            </m:oMath>
            <w:r w:rsidRPr="00D515A5">
              <w:rPr>
                <w:rFonts w:ascii="Cambria Math" w:eastAsia="Cambria Math" w:hAnsi="Cambria Math" w:cs="Cambria Math"/>
                <w:i/>
                <w:sz w:val="12"/>
                <w:szCs w:val="12"/>
              </w:rPr>
              <w:t xml:space="preserve"> </w:t>
            </w:r>
          </w:p>
          <w:p w14:paraId="7757490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or equivalently: </w:t>
            </w:r>
            <m:oMath>
              <m:r>
                <w:rPr>
                  <w:rFonts w:ascii="Cambria Math" w:eastAsia="Cambria Math" w:hAnsi="Cambria Math" w:cs="Cambria Math"/>
                  <w:sz w:val="12"/>
                  <w:szCs w:val="12"/>
                </w:rPr>
                <m:t>CUE = PUE × CEF</m:t>
              </m:r>
            </m:oMath>
            <w:r>
              <w:rPr>
                <w:rFonts w:ascii="Times New Roman" w:eastAsia="Times New Roman" w:hAnsi="Times New Roman"/>
                <w:sz w:val="12"/>
                <w:szCs w:val="12"/>
              </w:rPr>
              <w:br/>
              <w:t xml:space="preserve">Where </w:t>
            </w: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M</m:t>
                  </m:r>
                </m:e>
                <m:sub>
                  <m:r>
                    <w:rPr>
                      <w:rFonts w:ascii="Cambria Math" w:eastAsia="Cambria Math" w:hAnsi="Cambria Math" w:cs="Cambria Math"/>
                      <w:sz w:val="12"/>
                      <w:szCs w:val="12"/>
                    </w:rPr>
                    <m:t>CO2</m:t>
                  </m:r>
                </m:sub>
              </m:sSub>
            </m:oMath>
            <w:r>
              <w:rPr>
                <w:rFonts w:ascii="Times New Roman" w:eastAsia="Times New Roman" w:hAnsi="Times New Roman"/>
                <w:sz w:val="12"/>
                <w:szCs w:val="12"/>
              </w:rPr>
              <w:t xml:space="preserve"> = total annual CO₂-equivalent emissions associated with the data center (kg CO₂e/year).</w:t>
            </w:r>
            <w:r>
              <w:rPr>
                <w:rFonts w:ascii="Times New Roman" w:eastAsia="Times New Roman" w:hAnsi="Times New Roman"/>
                <w:sz w:val="12"/>
                <w:szCs w:val="12"/>
              </w:rPr>
              <w:br/>
            </w: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m:t>
                  </m:r>
                </m:sub>
              </m:sSub>
            </m:oMath>
            <w:r>
              <w:rPr>
                <w:rFonts w:ascii="Times New Roman" w:eastAsia="Times New Roman" w:hAnsi="Times New Roman"/>
                <w:sz w:val="12"/>
                <w:szCs w:val="12"/>
              </w:rPr>
              <w:t xml:space="preserve"> = annual IT equipment energy consumption (kWh/year).</w:t>
            </w:r>
            <w:r>
              <w:rPr>
                <w:rFonts w:ascii="Times New Roman" w:eastAsia="Times New Roman" w:hAnsi="Times New Roman"/>
                <w:sz w:val="12"/>
                <w:szCs w:val="12"/>
              </w:rPr>
              <w:br/>
            </w:r>
            <m:oMath>
              <m:r>
                <w:rPr>
                  <w:rFonts w:ascii="Cambria Math" w:eastAsia="Cambria Math" w:hAnsi="Cambria Math" w:cs="Cambria Math"/>
                  <w:sz w:val="12"/>
                  <w:szCs w:val="12"/>
                </w:rPr>
                <w:lastRenderedPageBreak/>
                <m:t>CEF</m:t>
              </m:r>
            </m:oMath>
            <w:r>
              <w:rPr>
                <w:rFonts w:ascii="Times New Roman" w:eastAsia="Times New Roman" w:hAnsi="Times New Roman"/>
                <w:sz w:val="12"/>
                <w:szCs w:val="12"/>
              </w:rPr>
              <w:t xml:space="preserve"> = carbon emission factor of the electricity supply (kg CO₂e/kWh).</w:t>
            </w:r>
          </w:p>
        </w:tc>
        <w:tc>
          <w:tcPr>
            <w:tcW w:w="1752" w:type="dxa"/>
            <w:vAlign w:val="center"/>
          </w:tcPr>
          <w:p w14:paraId="6A99786B"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lastRenderedPageBreak/>
              <w:t>Measures greenhouse gas emissions per unit of IT energy.</w:t>
            </w:r>
            <w:r>
              <w:rPr>
                <w:rFonts w:ascii="Times New Roman" w:eastAsia="Times New Roman" w:hAnsi="Times New Roman"/>
                <w:sz w:val="12"/>
                <w:szCs w:val="12"/>
              </w:rPr>
              <w:br/>
              <w:t>Using CUE = PUE × CEF explicitly connects facility efficiency with grid carbon intensity.</w:t>
            </w:r>
          </w:p>
        </w:tc>
        <w:tc>
          <w:tcPr>
            <w:tcW w:w="1721" w:type="dxa"/>
            <w:vAlign w:val="center"/>
          </w:tcPr>
          <w:p w14:paraId="1CAD89D9" w14:textId="77777777" w:rsidR="007C2F53" w:rsidRDefault="00000000" w:rsidP="000F1AD0">
            <w:pPr>
              <w:spacing w:line="160" w:lineRule="exact"/>
              <w:jc w:val="left"/>
              <w:rPr>
                <w:rFonts w:ascii="Times New Roman" w:eastAsia="Times New Roman" w:hAnsi="Times New Roman"/>
                <w:sz w:val="12"/>
                <w:szCs w:val="12"/>
              </w:rPr>
            </w:pPr>
            <w:sdt>
              <w:sdtPr>
                <w:rPr>
                  <w:rFonts w:ascii="Times New Roman" w:eastAsia="Times New Roman" w:hAnsi="Times New Roman"/>
                  <w:sz w:val="12"/>
                  <w:szCs w:val="12"/>
                </w:rPr>
                <w:tag w:val="goog_rdk_29"/>
                <w:id w:val="-238208038"/>
              </w:sdtPr>
              <w:sdtContent>
                <w:r w:rsidR="007C2F53" w:rsidRPr="00FB51CF">
                  <w:rPr>
                    <w:rFonts w:ascii="Times New Roman" w:eastAsia="Times New Roman" w:hAnsi="Times New Roman"/>
                    <w:sz w:val="12"/>
                    <w:szCs w:val="12"/>
                  </w:rPr>
                  <w:t>Range: CUE ≥ 0.</w:t>
                </w:r>
                <w:r w:rsidR="007C2F53" w:rsidRPr="00FB51CF">
                  <w:rPr>
                    <w:rFonts w:ascii="Times New Roman" w:eastAsia="Times New Roman" w:hAnsi="Times New Roman"/>
                    <w:sz w:val="12"/>
                    <w:szCs w:val="12"/>
                  </w:rPr>
                  <w:br/>
                  <w:t>Meaning: Lower is better; smaller values indicate lower carbon intensity of operations.</w:t>
                </w:r>
              </w:sdtContent>
            </w:sdt>
          </w:p>
        </w:tc>
        <w:tc>
          <w:tcPr>
            <w:tcW w:w="1895" w:type="dxa"/>
            <w:vAlign w:val="center"/>
          </w:tcPr>
          <w:p w14:paraId="488E0FAA"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Used for carbon and ESG accounting for data centers; comparing sites with different grid mixes; evaluating decarbonization strategies (renewables, PPAs, etc.).</w:t>
            </w:r>
          </w:p>
        </w:tc>
      </w:tr>
      <w:tr w:rsidR="007C2F53" w14:paraId="164D2CCB" w14:textId="77777777" w:rsidTr="002B3C97">
        <w:trPr>
          <w:trHeight w:val="846"/>
        </w:trPr>
        <w:tc>
          <w:tcPr>
            <w:tcW w:w="1094" w:type="dxa"/>
            <w:vAlign w:val="center"/>
          </w:tcPr>
          <w:p w14:paraId="33A81A1D"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Energy Reuse Effectiveness</w:t>
            </w:r>
          </w:p>
        </w:tc>
        <w:tc>
          <w:tcPr>
            <w:tcW w:w="798" w:type="dxa"/>
            <w:vAlign w:val="center"/>
          </w:tcPr>
          <w:p w14:paraId="52FEA7D2"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ERE</w:t>
            </w:r>
          </w:p>
        </w:tc>
        <w:tc>
          <w:tcPr>
            <w:tcW w:w="2900" w:type="dxa"/>
            <w:vAlign w:val="center"/>
          </w:tcPr>
          <w:p w14:paraId="0E79029A"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ERE =</m:t>
                </m:r>
                <m:f>
                  <m:fPr>
                    <m:ctrlPr>
                      <w:rPr>
                        <w:rFonts w:ascii="Cambria Math" w:eastAsia="Cambria Math" w:hAnsi="Cambria Math" w:cs="Cambria Math"/>
                        <w:i/>
                        <w:sz w:val="12"/>
                        <w:szCs w:val="12"/>
                      </w:rPr>
                    </m:ctrlPr>
                  </m:fPr>
                  <m:num>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Total Facility</m:t>
                        </m:r>
                      </m:sub>
                    </m:sSub>
                    <m:r>
                      <w:rPr>
                        <w:rFonts w:ascii="Cambria Math" w:eastAsia="Cambria Math" w:hAnsi="Cambria Math" w:cs="Cambria Math"/>
                        <w:sz w:val="12"/>
                        <w:szCs w:val="12"/>
                      </w:rPr>
                      <m:t xml:space="preserve"> - </m:t>
                    </m:r>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Reuse</m:t>
                        </m:r>
                      </m:sub>
                    </m:sSub>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 Equipment</m:t>
                        </m:r>
                      </m:sub>
                    </m:sSub>
                  </m:den>
                </m:f>
              </m:oMath>
            </m:oMathPara>
          </w:p>
          <w:p w14:paraId="53658338"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or equivalently: </w:t>
            </w:r>
            <m:oMath>
              <m:r>
                <w:rPr>
                  <w:rFonts w:ascii="Cambria Math" w:eastAsia="Cambria Math" w:hAnsi="Cambria Math" w:cs="Cambria Math"/>
                  <w:sz w:val="12"/>
                  <w:szCs w:val="12"/>
                </w:rPr>
                <m:t xml:space="preserve">ERE = </m:t>
              </m:r>
              <m:d>
                <m:dPr>
                  <m:ctrlPr>
                    <w:rPr>
                      <w:rFonts w:ascii="Cambria Math" w:eastAsia="Cambria Math" w:hAnsi="Cambria Math" w:cs="Cambria Math"/>
                      <w:sz w:val="12"/>
                      <w:szCs w:val="12"/>
                    </w:rPr>
                  </m:ctrlPr>
                </m:dPr>
                <m:e>
                  <m:r>
                    <w:rPr>
                      <w:rFonts w:ascii="Cambria Math" w:eastAsia="Cambria Math" w:hAnsi="Cambria Math" w:cs="Cambria Math"/>
                      <w:sz w:val="12"/>
                      <w:szCs w:val="12"/>
                    </w:rPr>
                    <m:t>1 - ERF</m:t>
                  </m:r>
                </m:e>
              </m:d>
              <m:r>
                <w:rPr>
                  <w:rFonts w:ascii="Cambria Math" w:eastAsia="Cambria Math" w:hAnsi="Cambria Math" w:cs="Cambria Math"/>
                  <w:sz w:val="12"/>
                  <w:szCs w:val="12"/>
                </w:rPr>
                <m:t>× PUE</m:t>
              </m:r>
            </m:oMath>
          </w:p>
          <w:p w14:paraId="7867DACD"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Total Facility</m:t>
                  </m:r>
                </m:sub>
              </m:sSub>
            </m:oMath>
            <w:r w:rsidR="007C2F53">
              <w:rPr>
                <w:rFonts w:ascii="Times New Roman" w:eastAsia="Times New Roman" w:hAnsi="Times New Roman"/>
                <w:sz w:val="12"/>
                <w:szCs w:val="12"/>
              </w:rPr>
              <w:t xml:space="preserve"> and </w:t>
            </w:r>
            <m:oMath>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IT Equipment</m:t>
                  </m:r>
                </m:sub>
              </m:sSub>
            </m:oMath>
            <w:r w:rsidR="007C2F53">
              <w:rPr>
                <w:rFonts w:ascii="Times New Roman" w:eastAsia="Times New Roman" w:hAnsi="Times New Roman"/>
                <w:sz w:val="12"/>
                <w:szCs w:val="12"/>
              </w:rPr>
              <w:t xml:space="preserve"> are the same as before. </w:t>
            </w:r>
          </w:p>
          <w:p w14:paraId="4341D40C" w14:textId="77777777" w:rsidR="007C2F53" w:rsidRDefault="00000000" w:rsidP="000F1AD0">
            <w:pPr>
              <w:spacing w:line="240" w:lineRule="atLeast"/>
              <w:jc w:val="center"/>
              <w:rPr>
                <w:rFonts w:ascii="Times New Roman" w:eastAsiaTheme="minorEastAsia"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Reuse</m:t>
                  </m:r>
                </m:sub>
              </m:sSub>
            </m:oMath>
            <w:r w:rsidR="007C2F53">
              <w:rPr>
                <w:rFonts w:ascii="Times New Roman" w:eastAsia="Times New Roman" w:hAnsi="Times New Roman"/>
                <w:sz w:val="12"/>
                <w:szCs w:val="12"/>
              </w:rPr>
              <w:t xml:space="preserve"> = portion of data center energy that is beneficially reused outside the data center (kWh).</w:t>
            </w:r>
          </w:p>
          <w:p w14:paraId="4F70A7A6" w14:textId="77777777" w:rsidR="007C2F53" w:rsidRDefault="007C2F53" w:rsidP="000F1AD0">
            <w:pPr>
              <w:spacing w:line="240" w:lineRule="atLeast"/>
              <w:jc w:val="left"/>
              <w:rPr>
                <w:rFonts w:ascii="Times New Roman" w:eastAsia="Times New Roman" w:hAnsi="Times New Roman"/>
                <w:sz w:val="12"/>
                <w:szCs w:val="12"/>
              </w:rPr>
            </w:pPr>
            <m:oMath>
              <m:r>
                <w:rPr>
                  <w:rFonts w:ascii="Cambria Math" w:eastAsia="Cambria Math" w:hAnsi="Cambria Math" w:cs="Cambria Math"/>
                  <w:sz w:val="12"/>
                  <w:szCs w:val="12"/>
                </w:rPr>
                <m:t>ERF =</m:t>
              </m:r>
              <m:f>
                <m:fPr>
                  <m:ctrlPr>
                    <w:rPr>
                      <w:rFonts w:ascii="Cambria Math" w:eastAsia="Cambria Math" w:hAnsi="Cambria Math" w:cs="Cambria Math"/>
                      <w:i/>
                      <w:sz w:val="12"/>
                      <w:szCs w:val="12"/>
                    </w:rPr>
                  </m:ctrlPr>
                </m:fPr>
                <m:num>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reuse</m:t>
                      </m:r>
                    </m:sub>
                  </m:sSub>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Total Facility</m:t>
                      </m:r>
                    </m:sub>
                  </m:sSub>
                </m:den>
              </m:f>
              <m:r>
                <w:rPr>
                  <w:rFonts w:ascii="Cambria Math" w:eastAsia="Cambria Math" w:hAnsi="Cambria Math" w:cs="Cambria Math"/>
                  <w:sz w:val="12"/>
                  <w:szCs w:val="12"/>
                </w:rPr>
                <m:t xml:space="preserve">  (energy reuse factor)</m:t>
              </m:r>
            </m:oMath>
            <w:r>
              <w:rPr>
                <w:rFonts w:ascii="Times New Roman" w:eastAsia="Times New Roman" w:hAnsi="Times New Roman"/>
                <w:sz w:val="12"/>
                <w:szCs w:val="12"/>
              </w:rPr>
              <w:t>.</w:t>
            </w:r>
          </w:p>
        </w:tc>
        <w:tc>
          <w:tcPr>
            <w:tcW w:w="1752" w:type="dxa"/>
            <w:vAlign w:val="center"/>
          </w:tcPr>
          <w:p w14:paraId="2FDC7C99"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Adjusts PUE to account for beneficial reuse of waste heat.</w:t>
            </w:r>
            <w:r>
              <w:rPr>
                <w:rFonts w:ascii="Times New Roman" w:eastAsia="Times New Roman" w:hAnsi="Times New Roman"/>
                <w:sz w:val="12"/>
                <w:szCs w:val="12"/>
              </w:rPr>
              <w:br/>
              <w:t>Lower ERE indicates higher overall effective efficiency when reused energy is considered.</w:t>
            </w:r>
          </w:p>
        </w:tc>
        <w:tc>
          <w:tcPr>
            <w:tcW w:w="1721" w:type="dxa"/>
            <w:vAlign w:val="center"/>
          </w:tcPr>
          <w:p w14:paraId="38A4C5A3" w14:textId="77777777" w:rsidR="007C2F53" w:rsidRDefault="00000000" w:rsidP="000F1AD0">
            <w:pPr>
              <w:spacing w:line="160" w:lineRule="exact"/>
              <w:jc w:val="left"/>
              <w:rPr>
                <w:rFonts w:ascii="Times New Roman" w:eastAsia="Times New Roman" w:hAnsi="Times New Roman"/>
                <w:sz w:val="12"/>
                <w:szCs w:val="12"/>
              </w:rPr>
            </w:pPr>
            <w:sdt>
              <w:sdtPr>
                <w:rPr>
                  <w:rFonts w:ascii="Times New Roman" w:eastAsia="Times New Roman" w:hAnsi="Times New Roman"/>
                  <w:sz w:val="12"/>
                  <w:szCs w:val="12"/>
                </w:rPr>
                <w:tag w:val="goog_rdk_30"/>
                <w:id w:val="-283815441"/>
              </w:sdtPr>
              <w:sdtContent>
                <w:r w:rsidR="007C2F53" w:rsidRPr="00FB51CF">
                  <w:rPr>
                    <w:rFonts w:ascii="Times New Roman" w:eastAsia="Times New Roman" w:hAnsi="Times New Roman"/>
                    <w:sz w:val="12"/>
                    <w:szCs w:val="12"/>
                  </w:rPr>
                  <w:t>Range: 0 ≤ ERE ≤ PUE.</w:t>
                </w:r>
                <w:r w:rsidR="007C2F53" w:rsidRPr="00FB51CF">
                  <w:rPr>
                    <w:rFonts w:ascii="Times New Roman" w:eastAsia="Times New Roman" w:hAnsi="Times New Roman"/>
                    <w:sz w:val="12"/>
                    <w:szCs w:val="12"/>
                  </w:rPr>
                  <w:br/>
                  <w:t>Meaning: Lower is better; an ERE less than PUE reflects effective energy reuse.</w:t>
                </w:r>
              </w:sdtContent>
            </w:sdt>
          </w:p>
        </w:tc>
        <w:tc>
          <w:tcPr>
            <w:tcW w:w="1895" w:type="dxa"/>
            <w:vAlign w:val="center"/>
          </w:tcPr>
          <w:p w14:paraId="243EBFB4"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Evaluation of data centers that export waste heat (district heating, building heating, industrial processes); used when assessing integrated energy systems and circular energy.</w:t>
            </w:r>
          </w:p>
        </w:tc>
      </w:tr>
    </w:tbl>
    <w:p w14:paraId="29BC1767" w14:textId="77777777" w:rsidR="007C2F53" w:rsidRPr="00ED5755" w:rsidRDefault="007C2F53" w:rsidP="007C2F53">
      <w:pPr>
        <w:pStyle w:val="MDPI31text"/>
      </w:pPr>
    </w:p>
    <w:p w14:paraId="2FDA91FA" w14:textId="1544C4FC" w:rsidR="007C2F53" w:rsidRDefault="007C2F53" w:rsidP="007C2F53">
      <w:pPr>
        <w:pStyle w:val="MDPI21heading1"/>
        <w:rPr>
          <w:bCs/>
          <w:lang w:val="en"/>
        </w:rPr>
      </w:pPr>
      <w:r w:rsidRPr="00ED5755">
        <w:t xml:space="preserve">Appendix </w:t>
      </w:r>
      <w:r w:rsidR="005E04FA">
        <w:rPr>
          <w:rFonts w:eastAsiaTheme="minorEastAsia" w:hint="eastAsia"/>
          <w:bCs/>
          <w:lang w:val="en" w:eastAsia="zh-CN"/>
        </w:rPr>
        <w:t>D</w:t>
      </w:r>
      <w:r w:rsidRPr="008D769E">
        <w:rPr>
          <w:bCs/>
          <w:lang w:val="en"/>
        </w:rPr>
        <w:t>. Comprehensive Mapping of TCO-Series Metrics, Formulas, and Economic Semantics</w:t>
      </w:r>
    </w:p>
    <w:p w14:paraId="6F1EE934" w14:textId="77777777" w:rsidR="007C2F53" w:rsidRPr="008D769E" w:rsidRDefault="007C2F53" w:rsidP="007C2F53">
      <w:pPr>
        <w:pStyle w:val="MDPI31text"/>
      </w:pPr>
      <w:r w:rsidRPr="008D769E">
        <w:t xml:space="preserve">Total Cost of Ownership (TCO) has long served as the foundational economic framework for evaluating </w:t>
      </w:r>
      <w:proofErr w:type="gramStart"/>
      <w:r w:rsidRPr="008D769E">
        <w:t>data-center</w:t>
      </w:r>
      <w:proofErr w:type="gramEnd"/>
      <w:r w:rsidRPr="008D769E">
        <w:t xml:space="preserve"> and compute-infrastructure investments. The earliest formal treatments, most notably </w:t>
      </w:r>
      <w:proofErr w:type="spellStart"/>
      <w:r w:rsidRPr="008D769E">
        <w:t>Koomey</w:t>
      </w:r>
      <w:proofErr w:type="spellEnd"/>
      <w:r w:rsidRPr="008D769E">
        <w:t xml:space="preserve"> (2007) and Rasmussen (2005), established TCO as a lifecycle accounting model that captures capital expenditure, operational expenditure, energy consumption, cooling requirements, power-distribution overhead, and infrastructure depreciation </w:t>
      </w:r>
      <w:r>
        <w:fldChar w:fldCharType="begin"/>
      </w:r>
      <w:r>
        <w:instrText xml:space="preserve"> ADDIN EN.CITE &lt;EndNote&gt;&lt;Cite&gt;&lt;Author&gt;Koomey&lt;/Author&gt;&lt;Year&gt;2007&lt;/Year&gt;&lt;RecNum&gt;14&lt;/RecNum&gt;&lt;DisplayText&gt;&lt;style size="10"&gt;[12,51]&lt;/style&gt;&lt;/DisplayText&gt;&lt;record&gt;&lt;rec-number&gt;14&lt;/rec-number&gt;&lt;foreign-keys&gt;&lt;key app="EN" db-id="5f9xazta90s0z6er29opzrwb92505sz200ev" timestamp="1769688803"&gt;14&lt;/key&gt;&lt;/foreign-keys&gt;&lt;ref-type name="Online Database"&gt;45&lt;/ref-type&gt;&lt;contributors&gt;&lt;authors&gt;&lt;author&gt;Koomey, Jonathan&lt;/author&gt;&lt;author&gt;Turner, Pitt&lt;/author&gt;&lt;author&gt;Stanley, John&lt;/author&gt;&lt;author&gt;Taylor, Bruce&lt;/author&gt;&lt;/authors&gt;&lt;/contributors&gt;&lt;titles&gt;&lt;title&gt;A simple model for determining true total cost of ownership for data centers&lt;/title&gt;&lt;/titles&gt;&lt;dates&gt;&lt;year&gt;2007&lt;/year&gt;&lt;pub-dates&gt;&lt;date&gt;01/01&lt;/date&gt;&lt;/pub-dates&gt;&lt;/dates&gt;&lt;urls&gt;&lt;/urls&gt;&lt;/record&gt;&lt;/Cite&gt;&lt;Cite&gt;&lt;Author&gt;Rasmussen&lt;/Author&gt;&lt;RecNum&gt;56&lt;/RecNum&gt;&lt;record&gt;&lt;rec-number&gt;56&lt;/rec-number&gt;&lt;foreign-keys&gt;&lt;key app="EN" db-id="5f9xazta90s0z6er29opzrwb92505sz200ev" timestamp="1769760862"&gt;56&lt;/key&gt;&lt;/foreign-keys&gt;&lt;ref-type name="Web Page"&gt;12&lt;/ref-type&gt;&lt;contributors&gt;&lt;authors&gt;&lt;author&gt;Neil Rasmussen&lt;/author&gt;&lt;/authors&gt;&lt;/contributors&gt;&lt;titles&gt;&lt;title&gt;Determining Total Cost of Ownership for Data Center and Network Room Infrastructure&lt;/title&gt;&lt;/titles&gt;&lt;number&gt;2020&lt;/number&gt;&lt;edition&gt;April 14, 2020&lt;/edition&gt;&lt;dates&gt;&lt;/dates&gt;&lt;publisher&gt;Neil Rasmussen&lt;/publisher&gt;&lt;urls&gt;&lt;related-urls&gt;&lt;url&gt;https://www.zones.com/images/pdf/apc_infrastruxure02_wp.pdf&lt;/url&gt;&lt;/related-urls&gt;&lt;/urls&gt;&lt;/record&gt;&lt;/Cite&gt;&lt;/EndNote&gt;</w:instrText>
      </w:r>
      <w:r>
        <w:fldChar w:fldCharType="separate"/>
      </w:r>
      <w:r>
        <w:rPr>
          <w:noProof/>
        </w:rPr>
        <w:t>[</w:t>
      </w:r>
      <w:hyperlink w:anchor="_ENREF_51" w:tooltip="Rasmussen,  #56" w:history="1">
        <w:r>
          <w:rPr>
            <w:rFonts w:eastAsiaTheme="minorEastAsia" w:hint="eastAsia"/>
            <w:noProof/>
            <w:lang w:eastAsia="zh-CN"/>
          </w:rPr>
          <w:t>67</w:t>
        </w:r>
      </w:hyperlink>
      <w:r>
        <w:rPr>
          <w:noProof/>
        </w:rPr>
        <w:t>]</w:t>
      </w:r>
      <w:r>
        <w:fldChar w:fldCharType="end"/>
      </w:r>
      <w:r w:rsidRPr="008D769E">
        <w:t>. These works argue that traditional cost accounting underestimates long-term facility and energy costs and propose a “true TCO” model that aligns financial planning with engineering realities.</w:t>
      </w:r>
    </w:p>
    <w:p w14:paraId="0FE55160" w14:textId="77777777" w:rsidR="007C2F53" w:rsidRPr="008D769E" w:rsidRDefault="007C2F53" w:rsidP="007C2F53">
      <w:pPr>
        <w:pStyle w:val="MDPI31text"/>
      </w:pPr>
      <w:r w:rsidRPr="008D769E">
        <w:t xml:space="preserve">As data-center engineering matured, TCO variants emerged to evaluate cost intensity at different levels of physical granularity. Metrics such as TCO/kW, TCO/Rack, and TCO/kWh became widely used in colocation pricing, energy-storage economics, and data-center design, particularly within APC/Schneider Electric white papers and NREL cost-assessment tools </w:t>
      </w:r>
      <w:r>
        <w:fldChar w:fldCharType="begin">
          <w:fldData xml:space="preserve">PEVuZE5vdGU+PENpdGU+PEF1dGhvcj5SYXNtdXNzZW48L0F1dGhvcj48UmVjTnVtPjU2PC9SZWNO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==
</w:fldData>
        </w:fldChar>
      </w:r>
      <w:r>
        <w:instrText xml:space="preserve"> ADDIN EN.CITE </w:instrText>
      </w:r>
      <w:r>
        <w:fldChar w:fldCharType="begin">
          <w:fldData xml:space="preserve">PEVuZE5vdGU+PENpdGU+PEF1dGhvcj5SYXNtdXNzZW48L0F1dGhvcj48UmVjTnVtPjU2PC9SZWNO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==
</w:fldData>
        </w:fldChar>
      </w:r>
      <w:r>
        <w:instrText xml:space="preserve"> ADDIN EN.CITE.DATA </w:instrText>
      </w:r>
      <w:r>
        <w:fldChar w:fldCharType="end"/>
      </w:r>
      <w:r>
        <w:fldChar w:fldCharType="separate"/>
      </w:r>
      <w:r>
        <w:rPr>
          <w:noProof/>
        </w:rPr>
        <w:t>[</w:t>
      </w:r>
      <w:hyperlink w:anchor="_ENREF_51" w:tooltip="Rasmussen,  #56" w:history="1">
        <w:r>
          <w:rPr>
            <w:rFonts w:eastAsiaTheme="minorEastAsia" w:hint="eastAsia"/>
            <w:noProof/>
            <w:lang w:eastAsia="zh-CN"/>
          </w:rPr>
          <w:t>67</w:t>
        </w:r>
        <w:r>
          <w:rPr>
            <w:noProof/>
          </w:rPr>
          <w:t>-</w:t>
        </w:r>
        <w:r>
          <w:rPr>
            <w:rFonts w:eastAsiaTheme="minorEastAsia" w:hint="eastAsia"/>
            <w:noProof/>
            <w:lang w:eastAsia="zh-CN"/>
          </w:rPr>
          <w:t>69</w:t>
        </w:r>
      </w:hyperlink>
      <w:r>
        <w:rPr>
          <w:noProof/>
        </w:rPr>
        <w:t>]</w:t>
      </w:r>
      <w:r>
        <w:fldChar w:fldCharType="end"/>
      </w:r>
      <w:r w:rsidRPr="008D769E">
        <w:t xml:space="preserve">. These variants highlight how power density, rack utilization, cooling topology, and site electrical configuration reshape the amortized cost structure of large-scale </w:t>
      </w:r>
      <w:proofErr w:type="gramStart"/>
      <w:r w:rsidRPr="008D769E">
        <w:t>compute</w:t>
      </w:r>
      <w:proofErr w:type="gramEnd"/>
      <w:r w:rsidRPr="008D769E">
        <w:t xml:space="preserve"> facilities.</w:t>
      </w:r>
    </w:p>
    <w:p w14:paraId="6B6F8F7D" w14:textId="77777777" w:rsidR="007C2F53" w:rsidRPr="008D769E" w:rsidRDefault="007C2F53" w:rsidP="007C2F53">
      <w:pPr>
        <w:pStyle w:val="MDPI31text"/>
      </w:pPr>
      <w:r w:rsidRPr="008D769E">
        <w:t xml:space="preserve">Broader energy-sector economics contributed additional levelized metrics. The levelized cost of electricity (LCOE), formalized through NREL and EIA methodologies </w:t>
      </w:r>
      <w:r>
        <w:fldChar w:fldCharType="begin"/>
      </w:r>
      <w:r>
        <w:instrText xml:space="preserve"> ADDIN EN.CITE &lt;EndNote&gt;&lt;Cite&gt;&lt;Author&gt;(EIA)&lt;/Author&gt;&lt;RecNum&gt;58&lt;/RecNum&gt;&lt;DisplayText&gt;&lt;style size="10"&gt;[53,54]&lt;/style&gt;&lt;/DisplayText&gt;&lt;record&gt;&lt;rec-number&gt;58&lt;/rec-number&gt;&lt;foreign-keys&gt;&lt;key app="EN" db-id="5f9xazta90s0z6er29opzrwb92505sz200ev" timestamp="1769761406"&gt;58&lt;/key&gt;&lt;/foreign-keys&gt;&lt;ref-type name="Web Page"&gt;12&lt;/ref-type&gt;&lt;contributors&gt;&lt;authors&gt;&lt;author&gt;U.S. Energy Information Administration (EIA)&lt;/author&gt;&lt;/authors&gt;&lt;/contributors&gt;&lt;titles&gt;&lt;title&gt;Levelized Costs of New Generation Resources in the Annual Energy Outlook 2025&lt;/title&gt;&lt;/titles&gt;&lt;number&gt;2025&lt;/number&gt;&lt;dates&gt;&lt;/dates&gt;&lt;publisher&gt;U.S. Energy Information Administration (EIA)&lt;/publisher&gt;&lt;urls&gt;&lt;related-urls&gt;&lt;url&gt;https://www.eia.gov/outlooks/aeo/electricity_generation/&lt;/url&gt;&lt;/related-urls&gt;&lt;/urls&gt;&lt;/record&gt;&lt;/Cite&gt;&lt;Cite&gt;&lt;Author&gt;Ramsden&lt;/Author&gt;&lt;Year&gt;2009&lt;/Year&gt;&lt;RecNum&gt;59&lt;/RecNum&gt;&lt;record&gt;&lt;rec-number&gt;59&lt;/rec-number&gt;&lt;foreign-keys&gt;&lt;key app="EN" db-id="5f9xazta90s0z6er29opzrwb92505sz200ev" timestamp="1769761652"&gt;59&lt;/key&gt;&lt;key app="ENWeb" db-id=""&gt;0&lt;/key&gt;&lt;/foreign-keys&gt;&lt;ref-type name="Report"&gt;27&lt;/ref-type&gt;&lt;contributors&gt;&lt;authors&gt;&lt;author&gt;Ramsden, T&lt;/author&gt;&lt;author&gt;Steward, D&lt;/author&gt;&lt;author&gt;Zuboy, J&lt;/author&gt;&lt;/authors&gt;&lt;/contributors&gt;&lt;titles&gt;&lt;title&gt;Analyzing the levelized cost of centralized and distributed hydrogen production using the H2A production model, version 2&lt;/title&gt;&lt;/titles&gt;&lt;dates&gt;&lt;year&gt;2009&lt;/year&gt;&lt;/dates&gt;&lt;pub-location&gt;United States&lt;/pub-location&gt;&lt;publisher&gt;National Renewable Energy Laboratory (NREL), Golden, CO.&lt;/publisher&gt;&lt;urls&gt;&lt;/urls&gt;&lt;electronic-resource-num&gt;10.2172/965528&lt;/electronic-resource-num&gt;&lt;/record&gt;&lt;/Cite&gt;&lt;/EndNote&gt;</w:instrText>
      </w:r>
      <w:r>
        <w:fldChar w:fldCharType="separate"/>
      </w:r>
      <w:r>
        <w:rPr>
          <w:noProof/>
        </w:rPr>
        <w:t>[</w:t>
      </w:r>
      <w:hyperlink w:anchor="_ENREF_53" w:tooltip="(EIA),  #58" w:history="1">
        <w:r>
          <w:rPr>
            <w:rFonts w:eastAsiaTheme="minorEastAsia" w:hint="eastAsia"/>
            <w:noProof/>
            <w:lang w:eastAsia="zh-CN"/>
          </w:rPr>
          <w:t>69</w:t>
        </w:r>
      </w:hyperlink>
      <w:r>
        <w:rPr>
          <w:noProof/>
        </w:rPr>
        <w:t>,</w:t>
      </w:r>
      <w:hyperlink w:anchor="_ENREF_54" w:tooltip="Ramsden, 2009 #59" w:history="1">
        <w:r>
          <w:rPr>
            <w:rFonts w:eastAsiaTheme="minorEastAsia" w:hint="eastAsia"/>
            <w:noProof/>
            <w:lang w:eastAsia="zh-CN"/>
          </w:rPr>
          <w:t>70</w:t>
        </w:r>
      </w:hyperlink>
      <w:r>
        <w:rPr>
          <w:noProof/>
        </w:rPr>
        <w:t>]</w:t>
      </w:r>
      <w:r>
        <w:fldChar w:fldCharType="end"/>
      </w:r>
      <w:r w:rsidRPr="008D769E">
        <w:t xml:space="preserve">, frames electricity price as a discounted lifecycle quantity rather than an instantaneous rate. The levelized cost of hydrogen (LCOH), widely used in energy-transition analysis </w:t>
      </w:r>
      <w:r>
        <w:fldChar w:fldCharType="begin"/>
      </w:r>
      <w:r>
        <w:instrText xml:space="preserve"> ADDIN EN.CITE &lt;EndNote&gt;&lt;Cite&gt;&lt;Author&gt;Lazard&lt;/Author&gt;&lt;RecNum&gt;60&lt;/RecNum&gt;&lt;DisplayText&gt;&lt;style size="10"&gt;[55,56]&lt;/style&gt;&lt;/DisplayText&gt;&lt;record&gt;&lt;rec-number&gt;60&lt;/rec-number&gt;&lt;foreign-keys&gt;&lt;key app="EN" db-id="5f9xazta90s0z6er29opzrwb92505sz200ev" timestamp="1769768036"&gt;60&lt;/key&gt;&lt;/foreign-keys&gt;&lt;ref-type name="Web Page"&gt;12&lt;/ref-type&gt;&lt;contributors&gt;&lt;authors&gt;&lt;author&gt;Lazard&lt;/author&gt;&lt;/authors&gt;&lt;/contributors&gt;&lt;titles&gt;&lt;title&gt;Levelized Cost Of Energy, Levelized Cost Of Storage, and Levelized Cost Of Hydrogen 2021&lt;/title&gt;&lt;/titles&gt;&lt;number&gt;2021&lt;/number&gt;&lt;dates&gt;&lt;/dates&gt;&lt;publisher&gt;Lazard&lt;/publisher&gt;&lt;urls&gt;&lt;related-urls&gt;&lt;url&gt;https://www.lazard.com/research-insights/levelized-cost-of-energy-levelized-cost-of-storage-and-levelized-cost-of-hydrogen-2021/&lt;/url&gt;&lt;/related-urls&gt;&lt;/urls&gt;&lt;/record&gt;&lt;/Cite&gt;&lt;Cite&gt;&lt;Author&gt;Council&lt;/Author&gt;&lt;RecNum&gt;61&lt;/RecNum&gt;&lt;record&gt;&lt;rec-number&gt;61&lt;/rec-number&gt;&lt;foreign-keys&gt;&lt;key app="EN" db-id="5f9xazta90s0z6er29opzrwb92505sz200ev" timestamp="1769768174"&gt;61&lt;/key&gt;&lt;/foreign-keys&gt;&lt;ref-type name="Web Page"&gt;12&lt;/ref-type&gt;&lt;contributors&gt;&lt;authors&gt;&lt;author&gt;Hydrogen Council&lt;/author&gt;&lt;/authors&gt;&lt;/contributors&gt;&lt;titles&gt;&lt;title&gt;Hydrogen Insights 2023&lt;/title&gt;&lt;/titles&gt;&lt;number&gt;2023&lt;/number&gt;&lt;dates&gt;&lt;/dates&gt;&lt;publisher&gt;Hydrogen Council&lt;/publisher&gt;&lt;urls&gt;&lt;related-urls&gt;&lt;url&gt;https://hydrogencouncil.com/en/hydrogen-insights-2023/&lt;/url&gt;&lt;/related-urls&gt;&lt;/urls&gt;&lt;/record&gt;&lt;/Cite&gt;&lt;/EndNote&gt;</w:instrText>
      </w:r>
      <w:r>
        <w:fldChar w:fldCharType="separate"/>
      </w:r>
      <w:r>
        <w:rPr>
          <w:noProof/>
        </w:rPr>
        <w:t>[</w:t>
      </w:r>
      <w:hyperlink w:anchor="_ENREF_55" w:tooltip="Lazard,  #60" w:history="1">
        <w:r>
          <w:rPr>
            <w:rFonts w:eastAsiaTheme="minorEastAsia" w:hint="eastAsia"/>
            <w:noProof/>
            <w:lang w:eastAsia="zh-CN"/>
          </w:rPr>
          <w:t>71</w:t>
        </w:r>
      </w:hyperlink>
      <w:r>
        <w:rPr>
          <w:rFonts w:eastAsiaTheme="minorEastAsia" w:hint="eastAsia"/>
          <w:lang w:eastAsia="zh-CN"/>
        </w:rPr>
        <w:t>,</w:t>
      </w:r>
      <w:r>
        <w:rPr>
          <w:rFonts w:eastAsiaTheme="minorEastAsia" w:hint="eastAsia"/>
          <w:noProof/>
          <w:lang w:eastAsia="zh-CN"/>
        </w:rPr>
        <w:t>72</w:t>
      </w:r>
      <w:r>
        <w:rPr>
          <w:noProof/>
        </w:rPr>
        <w:t>]</w:t>
      </w:r>
      <w:r>
        <w:fldChar w:fldCharType="end"/>
      </w:r>
      <w:r w:rsidRPr="008D769E">
        <w:t>, introduced standardized techniques for comparing heterogeneous energy carriers. These methods influenced data-center economics by providing a consistent way to evaluate long-run marginal cost under technology turnover, fuel-price volatility, and policy-driven cost shifts.</w:t>
      </w:r>
    </w:p>
    <w:p w14:paraId="31E0906B" w14:textId="77777777" w:rsidR="007C2F53" w:rsidRPr="008D769E" w:rsidRDefault="007C2F53" w:rsidP="007C2F53">
      <w:pPr>
        <w:pStyle w:val="MDPI31text"/>
      </w:pPr>
      <w:r w:rsidRPr="008D769E">
        <w:t xml:space="preserve">With the rise of AI and HPC systems, TCO analysis expanded beyond physical infrastructure to computational output. Metrics such as TCO per </w:t>
      </w:r>
      <w:proofErr w:type="spellStart"/>
      <w:r w:rsidRPr="008D769E">
        <w:t>GPU·hour</w:t>
      </w:r>
      <w:proofErr w:type="spellEnd"/>
      <w:r w:rsidRPr="008D769E">
        <w:t xml:space="preserve">, TCO per FLOP, TCO per inference, and </w:t>
      </w:r>
      <w:proofErr w:type="spellStart"/>
      <w:r w:rsidRPr="008D769E">
        <w:t>TLOps</w:t>
      </w:r>
      <w:proofErr w:type="spellEnd"/>
      <w:r w:rsidRPr="008D769E">
        <w:t xml:space="preserve"> (total levelized operations) emerged to quantify the economic efficiency of compute capacity under modern accelerator architectures. While early HPC economics </w:t>
      </w:r>
      <w:r w:rsidRPr="008D769E">
        <w:lastRenderedPageBreak/>
        <w:t>treated compute cost implicitly, contemporary AI workloads, characterized by high GPU density and steep scaling, require explicit accounting of communication overhead, parallelization constraints, and failure-recovery cost, all of which materially affect amortized cost-per-operation.</w:t>
      </w:r>
    </w:p>
    <w:p w14:paraId="0F1122D4" w14:textId="77777777" w:rsidR="007C2F53" w:rsidRPr="008D769E" w:rsidRDefault="007C2F53" w:rsidP="007C2F53">
      <w:pPr>
        <w:pStyle w:val="MDPI31text"/>
      </w:pPr>
      <w:r w:rsidRPr="008D769E">
        <w:t xml:space="preserve">A major recent development is the Levelized Cost of AI (LCOAI) </w:t>
      </w:r>
      <w:r>
        <w:fldChar w:fldCharType="begin"/>
      </w:r>
      <w:r>
        <w:instrText xml:space="preserve"> ADDIN EN.CITE &lt;EndNote&gt;&lt;Cite&gt;&lt;Author&gt;Curcio&lt;/Author&gt;&lt;Year&gt;2025&lt;/Year&gt;&lt;RecNum&gt;36&lt;/RecNum&gt;&lt;DisplayText&gt;&lt;style size="10"&gt;[31]&lt;/style&gt;&lt;/DisplayText&gt;&lt;record&gt;&lt;rec-number&gt;36&lt;/rec-number&gt;&lt;foreign-keys&gt;&lt;key app="EN" db-id="5f9xazta90s0z6er29opzrwb92505sz200ev" timestamp="1769742445"&gt;36&lt;/key&gt;&lt;key app="ENWeb" db-id=""&gt;0&lt;/key&gt;&lt;/foreign-keys&gt;&lt;ref-type name="Journal Article"&gt;17&lt;/ref-type&gt;&lt;contributors&gt;&lt;authors&gt;&lt;author&gt;Curcio, Eliseo&lt;/author&gt;&lt;/authors&gt;&lt;/contributors&gt;&lt;titles&gt;&lt;title&gt;Introducing LCOAI: A standardized economic metric for evaluating AI deployment costs&lt;/title&gt;&lt;secondary-title&gt;ArXiv&lt;/secondary-title&gt;&lt;/titles&gt;&lt;periodical&gt;&lt;full-title&gt;ArXiv&lt;/full-title&gt;&lt;/periodical&gt;&lt;volume&gt;abs/2509.02596&lt;/volume&gt;&lt;dates&gt;&lt;year&gt;2025&lt;/year&gt;&lt;/dates&gt;&lt;urls&gt;&lt;/urls&gt;&lt;electronic-resource-num&gt;10.48550/arXiv.2509.02596&lt;/electronic-resource-num&gt;&lt;/record&gt;&lt;/Cite&gt;&lt;/EndNote&gt;</w:instrText>
      </w:r>
      <w:r>
        <w:fldChar w:fldCharType="separate"/>
      </w:r>
      <w:r>
        <w:rPr>
          <w:noProof/>
        </w:rPr>
        <w:t>[</w:t>
      </w:r>
      <w:hyperlink w:anchor="_ENREF_31" w:tooltip="Curcio, 2025 #36" w:history="1">
        <w:r>
          <w:rPr>
            <w:noProof/>
          </w:rPr>
          <w:t>31</w:t>
        </w:r>
      </w:hyperlink>
      <w:r>
        <w:rPr>
          <w:noProof/>
        </w:rPr>
        <w:t>]</w:t>
      </w:r>
      <w:r>
        <w:fldChar w:fldCharType="end"/>
      </w:r>
      <w:r w:rsidRPr="008D769E">
        <w:t>. LCOAI extends levelized-energy concepts into AI computation by integrating hardware depreciation, accelerator refresh cycles, cluster topology efficiency, failure rates, power-usage effectiveness, and energy-procurement cost into a unified lifecycle metric. It also formalizes cost-per-inference and cost-per-training-run as levelized quantities comparable across hardware generations, cloud platforms, and deployment environments.</w:t>
      </w:r>
    </w:p>
    <w:p w14:paraId="1F71DD35" w14:textId="77777777" w:rsidR="007C2F53" w:rsidRDefault="007C2F53" w:rsidP="007C2F53">
      <w:pPr>
        <w:pStyle w:val="MDPI31text"/>
      </w:pPr>
      <w:r w:rsidRPr="008D769E">
        <w:t xml:space="preserve">Finally, newer conceptual metrics such as TECO (Total Environmental Cost of Ownership) and MTCOF (Marginal TCO of Compute Flow) reflect the growing need to incorporate sustainability, carbon pricing, and marginal-cost modeling into infrastructure economics </w:t>
      </w:r>
      <w:r>
        <w:fldChar w:fldCharType="begin"/>
      </w:r>
      <w:r>
        <w:instrText xml:space="preserve"> ADDIN EN.CITE &lt;EndNote&gt;&lt;Cite&gt;&lt;Author&gt;(EIA)&lt;/Author&gt;&lt;RecNum&gt;58&lt;/RecNum&gt;&lt;DisplayText&gt;&lt;style size="10"&gt;[53]&lt;/style&gt;&lt;/DisplayText&gt;&lt;record&gt;&lt;rec-number&gt;58&lt;/rec-number&gt;&lt;foreign-keys&gt;&lt;key app="EN" db-id="5f9xazta90s0z6er29opzrwb92505sz200ev" timestamp="1769761406"&gt;58&lt;/key&gt;&lt;/foreign-keys&gt;&lt;ref-type name="Web Page"&gt;12&lt;/ref-type&gt;&lt;contributors&gt;&lt;authors&gt;&lt;author&gt;U.S. Energy Information Administration (EIA)&lt;/author&gt;&lt;/authors&gt;&lt;/contributors&gt;&lt;titles&gt;&lt;title&gt;Levelized Costs of New Generation Resources in the Annual Energy Outlook 2025&lt;/title&gt;&lt;/titles&gt;&lt;number&gt;2025&lt;/number&gt;&lt;dates&gt;&lt;/dates&gt;&lt;publisher&gt;U.S. Energy Information Administration (EIA)&lt;/publisher&gt;&lt;urls&gt;&lt;related-urls&gt;&lt;url&gt;https://www.eia.gov/outlooks/aeo/electricity_generation/&lt;/url&gt;&lt;/related-urls&gt;&lt;/urls&gt;&lt;/record&gt;&lt;/Cite&gt;&lt;/EndNote&gt;</w:instrText>
      </w:r>
      <w:r>
        <w:fldChar w:fldCharType="separate"/>
      </w:r>
      <w:r>
        <w:rPr>
          <w:noProof/>
        </w:rPr>
        <w:t>[</w:t>
      </w:r>
      <w:hyperlink w:anchor="_ENREF_53" w:tooltip="(EIA),  #58" w:history="1">
        <w:r>
          <w:rPr>
            <w:rFonts w:eastAsiaTheme="minorEastAsia" w:hint="eastAsia"/>
            <w:noProof/>
            <w:lang w:eastAsia="zh-CN"/>
          </w:rPr>
          <w:t>69</w:t>
        </w:r>
      </w:hyperlink>
      <w:r>
        <w:rPr>
          <w:noProof/>
        </w:rPr>
        <w:t>]</w:t>
      </w:r>
      <w:r>
        <w:fldChar w:fldCharType="end"/>
      </w:r>
      <w:r w:rsidRPr="008D769E">
        <w:t>. Although less standardized, these extensions signal an emerging direction where TCO integrates operational resilience, ESG constraints, and multi-carrier energy interactions.</w:t>
      </w:r>
    </w:p>
    <w:p w14:paraId="6E400AF3" w14:textId="77777777" w:rsidR="007C2F53" w:rsidRDefault="007C2F53" w:rsidP="007C2F53">
      <w:pPr>
        <w:jc w:val="center"/>
        <w:rPr>
          <w:rFonts w:ascii="Times New Roman" w:eastAsia="Times New Roman" w:hAnsi="Times New Roman"/>
        </w:rPr>
      </w:pPr>
      <w:r w:rsidRPr="008D769E">
        <w:rPr>
          <w:rFonts w:ascii="Times New Roman" w:eastAsia="Times New Roman" w:hAnsi="Times New Roman"/>
          <w:b/>
          <w:bCs/>
        </w:rPr>
        <w:t xml:space="preserve">Table </w:t>
      </w:r>
      <w:r w:rsidRPr="008D769E">
        <w:rPr>
          <w:rFonts w:ascii="Times New Roman" w:eastAsiaTheme="minorEastAsia" w:hAnsi="Times New Roman" w:hint="eastAsia"/>
          <w:b/>
          <w:bCs/>
        </w:rPr>
        <w:t>C</w:t>
      </w:r>
      <w:r>
        <w:rPr>
          <w:rFonts w:ascii="Times New Roman" w:eastAsia="Times New Roman" w:hAnsi="Times New Roman"/>
        </w:rPr>
        <w:t>. Summary of TCO-Series Metrics and Their Economic Interpretation</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709"/>
        <w:gridCol w:w="2409"/>
        <w:gridCol w:w="1838"/>
        <w:gridCol w:w="1559"/>
        <w:gridCol w:w="2268"/>
      </w:tblGrid>
      <w:tr w:rsidR="007C2F53" w14:paraId="49ECD2C1" w14:textId="77777777" w:rsidTr="000F1AD0">
        <w:trPr>
          <w:jc w:val="center"/>
        </w:trPr>
        <w:tc>
          <w:tcPr>
            <w:tcW w:w="851" w:type="dxa"/>
            <w:vAlign w:val="center"/>
          </w:tcPr>
          <w:p w14:paraId="29F0FE2C"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Metric</w:t>
            </w:r>
          </w:p>
        </w:tc>
        <w:tc>
          <w:tcPr>
            <w:tcW w:w="709" w:type="dxa"/>
            <w:vAlign w:val="center"/>
          </w:tcPr>
          <w:p w14:paraId="1D53950F"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Variable</w:t>
            </w:r>
          </w:p>
        </w:tc>
        <w:tc>
          <w:tcPr>
            <w:tcW w:w="2409" w:type="dxa"/>
            <w:vAlign w:val="center"/>
          </w:tcPr>
          <w:p w14:paraId="2A8A2755"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Formula</w:t>
            </w:r>
          </w:p>
        </w:tc>
        <w:tc>
          <w:tcPr>
            <w:tcW w:w="1838" w:type="dxa"/>
            <w:vAlign w:val="center"/>
          </w:tcPr>
          <w:p w14:paraId="1113BB4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Variables Explanation</w:t>
            </w:r>
          </w:p>
        </w:tc>
        <w:tc>
          <w:tcPr>
            <w:tcW w:w="1559" w:type="dxa"/>
            <w:vAlign w:val="center"/>
          </w:tcPr>
          <w:p w14:paraId="3D044CA3"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Range &amp; Direction</w:t>
            </w:r>
          </w:p>
        </w:tc>
        <w:tc>
          <w:tcPr>
            <w:tcW w:w="2268" w:type="dxa"/>
            <w:vAlign w:val="center"/>
          </w:tcPr>
          <w:p w14:paraId="68FCEBBE"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Application Scenarios</w:t>
            </w:r>
          </w:p>
        </w:tc>
      </w:tr>
      <w:tr w:rsidR="007C2F53" w14:paraId="31738A16" w14:textId="77777777" w:rsidTr="000F1AD0">
        <w:trPr>
          <w:jc w:val="center"/>
        </w:trPr>
        <w:tc>
          <w:tcPr>
            <w:tcW w:w="851" w:type="dxa"/>
            <w:vAlign w:val="center"/>
          </w:tcPr>
          <w:p w14:paraId="1D5E242F"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Total Cost of Ownership</w:t>
            </w:r>
          </w:p>
        </w:tc>
        <w:tc>
          <w:tcPr>
            <w:tcW w:w="709" w:type="dxa"/>
            <w:vAlign w:val="center"/>
          </w:tcPr>
          <w:p w14:paraId="3F9EF265"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w:t>
            </w:r>
          </w:p>
        </w:tc>
        <w:tc>
          <w:tcPr>
            <w:tcW w:w="2409" w:type="dxa"/>
            <w:vAlign w:val="center"/>
          </w:tcPr>
          <w:p w14:paraId="4FC5E5EE"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 xml:space="preserve">TCO = </m:t>
                </m:r>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CAPEX</m:t>
                    </m:r>
                  </m:sub>
                </m:sSub>
                <m:r>
                  <w:rPr>
                    <w:rFonts w:ascii="Cambria Math" w:eastAsia="Cambria Math" w:hAnsi="Cambria Math" w:cs="Cambria Math"/>
                    <w:sz w:val="12"/>
                    <w:szCs w:val="12"/>
                  </w:rPr>
                  <m:t xml:space="preserve"> +</m:t>
                </m:r>
                <m:nary>
                  <m:naryPr>
                    <m:chr m:val="∑"/>
                    <m:ctrlPr>
                      <w:rPr>
                        <w:rFonts w:ascii="Cambria Math" w:eastAsia="Cambria Math" w:hAnsi="Cambria Math" w:cs="Cambria Math"/>
                        <w:i/>
                        <w:sz w:val="12"/>
                        <w:szCs w:val="12"/>
                      </w:rPr>
                    </m:ctrlPr>
                  </m:naryPr>
                  <m:sub>
                    <m:r>
                      <w:rPr>
                        <w:rFonts w:ascii="Cambria Math" w:eastAsia="Cambria Math" w:hAnsi="Cambria Math" w:cs="Cambria Math"/>
                        <w:sz w:val="12"/>
                        <w:szCs w:val="12"/>
                      </w:rPr>
                      <m:t>t=1</m:t>
                    </m:r>
                  </m:sub>
                  <m:sup>
                    <m:r>
                      <w:rPr>
                        <w:rFonts w:ascii="Cambria Math" w:eastAsia="Cambria Math" w:hAnsi="Cambria Math" w:cs="Cambria Math"/>
                        <w:sz w:val="12"/>
                        <w:szCs w:val="12"/>
                      </w:rPr>
                      <m:t>T</m:t>
                    </m:r>
                  </m:sup>
                  <m:e>
                    <m:f>
                      <m:fPr>
                        <m:ctrlPr>
                          <w:rPr>
                            <w:rFonts w:ascii="Cambria Math" w:eastAsia="Cambria Math" w:hAnsi="Cambria Math" w:cs="Cambria Math"/>
                            <w:i/>
                            <w:sz w:val="12"/>
                            <w:szCs w:val="12"/>
                          </w:rPr>
                        </m:ctrlPr>
                      </m:fPr>
                      <m:num>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OPEX,t</m:t>
                            </m:r>
                          </m:sub>
                        </m:sSub>
                      </m:num>
                      <m:den>
                        <m:sSup>
                          <m:sSupPr>
                            <m:ctrlPr>
                              <w:rPr>
                                <w:rFonts w:ascii="Cambria Math" w:eastAsia="Cambria Math" w:hAnsi="Cambria Math" w:cs="Cambria Math"/>
                                <w:i/>
                                <w:sz w:val="12"/>
                                <w:szCs w:val="12"/>
                              </w:rPr>
                            </m:ctrlPr>
                          </m:sSupPr>
                          <m:e>
                            <m:d>
                              <m:dPr>
                                <m:ctrlPr>
                                  <w:rPr>
                                    <w:rFonts w:ascii="Cambria Math" w:eastAsia="Cambria Math" w:hAnsi="Cambria Math" w:cs="Cambria Math"/>
                                    <w:i/>
                                    <w:sz w:val="12"/>
                                    <w:szCs w:val="12"/>
                                  </w:rPr>
                                </m:ctrlPr>
                              </m:dPr>
                              <m:e>
                                <m:r>
                                  <w:rPr>
                                    <w:rFonts w:ascii="Cambria Math" w:eastAsia="Cambria Math" w:hAnsi="Cambria Math" w:cs="Cambria Math"/>
                                    <w:sz w:val="12"/>
                                    <w:szCs w:val="12"/>
                                  </w:rPr>
                                  <m:t>1 + r</m:t>
                                </m:r>
                              </m:e>
                            </m:d>
                          </m:e>
                          <m:sup>
                            <m:r>
                              <w:rPr>
                                <w:rFonts w:ascii="Cambria Math" w:eastAsia="Cambria Math" w:hAnsi="Cambria Math" w:cs="Cambria Math"/>
                                <w:sz w:val="12"/>
                                <w:szCs w:val="12"/>
                              </w:rPr>
                              <m:t>t</m:t>
                            </m:r>
                          </m:sup>
                        </m:sSup>
                      </m:den>
                    </m:f>
                  </m:e>
                </m:nary>
              </m:oMath>
            </m:oMathPara>
          </w:p>
          <w:p w14:paraId="7612C21C" w14:textId="77777777" w:rsidR="007C2F53" w:rsidRDefault="007C2F53" w:rsidP="000F1AD0">
            <w:pPr>
              <w:spacing w:line="160" w:lineRule="exact"/>
              <w:jc w:val="left"/>
              <w:rPr>
                <w:rFonts w:ascii="Times New Roman" w:eastAsia="Times New Roman" w:hAnsi="Times New Roman"/>
                <w:sz w:val="12"/>
                <w:szCs w:val="12"/>
              </w:rPr>
            </w:pPr>
            <m:oMath>
              <m:r>
                <w:rPr>
                  <w:rFonts w:ascii="Cambria Math" w:eastAsia="Cambria Math" w:hAnsi="Cambria Math" w:cs="Cambria Math"/>
                  <w:sz w:val="12"/>
                  <w:szCs w:val="12"/>
                </w:rPr>
                <m:t xml:space="preserve">r </m:t>
              </m:r>
            </m:oMath>
            <w:r>
              <w:rPr>
                <w:rFonts w:ascii="Times New Roman" w:eastAsia="Times New Roman" w:hAnsi="Times New Roman"/>
                <w:sz w:val="12"/>
                <w:szCs w:val="12"/>
              </w:rPr>
              <w:t xml:space="preserve">= discount rate; </w:t>
            </w:r>
            <m:oMath>
              <m:r>
                <w:rPr>
                  <w:rFonts w:ascii="Cambria Math" w:eastAsia="Cambria Math" w:hAnsi="Cambria Math" w:cs="Cambria Math"/>
                  <w:sz w:val="12"/>
                  <w:szCs w:val="12"/>
                </w:rPr>
                <m:t>T</m:t>
              </m:r>
            </m:oMath>
            <w:r>
              <w:rPr>
                <w:rFonts w:ascii="Times New Roman" w:eastAsia="Times New Roman" w:hAnsi="Times New Roman"/>
                <w:sz w:val="12"/>
                <w:szCs w:val="12"/>
              </w:rPr>
              <w:t xml:space="preserve"> = analysis horizon </w:t>
            </w:r>
          </w:p>
          <w:p w14:paraId="48ADA688"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(All notations work the same to all other terms below) </w:t>
            </w:r>
          </w:p>
        </w:tc>
        <w:tc>
          <w:tcPr>
            <w:tcW w:w="1838" w:type="dxa"/>
            <w:vAlign w:val="center"/>
          </w:tcPr>
          <w:p w14:paraId="48DA7AB5"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The discounted sum of all capital and operating costs over the lifetime, capturing one-time and recurring costs in a single financial metric.</w:t>
            </w:r>
          </w:p>
        </w:tc>
        <w:tc>
          <w:tcPr>
            <w:tcW w:w="1559" w:type="dxa"/>
            <w:vAlign w:val="center"/>
          </w:tcPr>
          <w:p w14:paraId="00A260A7"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TCO ≥ 0.</w:t>
            </w:r>
          </w:p>
          <w:p w14:paraId="7062938C"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TCO is preferable for a given level of capacity or service.</w:t>
            </w:r>
          </w:p>
        </w:tc>
        <w:tc>
          <w:tcPr>
            <w:tcW w:w="2268" w:type="dxa"/>
            <w:vAlign w:val="center"/>
          </w:tcPr>
          <w:p w14:paraId="10C35A80"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Overall budgeting for data centers and AI infrastructure; comparing design options; evaluating build vs. lease decisions.</w:t>
            </w:r>
          </w:p>
        </w:tc>
      </w:tr>
      <w:tr w:rsidR="007C2F53" w14:paraId="5F67E043" w14:textId="77777777" w:rsidTr="000F1AD0">
        <w:trPr>
          <w:jc w:val="center"/>
        </w:trPr>
        <w:tc>
          <w:tcPr>
            <w:tcW w:w="851" w:type="dxa"/>
            <w:vAlign w:val="center"/>
          </w:tcPr>
          <w:p w14:paraId="38854090"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 per kW of IT Capacity</w:t>
            </w:r>
          </w:p>
        </w:tc>
        <w:tc>
          <w:tcPr>
            <w:tcW w:w="709" w:type="dxa"/>
            <w:vAlign w:val="center"/>
          </w:tcPr>
          <w:p w14:paraId="6B0AB498"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TCO/kW</w:t>
            </w:r>
          </w:p>
        </w:tc>
        <w:tc>
          <w:tcPr>
            <w:tcW w:w="2409" w:type="dxa"/>
            <w:vAlign w:val="center"/>
          </w:tcPr>
          <w:p w14:paraId="14BF14B9"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TCO per kW=</m:t>
                </m:r>
                <m:f>
                  <m:fPr>
                    <m:ctrlPr>
                      <w:rPr>
                        <w:rFonts w:ascii="Cambria Math" w:eastAsia="Cambria Math" w:hAnsi="Cambria Math" w:cs="Cambria Math"/>
                        <w:i/>
                        <w:sz w:val="12"/>
                        <w:szCs w:val="12"/>
                      </w:rPr>
                    </m:ctrlPr>
                  </m:fPr>
                  <m:num>
                    <m:r>
                      <w:rPr>
                        <w:rFonts w:ascii="Cambria Math" w:eastAsia="Cambria Math" w:hAnsi="Cambria Math" w:cs="Cambria Math"/>
                        <w:sz w:val="12"/>
                        <w:szCs w:val="12"/>
                      </w:rPr>
                      <m:t>TCO</m:t>
                    </m:r>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P</m:t>
                        </m:r>
                      </m:e>
                      <m:sub>
                        <m:r>
                          <w:rPr>
                            <w:rFonts w:ascii="Cambria Math" w:eastAsia="Cambria Math" w:hAnsi="Cambria Math" w:cs="Cambria Math"/>
                            <w:sz w:val="12"/>
                            <w:szCs w:val="12"/>
                          </w:rPr>
                          <m:t>IT,rated</m:t>
                        </m:r>
                      </m:sub>
                    </m:sSub>
                  </m:den>
                </m:f>
              </m:oMath>
            </m:oMathPara>
          </w:p>
          <w:p w14:paraId="018AA719"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P</m:t>
                  </m:r>
                </m:e>
                <m:sub>
                  <m:r>
                    <w:rPr>
                      <w:rFonts w:ascii="Cambria Math" w:eastAsia="Cambria Math" w:hAnsi="Cambria Math" w:cs="Cambria Math"/>
                      <w:sz w:val="12"/>
                      <w:szCs w:val="12"/>
                    </w:rPr>
                    <m:t>IT,rated</m:t>
                  </m:r>
                </m:sub>
              </m:sSub>
            </m:oMath>
            <w:r w:rsidR="007C2F53">
              <w:rPr>
                <w:rFonts w:ascii="Times New Roman" w:eastAsia="Times New Roman" w:hAnsi="Times New Roman"/>
                <w:sz w:val="12"/>
                <w:szCs w:val="12"/>
              </w:rPr>
              <w:t xml:space="preserve"> = rated IT load capacity of the facility (kW)</w:t>
            </w:r>
          </w:p>
        </w:tc>
        <w:tc>
          <w:tcPr>
            <w:tcW w:w="1838" w:type="dxa"/>
            <w:vAlign w:val="center"/>
          </w:tcPr>
          <w:p w14:paraId="3F390BCD"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Lifecycle cost per unit of installed IT power capacity. Used by colocation providers and operators to compare design and site options.</w:t>
            </w:r>
          </w:p>
        </w:tc>
        <w:tc>
          <w:tcPr>
            <w:tcW w:w="1559" w:type="dxa"/>
            <w:vAlign w:val="center"/>
          </w:tcPr>
          <w:p w14:paraId="0A868747"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TCO/kW ≥ 0.</w:t>
            </w:r>
          </w:p>
          <w:p w14:paraId="66005887"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is better for a given quality-of-service and uptime target.</w:t>
            </w:r>
          </w:p>
        </w:tc>
        <w:tc>
          <w:tcPr>
            <w:tcW w:w="2268" w:type="dxa"/>
            <w:vAlign w:val="center"/>
          </w:tcPr>
          <w:p w14:paraId="3651138D"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Benchmarking cost-efficiency of data centers; comparing wholesale </w:t>
            </w:r>
            <w:proofErr w:type="gramStart"/>
            <w:r>
              <w:rPr>
                <w:rFonts w:ascii="Times New Roman" w:eastAsia="Times New Roman" w:hAnsi="Times New Roman"/>
                <w:sz w:val="12"/>
                <w:szCs w:val="12"/>
              </w:rPr>
              <w:t>colocation</w:t>
            </w:r>
            <w:proofErr w:type="gramEnd"/>
            <w:r>
              <w:rPr>
                <w:rFonts w:ascii="Times New Roman" w:eastAsia="Times New Roman" w:hAnsi="Times New Roman"/>
                <w:sz w:val="12"/>
                <w:szCs w:val="12"/>
              </w:rPr>
              <w:t xml:space="preserve"> offers; evaluating power density strategies.</w:t>
            </w:r>
          </w:p>
        </w:tc>
      </w:tr>
      <w:tr w:rsidR="007C2F53" w14:paraId="6EBEAB7B" w14:textId="77777777" w:rsidTr="000F1AD0">
        <w:trPr>
          <w:jc w:val="center"/>
        </w:trPr>
        <w:tc>
          <w:tcPr>
            <w:tcW w:w="851" w:type="dxa"/>
            <w:vAlign w:val="center"/>
          </w:tcPr>
          <w:p w14:paraId="2F135497"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 per kWh of Delivered Energy</w:t>
            </w:r>
          </w:p>
        </w:tc>
        <w:tc>
          <w:tcPr>
            <w:tcW w:w="709" w:type="dxa"/>
            <w:vAlign w:val="center"/>
          </w:tcPr>
          <w:p w14:paraId="13A0EE10"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TCO/kWh</w:t>
            </w:r>
          </w:p>
        </w:tc>
        <w:tc>
          <w:tcPr>
            <w:tcW w:w="2409" w:type="dxa"/>
            <w:vAlign w:val="center"/>
          </w:tcPr>
          <w:p w14:paraId="1FD9A10C"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TCO per kWh=</m:t>
                </m:r>
                <m:f>
                  <m:fPr>
                    <m:ctrlPr>
                      <w:rPr>
                        <w:rFonts w:ascii="Cambria Math" w:eastAsia="Cambria Math" w:hAnsi="Cambria Math" w:cs="Cambria Math"/>
                        <w:i/>
                        <w:sz w:val="12"/>
                        <w:szCs w:val="12"/>
                      </w:rPr>
                    </m:ctrlPr>
                  </m:fPr>
                  <m:num>
                    <m:r>
                      <w:rPr>
                        <w:rFonts w:ascii="Cambria Math" w:eastAsia="Cambria Math" w:hAnsi="Cambria Math" w:cs="Cambria Math"/>
                        <w:sz w:val="12"/>
                        <w:szCs w:val="12"/>
                      </w:rPr>
                      <m:t>TCO</m:t>
                    </m:r>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total</m:t>
                        </m:r>
                      </m:sub>
                    </m:sSub>
                  </m:den>
                </m:f>
              </m:oMath>
            </m:oMathPara>
          </w:p>
          <w:p w14:paraId="7B041CE7"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E</m:t>
                  </m:r>
                </m:e>
                <m:sub>
                  <m:r>
                    <w:rPr>
                      <w:rFonts w:ascii="Cambria Math" w:eastAsia="Cambria Math" w:hAnsi="Cambria Math" w:cs="Cambria Math"/>
                      <w:sz w:val="12"/>
                      <w:szCs w:val="12"/>
                    </w:rPr>
                    <m:t>total</m:t>
                  </m:r>
                </m:sub>
              </m:sSub>
            </m:oMath>
            <w:r w:rsidR="007C2F53">
              <w:rPr>
                <w:rFonts w:ascii="Times New Roman" w:eastAsia="Times New Roman" w:hAnsi="Times New Roman"/>
                <w:sz w:val="12"/>
                <w:szCs w:val="12"/>
              </w:rPr>
              <w:t xml:space="preserve"> = total energy delivered or consumed over the period (kWh)</w:t>
            </w:r>
          </w:p>
        </w:tc>
        <w:tc>
          <w:tcPr>
            <w:tcW w:w="1838" w:type="dxa"/>
            <w:vAlign w:val="center"/>
          </w:tcPr>
          <w:p w14:paraId="67D5B80F"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Lifecycle cost per unit of energy delivered or processed, esp. for evaluating and comparing long-lived energy or storage assets.</w:t>
            </w:r>
          </w:p>
        </w:tc>
        <w:tc>
          <w:tcPr>
            <w:tcW w:w="1559" w:type="dxa"/>
            <w:vAlign w:val="center"/>
          </w:tcPr>
          <w:p w14:paraId="0D031841"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TCO/kWh ≥ 0.</w:t>
            </w:r>
          </w:p>
          <w:p w14:paraId="4AC6324E"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is better; compared to market electricity prices or competing technologies.</w:t>
            </w:r>
          </w:p>
        </w:tc>
        <w:tc>
          <w:tcPr>
            <w:tcW w:w="2268" w:type="dxa"/>
            <w:vAlign w:val="center"/>
          </w:tcPr>
          <w:p w14:paraId="3084B91F"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Assess economic competitiveness of batteries, fuel cells, backup generators, and other power solutions for data centers.</w:t>
            </w:r>
          </w:p>
        </w:tc>
      </w:tr>
      <w:tr w:rsidR="007C2F53" w14:paraId="452F7753" w14:textId="77777777" w:rsidTr="000F1AD0">
        <w:trPr>
          <w:jc w:val="center"/>
        </w:trPr>
        <w:tc>
          <w:tcPr>
            <w:tcW w:w="851" w:type="dxa"/>
            <w:vAlign w:val="center"/>
          </w:tcPr>
          <w:p w14:paraId="23C589FE"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 per Rack</w:t>
            </w:r>
          </w:p>
        </w:tc>
        <w:tc>
          <w:tcPr>
            <w:tcW w:w="709" w:type="dxa"/>
            <w:vAlign w:val="center"/>
          </w:tcPr>
          <w:p w14:paraId="6C4B95EF"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TCO/Rack</w:t>
            </w:r>
          </w:p>
        </w:tc>
        <w:tc>
          <w:tcPr>
            <w:tcW w:w="2409" w:type="dxa"/>
            <w:vAlign w:val="center"/>
          </w:tcPr>
          <w:p w14:paraId="2AC3E8AA"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TCO per Rack=</m:t>
                </m:r>
                <m:f>
                  <m:fPr>
                    <m:ctrlPr>
                      <w:rPr>
                        <w:rFonts w:ascii="Cambria Math" w:eastAsia="Cambria Math" w:hAnsi="Cambria Math" w:cs="Cambria Math"/>
                        <w:i/>
                        <w:sz w:val="12"/>
                        <w:szCs w:val="12"/>
                      </w:rPr>
                    </m:ctrlPr>
                  </m:fPr>
                  <m:num>
                    <m:r>
                      <w:rPr>
                        <w:rFonts w:ascii="Cambria Math" w:eastAsia="Cambria Math" w:hAnsi="Cambria Math" w:cs="Cambria Math"/>
                        <w:sz w:val="12"/>
                        <w:szCs w:val="12"/>
                      </w:rPr>
                      <m:t>TCO</m:t>
                    </m:r>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N</m:t>
                        </m:r>
                      </m:e>
                      <m:sub>
                        <m:r>
                          <w:rPr>
                            <w:rFonts w:ascii="Cambria Math" w:eastAsia="Cambria Math" w:hAnsi="Cambria Math" w:cs="Cambria Math"/>
                            <w:sz w:val="12"/>
                            <w:szCs w:val="12"/>
                          </w:rPr>
                          <m:t>rack</m:t>
                        </m:r>
                      </m:sub>
                    </m:sSub>
                  </m:den>
                </m:f>
              </m:oMath>
            </m:oMathPara>
          </w:p>
          <w:p w14:paraId="38C17888"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N</m:t>
                  </m:r>
                </m:e>
                <m:sub>
                  <m:r>
                    <w:rPr>
                      <w:rFonts w:ascii="Cambria Math" w:eastAsia="Cambria Math" w:hAnsi="Cambria Math" w:cs="Cambria Math"/>
                      <w:sz w:val="12"/>
                      <w:szCs w:val="12"/>
                    </w:rPr>
                    <m:t>rack</m:t>
                  </m:r>
                </m:sub>
              </m:sSub>
            </m:oMath>
            <w:r w:rsidR="007C2F53">
              <w:rPr>
                <w:rFonts w:ascii="Times New Roman" w:eastAsia="Times New Roman" w:hAnsi="Times New Roman"/>
                <w:sz w:val="12"/>
                <w:szCs w:val="12"/>
              </w:rPr>
              <w:t xml:space="preserve"> = number of IT racks served by the facility</w:t>
            </w:r>
          </w:p>
        </w:tc>
        <w:tc>
          <w:tcPr>
            <w:tcW w:w="1838" w:type="dxa"/>
            <w:vAlign w:val="center"/>
          </w:tcPr>
          <w:p w14:paraId="7139CAC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Lifecycle facility cost allocated per rack. Used to compare the cost of housing IT equipment in different facilities or designs.</w:t>
            </w:r>
          </w:p>
        </w:tc>
        <w:tc>
          <w:tcPr>
            <w:tcW w:w="1559" w:type="dxa"/>
            <w:vAlign w:val="center"/>
          </w:tcPr>
          <w:p w14:paraId="5125182C"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TCO/Rack ≥ 0.</w:t>
            </w:r>
          </w:p>
          <w:p w14:paraId="171D2EC6"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is better for a given service level and rack power density.</w:t>
            </w:r>
          </w:p>
        </w:tc>
        <w:tc>
          <w:tcPr>
            <w:tcW w:w="2268" w:type="dxa"/>
            <w:vAlign w:val="center"/>
          </w:tcPr>
          <w:p w14:paraId="55980CCA"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Planning and pricing colocation services; internal budgeting for IT equipment deployment; comparing legacy vs. modernized facilities.</w:t>
            </w:r>
          </w:p>
        </w:tc>
      </w:tr>
      <w:tr w:rsidR="007C2F53" w14:paraId="4604CEC9" w14:textId="77777777" w:rsidTr="000F1AD0">
        <w:trPr>
          <w:jc w:val="center"/>
        </w:trPr>
        <w:tc>
          <w:tcPr>
            <w:tcW w:w="851" w:type="dxa"/>
            <w:vAlign w:val="center"/>
          </w:tcPr>
          <w:p w14:paraId="4901921B"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 per GPU-Hour</w:t>
            </w:r>
          </w:p>
        </w:tc>
        <w:tc>
          <w:tcPr>
            <w:tcW w:w="709" w:type="dxa"/>
            <w:vAlign w:val="center"/>
          </w:tcPr>
          <w:p w14:paraId="5C4EDF50"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 xml:space="preserve">TCO per </w:t>
            </w:r>
            <w:proofErr w:type="spellStart"/>
            <w:r>
              <w:rPr>
                <w:rFonts w:ascii="Times New Roman" w:eastAsia="Times New Roman" w:hAnsi="Times New Roman"/>
                <w:sz w:val="12"/>
                <w:szCs w:val="12"/>
              </w:rPr>
              <w:t>GPU·h</w:t>
            </w:r>
            <w:proofErr w:type="spellEnd"/>
          </w:p>
        </w:tc>
        <w:tc>
          <w:tcPr>
            <w:tcW w:w="2409" w:type="dxa"/>
            <w:vAlign w:val="center"/>
          </w:tcPr>
          <w:p w14:paraId="58D9E12B"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TCO per GPU·h =</m:t>
                </m:r>
                <m:f>
                  <m:fPr>
                    <m:ctrlPr>
                      <w:rPr>
                        <w:rFonts w:ascii="Cambria Math" w:eastAsia="Cambria Math" w:hAnsi="Cambria Math" w:cs="Cambria Math"/>
                        <w:i/>
                        <w:sz w:val="12"/>
                        <w:szCs w:val="12"/>
                      </w:rPr>
                    </m:ctrlPr>
                  </m:fPr>
                  <m:num>
                    <m:r>
                      <w:rPr>
                        <w:rFonts w:ascii="Cambria Math" w:eastAsia="Cambria Math" w:hAnsi="Cambria Math" w:cs="Cambria Math"/>
                        <w:sz w:val="12"/>
                        <w:szCs w:val="12"/>
                      </w:rPr>
                      <m:t>TCO</m:t>
                    </m:r>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H</m:t>
                        </m:r>
                      </m:e>
                      <m:sub>
                        <m:r>
                          <w:rPr>
                            <w:rFonts w:ascii="Cambria Math" w:eastAsia="Cambria Math" w:hAnsi="Cambria Math" w:cs="Cambria Math"/>
                            <w:sz w:val="12"/>
                            <w:szCs w:val="12"/>
                          </w:rPr>
                          <m:t>GPU</m:t>
                        </m:r>
                      </m:sub>
                    </m:sSub>
                  </m:den>
                </m:f>
                <m:r>
                  <w:rPr>
                    <w:rFonts w:ascii="Cambria Math" w:eastAsia="Cambria Math" w:hAnsi="Cambria Math" w:cs="Cambria Math"/>
                    <w:sz w:val="12"/>
                    <w:szCs w:val="12"/>
                  </w:rPr>
                  <m:t xml:space="preserve">  </m:t>
                </m:r>
              </m:oMath>
            </m:oMathPara>
          </w:p>
          <w:p w14:paraId="39A0180C"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H</m:t>
                  </m:r>
                </m:e>
                <m:sub>
                  <m:r>
                    <w:rPr>
                      <w:rFonts w:ascii="Cambria Math" w:eastAsia="Cambria Math" w:hAnsi="Cambria Math" w:cs="Cambria Math"/>
                      <w:sz w:val="12"/>
                      <w:szCs w:val="12"/>
                    </w:rPr>
                    <m:t>GPU</m:t>
                  </m:r>
                </m:sub>
              </m:sSub>
            </m:oMath>
            <w:r w:rsidR="007C2F53">
              <w:rPr>
                <w:rFonts w:ascii="Times New Roman" w:eastAsia="Times New Roman" w:hAnsi="Times New Roman"/>
                <w:sz w:val="12"/>
                <w:szCs w:val="12"/>
              </w:rPr>
              <w:t xml:space="preserve"> = total </w:t>
            </w:r>
            <w:proofErr w:type="gramStart"/>
            <w:r w:rsidR="007C2F53">
              <w:rPr>
                <w:rFonts w:ascii="Times New Roman" w:eastAsia="Times New Roman" w:hAnsi="Times New Roman"/>
                <w:sz w:val="12"/>
                <w:szCs w:val="12"/>
              </w:rPr>
              <w:t>GPU-hours</w:t>
            </w:r>
            <w:proofErr w:type="gramEnd"/>
            <w:r w:rsidR="007C2F53">
              <w:rPr>
                <w:rFonts w:ascii="Times New Roman" w:eastAsia="Times New Roman" w:hAnsi="Times New Roman"/>
                <w:sz w:val="12"/>
                <w:szCs w:val="12"/>
              </w:rPr>
              <w:t xml:space="preserve"> delivered to workloads in that period</w:t>
            </w:r>
          </w:p>
        </w:tc>
        <w:tc>
          <w:tcPr>
            <w:tcW w:w="1838" w:type="dxa"/>
            <w:vAlign w:val="center"/>
          </w:tcPr>
          <w:p w14:paraId="4DC74DA4"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Lifecycle cost per GPU-hour of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xml:space="preserve"> delivered. Combines capex and </w:t>
            </w:r>
            <w:proofErr w:type="spellStart"/>
            <w:r>
              <w:rPr>
                <w:rFonts w:ascii="Times New Roman" w:eastAsia="Times New Roman" w:hAnsi="Times New Roman"/>
                <w:sz w:val="12"/>
                <w:szCs w:val="12"/>
              </w:rPr>
              <w:t>opex</w:t>
            </w:r>
            <w:proofErr w:type="spellEnd"/>
            <w:r>
              <w:rPr>
                <w:rFonts w:ascii="Times New Roman" w:eastAsia="Times New Roman" w:hAnsi="Times New Roman"/>
                <w:sz w:val="12"/>
                <w:szCs w:val="12"/>
              </w:rPr>
              <w:t xml:space="preserve"> with utilization as an effective cost per GPU-hour.</w:t>
            </w:r>
          </w:p>
        </w:tc>
        <w:tc>
          <w:tcPr>
            <w:tcW w:w="1559" w:type="dxa"/>
            <w:vAlign w:val="center"/>
          </w:tcPr>
          <w:p w14:paraId="71FA58C7"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 0.</w:t>
            </w:r>
          </w:p>
          <w:p w14:paraId="2C2CC015"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 xml:space="preserve">Direction: Lower is better; </w:t>
            </w:r>
            <w:proofErr w:type="gramStart"/>
            <w:r w:rsidRPr="00D515A5">
              <w:rPr>
                <w:rFonts w:ascii="Times New Roman" w:eastAsia="Times New Roman" w:hAnsi="Times New Roman"/>
                <w:sz w:val="12"/>
                <w:szCs w:val="12"/>
              </w:rPr>
              <w:t>provides</w:t>
            </w:r>
            <w:proofErr w:type="gramEnd"/>
            <w:r w:rsidRPr="00D515A5">
              <w:rPr>
                <w:rFonts w:ascii="Times New Roman" w:eastAsia="Times New Roman" w:hAnsi="Times New Roman"/>
                <w:sz w:val="12"/>
                <w:szCs w:val="12"/>
              </w:rPr>
              <w:t xml:space="preserve"> a direct comparison to cloud GPU-hour pricing.</w:t>
            </w:r>
          </w:p>
        </w:tc>
        <w:tc>
          <w:tcPr>
            <w:tcW w:w="2268" w:type="dxa"/>
            <w:vAlign w:val="center"/>
          </w:tcPr>
          <w:p w14:paraId="4BD1ADC9"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Compare on-premises GPU clusters vs. cloud GPUs; optimizing cluster utilization; cost benchmarking across vendors.</w:t>
            </w:r>
          </w:p>
        </w:tc>
      </w:tr>
      <w:tr w:rsidR="007C2F53" w14:paraId="659FFDCF" w14:textId="77777777" w:rsidTr="000F1AD0">
        <w:trPr>
          <w:jc w:val="center"/>
        </w:trPr>
        <w:tc>
          <w:tcPr>
            <w:tcW w:w="851" w:type="dxa"/>
            <w:vAlign w:val="center"/>
          </w:tcPr>
          <w:p w14:paraId="417DDBE5"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 per FLOPs</w:t>
            </w:r>
          </w:p>
        </w:tc>
        <w:tc>
          <w:tcPr>
            <w:tcW w:w="709" w:type="dxa"/>
            <w:vAlign w:val="center"/>
          </w:tcPr>
          <w:p w14:paraId="1469C918"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TCO/FLOPs</w:t>
            </w:r>
          </w:p>
        </w:tc>
        <w:tc>
          <w:tcPr>
            <w:tcW w:w="2409" w:type="dxa"/>
            <w:vAlign w:val="center"/>
          </w:tcPr>
          <w:p w14:paraId="39545C96"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TCO per FLOPS=</m:t>
                </m:r>
                <m:f>
                  <m:fPr>
                    <m:ctrlPr>
                      <w:rPr>
                        <w:rFonts w:ascii="Cambria Math" w:eastAsia="Cambria Math" w:hAnsi="Cambria Math" w:cs="Cambria Math"/>
                        <w:i/>
                        <w:sz w:val="12"/>
                        <w:szCs w:val="12"/>
                      </w:rPr>
                    </m:ctrlPr>
                  </m:fPr>
                  <m:num>
                    <m:r>
                      <w:rPr>
                        <w:rFonts w:ascii="Cambria Math" w:eastAsia="Cambria Math" w:hAnsi="Cambria Math" w:cs="Cambria Math"/>
                        <w:sz w:val="12"/>
                        <w:szCs w:val="12"/>
                      </w:rPr>
                      <m:t>TCO</m:t>
                    </m:r>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F</m:t>
                        </m:r>
                      </m:e>
                      <m:sub>
                        <m:r>
                          <w:rPr>
                            <w:rFonts w:ascii="Cambria Math" w:eastAsia="Cambria Math" w:hAnsi="Cambria Math" w:cs="Cambria Math"/>
                            <w:sz w:val="12"/>
                            <w:szCs w:val="12"/>
                          </w:rPr>
                          <m:t>total</m:t>
                        </m:r>
                      </m:sub>
                    </m:sSub>
                  </m:den>
                </m:f>
                <m:r>
                  <w:rPr>
                    <w:rFonts w:ascii="Cambria Math" w:eastAsia="Cambria Math" w:hAnsi="Cambria Math" w:cs="Cambria Math"/>
                    <w:sz w:val="12"/>
                    <w:szCs w:val="12"/>
                  </w:rPr>
                  <m:t xml:space="preserve"> </m:t>
                </m:r>
              </m:oMath>
            </m:oMathPara>
          </w:p>
          <w:p w14:paraId="7470A92D"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F</m:t>
                  </m:r>
                </m:e>
                <m:sub>
                  <m:r>
                    <w:rPr>
                      <w:rFonts w:ascii="Cambria Math" w:eastAsia="Cambria Math" w:hAnsi="Cambria Math" w:cs="Cambria Math"/>
                      <w:sz w:val="12"/>
                      <w:szCs w:val="12"/>
                    </w:rPr>
                    <m:t>total</m:t>
                  </m:r>
                </m:sub>
              </m:sSub>
            </m:oMath>
            <w:r w:rsidR="007C2F53">
              <w:rPr>
                <w:rFonts w:ascii="Times New Roman" w:eastAsia="Times New Roman" w:hAnsi="Times New Roman"/>
                <w:sz w:val="12"/>
                <w:szCs w:val="12"/>
              </w:rPr>
              <w:t xml:space="preserve"> = total </w:t>
            </w:r>
            <w:proofErr w:type="gramStart"/>
            <w:r w:rsidR="007C2F53">
              <w:rPr>
                <w:rFonts w:ascii="Times New Roman" w:eastAsia="Times New Roman" w:hAnsi="Times New Roman"/>
                <w:sz w:val="12"/>
                <w:szCs w:val="12"/>
              </w:rPr>
              <w:t>floating point</w:t>
            </w:r>
            <w:proofErr w:type="gramEnd"/>
            <w:r w:rsidR="007C2F53">
              <w:rPr>
                <w:rFonts w:ascii="Times New Roman" w:eastAsia="Times New Roman" w:hAnsi="Times New Roman"/>
                <w:sz w:val="12"/>
                <w:szCs w:val="12"/>
              </w:rPr>
              <w:t xml:space="preserve"> operations (FLOPs) delivered over the analysis period</w:t>
            </w:r>
          </w:p>
        </w:tc>
        <w:tc>
          <w:tcPr>
            <w:tcW w:w="1838" w:type="dxa"/>
            <w:vAlign w:val="center"/>
          </w:tcPr>
          <w:p w14:paraId="21171684"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Lifecycle cost per unit of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xml:space="preserve"> (FLOPs). Can be defined using aggregated FLOPs across training and inference workloads.</w:t>
            </w:r>
          </w:p>
        </w:tc>
        <w:tc>
          <w:tcPr>
            <w:tcW w:w="1559" w:type="dxa"/>
            <w:vAlign w:val="center"/>
          </w:tcPr>
          <w:p w14:paraId="0DC7807A"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 0.</w:t>
            </w:r>
          </w:p>
          <w:p w14:paraId="3998767A"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is better; allows comparing different architectures and accelerators in a normalized way.</w:t>
            </w:r>
          </w:p>
        </w:tc>
        <w:tc>
          <w:tcPr>
            <w:tcW w:w="2268" w:type="dxa"/>
            <w:vAlign w:val="center"/>
          </w:tcPr>
          <w:p w14:paraId="2905FBF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Compare GPUs, TPUs, and custom accelerators; evaluating architectural trade-offs for large-scale AI workloads.</w:t>
            </w:r>
          </w:p>
        </w:tc>
      </w:tr>
      <w:tr w:rsidR="007C2F53" w14:paraId="39A91E96" w14:textId="77777777" w:rsidTr="000F1AD0">
        <w:trPr>
          <w:jc w:val="center"/>
        </w:trPr>
        <w:tc>
          <w:tcPr>
            <w:tcW w:w="851" w:type="dxa"/>
            <w:vAlign w:val="center"/>
          </w:tcPr>
          <w:p w14:paraId="45D8C830"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 per Inference</w:t>
            </w:r>
          </w:p>
        </w:tc>
        <w:tc>
          <w:tcPr>
            <w:tcW w:w="709" w:type="dxa"/>
            <w:vAlign w:val="center"/>
          </w:tcPr>
          <w:p w14:paraId="2884B90C"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TCO/inference</w:t>
            </w:r>
          </w:p>
        </w:tc>
        <w:tc>
          <w:tcPr>
            <w:tcW w:w="2409" w:type="dxa"/>
            <w:vAlign w:val="center"/>
          </w:tcPr>
          <w:p w14:paraId="06BBD283"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TCO per Inference=</m:t>
                </m:r>
                <m:f>
                  <m:fPr>
                    <m:ctrlPr>
                      <w:rPr>
                        <w:rFonts w:ascii="Cambria Math" w:eastAsia="Cambria Math" w:hAnsi="Cambria Math" w:cs="Cambria Math"/>
                        <w:i/>
                        <w:sz w:val="12"/>
                        <w:szCs w:val="12"/>
                      </w:rPr>
                    </m:ctrlPr>
                  </m:fPr>
                  <m:num>
                    <m:r>
                      <w:rPr>
                        <w:rFonts w:ascii="Cambria Math" w:eastAsia="Cambria Math" w:hAnsi="Cambria Math" w:cs="Cambria Math"/>
                        <w:sz w:val="12"/>
                        <w:szCs w:val="12"/>
                      </w:rPr>
                      <m:t>TCO</m:t>
                    </m:r>
                  </m:num>
                  <m:den>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N</m:t>
                        </m:r>
                      </m:e>
                      <m:sub>
                        <m:r>
                          <w:rPr>
                            <w:rFonts w:ascii="Cambria Math" w:eastAsia="Cambria Math" w:hAnsi="Cambria Math" w:cs="Cambria Math"/>
                            <w:sz w:val="12"/>
                            <w:szCs w:val="12"/>
                          </w:rPr>
                          <m:t>inf</m:t>
                        </m:r>
                      </m:sub>
                    </m:sSub>
                  </m:den>
                </m:f>
              </m:oMath>
            </m:oMathPara>
          </w:p>
          <w:p w14:paraId="6E879433"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N</m:t>
                  </m:r>
                </m:e>
                <m:sub>
                  <m:r>
                    <w:rPr>
                      <w:rFonts w:ascii="Cambria Math" w:eastAsia="Cambria Math" w:hAnsi="Cambria Math" w:cs="Cambria Math"/>
                      <w:sz w:val="12"/>
                      <w:szCs w:val="12"/>
                    </w:rPr>
                    <m:t>inf</m:t>
                  </m:r>
                </m:sub>
              </m:sSub>
            </m:oMath>
            <w:r w:rsidR="007C2F53">
              <w:rPr>
                <w:rFonts w:ascii="Times New Roman" w:eastAsia="Times New Roman" w:hAnsi="Times New Roman"/>
                <w:sz w:val="12"/>
                <w:szCs w:val="12"/>
              </w:rPr>
              <w:t>= total number of valid inferences (e.g., requests, queries, responses) served in t</w:t>
            </w:r>
          </w:p>
        </w:tc>
        <w:tc>
          <w:tcPr>
            <w:tcW w:w="1838" w:type="dxa"/>
            <w:vAlign w:val="center"/>
          </w:tcPr>
          <w:p w14:paraId="624D5399"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Lifecycle cost per unit of AI service delivered. Can be normalized per 1,000 inferences.</w:t>
            </w:r>
          </w:p>
        </w:tc>
        <w:tc>
          <w:tcPr>
            <w:tcW w:w="1559" w:type="dxa"/>
            <w:vAlign w:val="center"/>
          </w:tcPr>
          <w:p w14:paraId="4B8D0426"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 0.</w:t>
            </w:r>
          </w:p>
          <w:p w14:paraId="7BE51166"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is better; directly links infrastructure economics to business KPIs like cost per API call.</w:t>
            </w:r>
          </w:p>
        </w:tc>
        <w:tc>
          <w:tcPr>
            <w:tcW w:w="2268" w:type="dxa"/>
            <w:vAlign w:val="center"/>
          </w:tcPr>
          <w:p w14:paraId="1DD96FF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Price AI APIs and services; evaluating deployment options (vendor APIs vs. self-hosted models); optimizing autoscaling and provisioning.</w:t>
            </w:r>
          </w:p>
        </w:tc>
      </w:tr>
      <w:tr w:rsidR="007C2F53" w14:paraId="01538772" w14:textId="77777777" w:rsidTr="000F1AD0">
        <w:trPr>
          <w:jc w:val="center"/>
        </w:trPr>
        <w:tc>
          <w:tcPr>
            <w:tcW w:w="851" w:type="dxa"/>
            <w:vAlign w:val="center"/>
          </w:tcPr>
          <w:p w14:paraId="280741C0"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True Total Cost of Ownership</w:t>
            </w:r>
          </w:p>
        </w:tc>
        <w:tc>
          <w:tcPr>
            <w:tcW w:w="709" w:type="dxa"/>
            <w:vAlign w:val="center"/>
          </w:tcPr>
          <w:p w14:paraId="397233C0"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True TCO</w:t>
            </w:r>
          </w:p>
        </w:tc>
        <w:tc>
          <w:tcPr>
            <w:tcW w:w="2409" w:type="dxa"/>
            <w:vAlign w:val="center"/>
          </w:tcPr>
          <w:p w14:paraId="6D380DC9"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 xml:space="preserve">True TCO = </m:t>
                </m:r>
                <m:sSubSup>
                  <m:sSubSupPr>
                    <m:ctrlPr>
                      <w:rPr>
                        <w:rFonts w:ascii="Cambria Math" w:eastAsia="Cambria Math" w:hAnsi="Cambria Math" w:cs="Cambria Math"/>
                        <w:i/>
                        <w:sz w:val="12"/>
                        <w:szCs w:val="12"/>
                      </w:rPr>
                    </m:ctrlPr>
                  </m:sSubSupPr>
                  <m:e>
                    <m:r>
                      <w:rPr>
                        <w:rFonts w:ascii="Cambria Math" w:eastAsia="Cambria Math" w:hAnsi="Cambria Math" w:cs="Cambria Math"/>
                        <w:sz w:val="12"/>
                        <w:szCs w:val="12"/>
                      </w:rPr>
                      <m:t>Σ</m:t>
                    </m:r>
                  </m:e>
                  <m:sub>
                    <m:d>
                      <m:dPr>
                        <m:begChr m:val="{"/>
                        <m:endChr m:val="}"/>
                        <m:ctrlPr>
                          <w:rPr>
                            <w:rFonts w:ascii="Cambria Math" w:eastAsia="Cambria Math" w:hAnsi="Cambria Math" w:cs="Cambria Math"/>
                            <w:i/>
                            <w:sz w:val="12"/>
                            <w:szCs w:val="12"/>
                          </w:rPr>
                        </m:ctrlPr>
                      </m:dPr>
                      <m:e>
                        <m:r>
                          <w:rPr>
                            <w:rFonts w:ascii="Cambria Math" w:eastAsia="Cambria Math" w:hAnsi="Cambria Math" w:cs="Cambria Math"/>
                            <w:sz w:val="12"/>
                            <w:szCs w:val="12"/>
                          </w:rPr>
                          <m:t>t=0</m:t>
                        </m:r>
                      </m:e>
                    </m:d>
                  </m:sub>
                  <m:sup>
                    <m:d>
                      <m:dPr>
                        <m:begChr m:val="{"/>
                        <m:endChr m:val="}"/>
                        <m:ctrlPr>
                          <w:rPr>
                            <w:rFonts w:ascii="Cambria Math" w:eastAsia="Cambria Math" w:hAnsi="Cambria Math" w:cs="Cambria Math"/>
                            <w:i/>
                            <w:sz w:val="12"/>
                            <w:szCs w:val="12"/>
                          </w:rPr>
                        </m:ctrlPr>
                      </m:dPr>
                      <m:e>
                        <m:r>
                          <w:rPr>
                            <w:rFonts w:ascii="Cambria Math" w:eastAsia="Cambria Math" w:hAnsi="Cambria Math" w:cs="Cambria Math"/>
                            <w:sz w:val="12"/>
                            <w:szCs w:val="12"/>
                          </w:rPr>
                          <m:t>T</m:t>
                        </m:r>
                      </m:e>
                    </m:d>
                  </m:sup>
                </m:sSubSup>
                <m:f>
                  <m:fPr>
                    <m:ctrlPr>
                      <w:rPr>
                        <w:rFonts w:ascii="Cambria Math" w:eastAsia="Cambria Math" w:hAnsi="Cambria Math" w:cs="Cambria Math"/>
                        <w:i/>
                        <w:sz w:val="12"/>
                        <w:szCs w:val="12"/>
                      </w:rPr>
                    </m:ctrlPr>
                  </m:fPr>
                  <m:num>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f, t</m:t>
                        </m:r>
                      </m:sub>
                    </m:sSub>
                    <m:r>
                      <w:rPr>
                        <w:rFonts w:ascii="Cambria Math" w:eastAsia="Cambria Math" w:hAnsi="Cambria Math" w:cs="Cambria Math"/>
                        <w:sz w:val="12"/>
                        <w:szCs w:val="12"/>
                      </w:rPr>
                      <m:t xml:space="preserve">+ </m:t>
                    </m:r>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i, t</m:t>
                        </m:r>
                      </m:sub>
                    </m:sSub>
                    <m:r>
                      <w:rPr>
                        <w:rFonts w:ascii="Cambria Math" w:eastAsia="Cambria Math" w:hAnsi="Cambria Math" w:cs="Cambria Math"/>
                        <w:sz w:val="12"/>
                        <w:szCs w:val="12"/>
                      </w:rPr>
                      <m:t xml:space="preserve">+ </m:t>
                    </m:r>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e, t</m:t>
                        </m:r>
                      </m:sub>
                    </m:sSub>
                    <m:r>
                      <w:rPr>
                        <w:rFonts w:ascii="Cambria Math" w:eastAsia="Cambria Math" w:hAnsi="Cambria Math" w:cs="Cambria Math"/>
                        <w:sz w:val="12"/>
                        <w:szCs w:val="12"/>
                      </w:rPr>
                      <m:t xml:space="preserve"> + </m:t>
                    </m:r>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s, t</m:t>
                        </m:r>
                      </m:sub>
                    </m:sSub>
                    <m:r>
                      <w:rPr>
                        <w:rFonts w:ascii="Cambria Math" w:eastAsia="Cambria Math" w:hAnsi="Cambria Math" w:cs="Cambria Math"/>
                        <w:sz w:val="12"/>
                        <w:szCs w:val="12"/>
                      </w:rPr>
                      <m:t xml:space="preserve">+ </m:t>
                    </m:r>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o,  t</m:t>
                        </m:r>
                      </m:sub>
                    </m:sSub>
                  </m:num>
                  <m:den>
                    <m:sSup>
                      <m:sSupPr>
                        <m:ctrlPr>
                          <w:rPr>
                            <w:rFonts w:ascii="Cambria Math" w:eastAsia="Cambria Math" w:hAnsi="Cambria Math" w:cs="Cambria Math"/>
                            <w:i/>
                            <w:sz w:val="12"/>
                            <w:szCs w:val="12"/>
                          </w:rPr>
                        </m:ctrlPr>
                      </m:sSupPr>
                      <m:e>
                        <m:d>
                          <m:dPr>
                            <m:ctrlPr>
                              <w:rPr>
                                <w:rFonts w:ascii="Cambria Math" w:eastAsia="Cambria Math" w:hAnsi="Cambria Math" w:cs="Cambria Math"/>
                                <w:i/>
                                <w:sz w:val="12"/>
                                <w:szCs w:val="12"/>
                              </w:rPr>
                            </m:ctrlPr>
                          </m:dPr>
                          <m:e>
                            <m:r>
                              <w:rPr>
                                <w:rFonts w:ascii="Cambria Math" w:eastAsia="Cambria Math" w:hAnsi="Cambria Math" w:cs="Cambria Math"/>
                                <w:sz w:val="12"/>
                                <w:szCs w:val="12"/>
                              </w:rPr>
                              <m:t>1 + r</m:t>
                            </m:r>
                          </m:e>
                        </m:d>
                      </m:e>
                      <m:sup>
                        <m:r>
                          <w:rPr>
                            <w:rFonts w:ascii="Cambria Math" w:eastAsia="Cambria Math" w:hAnsi="Cambria Math" w:cs="Cambria Math"/>
                            <w:sz w:val="12"/>
                            <w:szCs w:val="12"/>
                          </w:rPr>
                          <m:t>t</m:t>
                        </m:r>
                      </m:sup>
                    </m:sSup>
                  </m:den>
                </m:f>
              </m:oMath>
            </m:oMathPara>
          </w:p>
          <w:p w14:paraId="1A75CB56"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f, t</m:t>
                  </m:r>
                </m:sub>
              </m:sSub>
            </m:oMath>
            <w:r w:rsidR="007C2F53">
              <w:rPr>
                <w:rFonts w:ascii="Times New Roman" w:eastAsia="Times New Roman" w:hAnsi="Times New Roman"/>
                <w:sz w:val="12"/>
                <w:szCs w:val="12"/>
              </w:rPr>
              <w:t xml:space="preserve"> = facility-related costs (construction, space, cooling, power)</w:t>
            </w:r>
          </w:p>
          <w:p w14:paraId="34066AB3"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i, t</m:t>
                  </m:r>
                </m:sub>
              </m:sSub>
            </m:oMath>
            <w:r w:rsidR="007C2F53">
              <w:rPr>
                <w:rFonts w:ascii="Times New Roman" w:eastAsia="Times New Roman" w:hAnsi="Times New Roman"/>
                <w:sz w:val="12"/>
                <w:szCs w:val="12"/>
              </w:rPr>
              <w:t xml:space="preserve"> = IT hardware and software costs</w:t>
            </w:r>
          </w:p>
          <w:p w14:paraId="7538214D"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e, t</m:t>
                  </m:r>
                </m:sub>
              </m:sSub>
            </m:oMath>
            <w:r w:rsidR="007C2F53">
              <w:rPr>
                <w:rFonts w:ascii="Times New Roman" w:eastAsia="Times New Roman" w:hAnsi="Times New Roman"/>
                <w:sz w:val="12"/>
                <w:szCs w:val="12"/>
              </w:rPr>
              <w:t xml:space="preserve"> = energy costs</w:t>
            </w:r>
          </w:p>
          <w:p w14:paraId="056283BB"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s, t</m:t>
                  </m:r>
                </m:sub>
              </m:sSub>
            </m:oMath>
            <w:r w:rsidR="007C2F53">
              <w:rPr>
                <w:rFonts w:ascii="Times New Roman" w:eastAsia="Times New Roman" w:hAnsi="Times New Roman"/>
                <w:sz w:val="12"/>
                <w:szCs w:val="12"/>
              </w:rPr>
              <w:t xml:space="preserve"> = personnel costs</w:t>
            </w:r>
          </w:p>
          <w:p w14:paraId="2F64610B"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o,  t</m:t>
                  </m:r>
                </m:sub>
              </m:sSub>
            </m:oMath>
            <w:r w:rsidR="007C2F53">
              <w:rPr>
                <w:rFonts w:ascii="Times New Roman" w:eastAsia="Times New Roman" w:hAnsi="Times New Roman"/>
                <w:sz w:val="12"/>
                <w:szCs w:val="12"/>
              </w:rPr>
              <w:t>= other recurring or indirect costs</w:t>
            </w:r>
          </w:p>
        </w:tc>
        <w:tc>
          <w:tcPr>
            <w:tcW w:w="1838" w:type="dxa"/>
            <w:vAlign w:val="center"/>
          </w:tcPr>
          <w:p w14:paraId="38EBC11B"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lastRenderedPageBreak/>
              <w:t>Extends basic TCO by explicitly including all relevant facility, IT, and indirect costs.</w:t>
            </w:r>
            <w:r>
              <w:rPr>
                <w:rFonts w:ascii="Times New Roman" w:eastAsia="Times New Roman" w:hAnsi="Times New Roman"/>
                <w:sz w:val="12"/>
                <w:szCs w:val="12"/>
              </w:rPr>
              <w:br/>
              <w:t>Often implemented via spreadsheet models for scenario analysis.</w:t>
            </w:r>
          </w:p>
        </w:tc>
        <w:tc>
          <w:tcPr>
            <w:tcW w:w="1559" w:type="dxa"/>
            <w:vAlign w:val="center"/>
          </w:tcPr>
          <w:p w14:paraId="475C080B"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 0.</w:t>
            </w:r>
          </w:p>
          <w:p w14:paraId="30AD62AB"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True TCO is better for a given level of service; the metric is mainly used for comparison.</w:t>
            </w:r>
          </w:p>
        </w:tc>
        <w:tc>
          <w:tcPr>
            <w:tcW w:w="2268" w:type="dxa"/>
            <w:vAlign w:val="center"/>
          </w:tcPr>
          <w:p w14:paraId="06AEF75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Strategic planning for data center investments; compare </w:t>
            </w:r>
            <w:proofErr w:type="gramStart"/>
            <w:r>
              <w:rPr>
                <w:rFonts w:ascii="Times New Roman" w:eastAsia="Times New Roman" w:hAnsi="Times New Roman"/>
                <w:sz w:val="12"/>
                <w:szCs w:val="12"/>
              </w:rPr>
              <w:t>high-efficiency</w:t>
            </w:r>
            <w:proofErr w:type="gramEnd"/>
            <w:r>
              <w:rPr>
                <w:rFonts w:ascii="Times New Roman" w:eastAsia="Times New Roman" w:hAnsi="Times New Roman"/>
                <w:sz w:val="12"/>
                <w:szCs w:val="12"/>
              </w:rPr>
              <w:t xml:space="preserve"> vs. conventional designs; support executive decision-making.</w:t>
            </w:r>
          </w:p>
        </w:tc>
      </w:tr>
      <w:tr w:rsidR="007C2F53" w14:paraId="0A51C42E" w14:textId="77777777" w:rsidTr="000F1AD0">
        <w:trPr>
          <w:jc w:val="center"/>
        </w:trPr>
        <w:tc>
          <w:tcPr>
            <w:tcW w:w="851" w:type="dxa"/>
            <w:vAlign w:val="center"/>
          </w:tcPr>
          <w:p w14:paraId="7C7FD4C9"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Total Cost of Energy</w:t>
            </w:r>
          </w:p>
        </w:tc>
        <w:tc>
          <w:tcPr>
            <w:tcW w:w="709" w:type="dxa"/>
            <w:vAlign w:val="center"/>
          </w:tcPr>
          <w:p w14:paraId="4F1321F3"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TCOE</w:t>
            </w:r>
          </w:p>
        </w:tc>
        <w:tc>
          <w:tcPr>
            <w:tcW w:w="2409" w:type="dxa"/>
            <w:vAlign w:val="center"/>
          </w:tcPr>
          <w:p w14:paraId="2C0A411E" w14:textId="77777777" w:rsidR="007C2F53" w:rsidRPr="00D515A5" w:rsidRDefault="007C2F53" w:rsidP="000F1AD0">
            <w:pPr>
              <w:spacing w:line="240" w:lineRule="atLeast"/>
              <w:jc w:val="center"/>
              <w:rPr>
                <w:rFonts w:ascii="Cambria Math" w:eastAsia="Cambria Math" w:hAnsi="Cambria Math" w:cs="Cambria Math"/>
                <w:i/>
                <w:sz w:val="12"/>
                <w:szCs w:val="12"/>
              </w:rPr>
            </w:pPr>
            <m:oMathPara>
              <m:oMath>
                <m:r>
                  <w:rPr>
                    <w:rFonts w:ascii="Cambria Math" w:eastAsia="Cambria Math" w:hAnsi="Cambria Math" w:cs="Cambria Math"/>
                    <w:sz w:val="12"/>
                    <w:szCs w:val="12"/>
                  </w:rPr>
                  <m:t xml:space="preserve">TCOE = </m:t>
                </m:r>
                <m:sSubSup>
                  <m:sSubSupPr>
                    <m:ctrlPr>
                      <w:rPr>
                        <w:rFonts w:ascii="Cambria Math" w:eastAsia="Cambria Math" w:hAnsi="Cambria Math" w:cs="Cambria Math"/>
                        <w:i/>
                        <w:sz w:val="12"/>
                        <w:szCs w:val="12"/>
                      </w:rPr>
                    </m:ctrlPr>
                  </m:sSubSupPr>
                  <m:e>
                    <m:r>
                      <w:rPr>
                        <w:rFonts w:ascii="Cambria Math" w:eastAsia="Cambria Math" w:hAnsi="Cambria Math" w:cs="Cambria Math"/>
                        <w:sz w:val="12"/>
                        <w:szCs w:val="12"/>
                      </w:rPr>
                      <m:t>Σ</m:t>
                    </m:r>
                  </m:e>
                  <m:sub>
                    <m:d>
                      <m:dPr>
                        <m:begChr m:val="{"/>
                        <m:endChr m:val="}"/>
                        <m:ctrlPr>
                          <w:rPr>
                            <w:rFonts w:ascii="Cambria Math" w:eastAsia="Cambria Math" w:hAnsi="Cambria Math" w:cs="Cambria Math"/>
                            <w:i/>
                            <w:sz w:val="12"/>
                            <w:szCs w:val="12"/>
                          </w:rPr>
                        </m:ctrlPr>
                      </m:dPr>
                      <m:e>
                        <m:r>
                          <w:rPr>
                            <w:rFonts w:ascii="Cambria Math" w:eastAsia="Cambria Math" w:hAnsi="Cambria Math" w:cs="Cambria Math"/>
                            <w:sz w:val="12"/>
                            <w:szCs w:val="12"/>
                          </w:rPr>
                          <m:t>t=1</m:t>
                        </m:r>
                      </m:e>
                    </m:d>
                  </m:sub>
                  <m:sup>
                    <m:d>
                      <m:dPr>
                        <m:begChr m:val="{"/>
                        <m:endChr m:val="}"/>
                        <m:ctrlPr>
                          <w:rPr>
                            <w:rFonts w:ascii="Cambria Math" w:eastAsia="Cambria Math" w:hAnsi="Cambria Math" w:cs="Cambria Math"/>
                            <w:i/>
                            <w:sz w:val="12"/>
                            <w:szCs w:val="12"/>
                          </w:rPr>
                        </m:ctrlPr>
                      </m:dPr>
                      <m:e>
                        <m:r>
                          <w:rPr>
                            <w:rFonts w:ascii="Cambria Math" w:eastAsia="Cambria Math" w:hAnsi="Cambria Math" w:cs="Cambria Math"/>
                            <w:sz w:val="12"/>
                            <w:szCs w:val="12"/>
                          </w:rPr>
                          <m:t>T</m:t>
                        </m:r>
                      </m:e>
                    </m:d>
                  </m:sup>
                </m:sSubSup>
                <m:r>
                  <w:rPr>
                    <w:rFonts w:ascii="Cambria Math" w:eastAsia="Cambria Math" w:hAnsi="Cambria Math" w:cs="Cambria Math"/>
                    <w:sz w:val="12"/>
                    <w:szCs w:val="12"/>
                  </w:rPr>
                  <m:t xml:space="preserve"> </m:t>
                </m:r>
                <m:f>
                  <m:fPr>
                    <m:ctrlPr>
                      <w:rPr>
                        <w:rFonts w:ascii="Cambria Math" w:eastAsia="Cambria Math" w:hAnsi="Cambria Math" w:cs="Cambria Math"/>
                        <w:i/>
                        <w:sz w:val="12"/>
                        <w:szCs w:val="12"/>
                      </w:rPr>
                    </m:ctrlPr>
                  </m:fPr>
                  <m:num>
                    <m:sSub>
                      <m:sSubPr>
                        <m:ctrlPr>
                          <w:rPr>
                            <w:rFonts w:ascii="Cambria Math" w:eastAsia="Cambria Math" w:hAnsi="Cambria Math" w:cs="Cambria Math"/>
                            <w:i/>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energy, t</m:t>
                        </m:r>
                      </m:sub>
                    </m:sSub>
                  </m:num>
                  <m:den>
                    <m:sSup>
                      <m:sSupPr>
                        <m:ctrlPr>
                          <w:rPr>
                            <w:rFonts w:ascii="Cambria Math" w:eastAsia="Cambria Math" w:hAnsi="Cambria Math" w:cs="Cambria Math"/>
                            <w:i/>
                            <w:sz w:val="12"/>
                            <w:szCs w:val="12"/>
                          </w:rPr>
                        </m:ctrlPr>
                      </m:sSupPr>
                      <m:e>
                        <m:d>
                          <m:dPr>
                            <m:ctrlPr>
                              <w:rPr>
                                <w:rFonts w:ascii="Cambria Math" w:eastAsia="Cambria Math" w:hAnsi="Cambria Math" w:cs="Cambria Math"/>
                                <w:i/>
                                <w:sz w:val="12"/>
                                <w:szCs w:val="12"/>
                              </w:rPr>
                            </m:ctrlPr>
                          </m:dPr>
                          <m:e>
                            <m:r>
                              <w:rPr>
                                <w:rFonts w:ascii="Cambria Math" w:eastAsia="Cambria Math" w:hAnsi="Cambria Math" w:cs="Cambria Math"/>
                                <w:sz w:val="12"/>
                                <w:szCs w:val="12"/>
                              </w:rPr>
                              <m:t>1 + r</m:t>
                            </m:r>
                          </m:e>
                        </m:d>
                      </m:e>
                      <m:sup>
                        <m:r>
                          <w:rPr>
                            <w:rFonts w:ascii="Cambria Math" w:eastAsia="Cambria Math" w:hAnsi="Cambria Math" w:cs="Cambria Math"/>
                            <w:sz w:val="12"/>
                            <w:szCs w:val="12"/>
                          </w:rPr>
                          <m:t>t</m:t>
                        </m:r>
                      </m:sup>
                    </m:sSup>
                  </m:den>
                </m:f>
                <m:r>
                  <w:rPr>
                    <w:rFonts w:ascii="Cambria Math" w:eastAsia="Cambria Math" w:hAnsi="Cambria Math" w:cs="Cambria Math"/>
                    <w:sz w:val="12"/>
                    <w:szCs w:val="12"/>
                  </w:rPr>
                  <m:t xml:space="preserve"> </m:t>
                </m:r>
              </m:oMath>
            </m:oMathPara>
          </w:p>
          <w:p w14:paraId="2070ED93"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C</m:t>
                  </m:r>
                </m:e>
                <m:sub>
                  <m:r>
                    <w:rPr>
                      <w:rFonts w:ascii="Cambria Math" w:eastAsia="Cambria Math" w:hAnsi="Cambria Math" w:cs="Cambria Math"/>
                      <w:sz w:val="12"/>
                      <w:szCs w:val="12"/>
                    </w:rPr>
                    <m:t>energy, t</m:t>
                  </m:r>
                </m:sub>
              </m:sSub>
            </m:oMath>
            <w:r w:rsidR="007C2F53">
              <w:rPr>
                <w:rFonts w:ascii="Times New Roman" w:eastAsia="Times New Roman" w:hAnsi="Times New Roman"/>
                <w:sz w:val="12"/>
                <w:szCs w:val="12"/>
              </w:rPr>
              <w:t xml:space="preserve"> = energy-related costs in year t (electricity, demand charges, fuel)</w:t>
            </w:r>
          </w:p>
        </w:tc>
        <w:tc>
          <w:tcPr>
            <w:tcW w:w="1838" w:type="dxa"/>
            <w:vAlign w:val="center"/>
          </w:tcPr>
          <w:p w14:paraId="2756D36E" w14:textId="77777777" w:rsidR="007C2F53" w:rsidRDefault="007C2F53" w:rsidP="000F1AD0">
            <w:pPr>
              <w:spacing w:line="160" w:lineRule="exact"/>
              <w:jc w:val="left"/>
              <w:rPr>
                <w:rFonts w:ascii="Times New Roman" w:eastAsia="Times New Roman" w:hAnsi="Times New Roman"/>
                <w:sz w:val="12"/>
                <w:szCs w:val="12"/>
              </w:rPr>
            </w:pPr>
            <w:proofErr w:type="gramStart"/>
            <w:r>
              <w:rPr>
                <w:rFonts w:ascii="Times New Roman" w:eastAsia="Times New Roman" w:hAnsi="Times New Roman"/>
                <w:sz w:val="12"/>
                <w:szCs w:val="12"/>
              </w:rPr>
              <w:t>Isolates</w:t>
            </w:r>
            <w:proofErr w:type="gramEnd"/>
            <w:r>
              <w:rPr>
                <w:rFonts w:ascii="Times New Roman" w:eastAsia="Times New Roman" w:hAnsi="Times New Roman"/>
                <w:sz w:val="12"/>
                <w:szCs w:val="12"/>
              </w:rPr>
              <w:t xml:space="preserve"> the energy component of lifecycle cost. Extended to include energy-related infra (on-site generation or storage).</w:t>
            </w:r>
          </w:p>
        </w:tc>
        <w:tc>
          <w:tcPr>
            <w:tcW w:w="1559" w:type="dxa"/>
            <w:vAlign w:val="center"/>
          </w:tcPr>
          <w:p w14:paraId="48F9F130"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 0.</w:t>
            </w:r>
          </w:p>
          <w:p w14:paraId="37A68A31"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is better; used to assess and compare energy strategies.</w:t>
            </w:r>
          </w:p>
        </w:tc>
        <w:tc>
          <w:tcPr>
            <w:tcW w:w="2268" w:type="dxa"/>
            <w:vAlign w:val="center"/>
          </w:tcPr>
          <w:p w14:paraId="0B1045C8"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Compare energy sourcing options; </w:t>
            </w:r>
            <w:proofErr w:type="gramStart"/>
            <w:r>
              <w:rPr>
                <w:rFonts w:ascii="Times New Roman" w:eastAsia="Times New Roman" w:hAnsi="Times New Roman"/>
                <w:sz w:val="12"/>
                <w:szCs w:val="12"/>
              </w:rPr>
              <w:t>assess</w:t>
            </w:r>
            <w:proofErr w:type="gramEnd"/>
            <w:r>
              <w:rPr>
                <w:rFonts w:ascii="Times New Roman" w:eastAsia="Times New Roman" w:hAnsi="Times New Roman"/>
                <w:sz w:val="12"/>
                <w:szCs w:val="12"/>
              </w:rPr>
              <w:t xml:space="preserve"> the impact of efficiency measures and PUE improvements; evaluating on-site renewables and storage.</w:t>
            </w:r>
          </w:p>
        </w:tc>
      </w:tr>
      <w:tr w:rsidR="007C2F53" w14:paraId="31E1B0D5" w14:textId="77777777" w:rsidTr="000F1AD0">
        <w:trPr>
          <w:jc w:val="center"/>
        </w:trPr>
        <w:tc>
          <w:tcPr>
            <w:tcW w:w="851" w:type="dxa"/>
            <w:vAlign w:val="center"/>
          </w:tcPr>
          <w:p w14:paraId="7DDFC6DD"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Total Environmental Cost of Ownership</w:t>
            </w:r>
          </w:p>
        </w:tc>
        <w:tc>
          <w:tcPr>
            <w:tcW w:w="709" w:type="dxa"/>
            <w:vAlign w:val="center"/>
          </w:tcPr>
          <w:p w14:paraId="0CDD084C"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TECO</w:t>
            </w:r>
          </w:p>
        </w:tc>
        <w:tc>
          <w:tcPr>
            <w:tcW w:w="2409" w:type="dxa"/>
            <w:vAlign w:val="center"/>
          </w:tcPr>
          <w:p w14:paraId="1693F067" w14:textId="77777777" w:rsidR="007C2F53" w:rsidRPr="00D515A5" w:rsidRDefault="007C2F53" w:rsidP="000F1AD0">
            <w:pPr>
              <w:spacing w:line="240" w:lineRule="atLeast"/>
              <w:jc w:val="center"/>
              <w:rPr>
                <w:rFonts w:ascii="Cambria Math" w:eastAsia="Cambria Math" w:hAnsi="Cambria Math" w:cs="Cambria Math"/>
                <w:i/>
                <w:sz w:val="10"/>
                <w:szCs w:val="10"/>
              </w:rPr>
            </w:pPr>
            <m:oMathPara>
              <m:oMath>
                <m:r>
                  <w:rPr>
                    <w:rFonts w:ascii="Cambria Math" w:eastAsia="Cambria Math" w:hAnsi="Cambria Math" w:cs="Cambria Math"/>
                    <w:sz w:val="10"/>
                    <w:szCs w:val="10"/>
                  </w:rPr>
                  <m:t xml:space="preserve">TECO = TCO + </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C</m:t>
                    </m:r>
                  </m:e>
                  <m:sub>
                    <m:r>
                      <w:rPr>
                        <w:rFonts w:ascii="Cambria Math" w:eastAsia="Cambria Math" w:hAnsi="Cambria Math" w:cs="Cambria Math"/>
                        <w:sz w:val="10"/>
                        <w:szCs w:val="10"/>
                      </w:rPr>
                      <m:t>carbon</m:t>
                    </m:r>
                  </m:sub>
                </m:sSub>
                <m:r>
                  <w:rPr>
                    <w:rFonts w:ascii="Cambria Math" w:eastAsia="Cambria Math" w:hAnsi="Cambria Math" w:cs="Cambria Math"/>
                    <w:sz w:val="10"/>
                    <w:szCs w:val="10"/>
                  </w:rPr>
                  <m:t xml:space="preserve"> + </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C</m:t>
                    </m:r>
                  </m:e>
                  <m:sub>
                    <m:r>
                      <w:rPr>
                        <w:rFonts w:ascii="Cambria Math" w:eastAsia="Cambria Math" w:hAnsi="Cambria Math" w:cs="Cambria Math"/>
                        <w:sz w:val="10"/>
                        <w:szCs w:val="10"/>
                      </w:rPr>
                      <m:t>water</m:t>
                    </m:r>
                  </m:sub>
                </m:sSub>
                <m:r>
                  <w:rPr>
                    <w:rFonts w:ascii="Cambria Math" w:eastAsia="Cambria Math" w:hAnsi="Cambria Math" w:cs="Cambria Math"/>
                    <w:sz w:val="10"/>
                    <w:szCs w:val="10"/>
                  </w:rPr>
                  <m:t xml:space="preserve"> + </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C</m:t>
                    </m:r>
                  </m:e>
                  <m:sub>
                    <m:r>
                      <w:rPr>
                        <w:rFonts w:ascii="Cambria Math" w:eastAsia="Cambria Math" w:hAnsi="Cambria Math" w:cs="Cambria Math"/>
                        <w:sz w:val="10"/>
                        <w:szCs w:val="10"/>
                      </w:rPr>
                      <m:t>othe</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r</m:t>
                        </m:r>
                      </m:e>
                      <m:sub>
                        <m:r>
                          <w:rPr>
                            <w:rFonts w:ascii="Cambria Math" w:eastAsia="Cambria Math" w:hAnsi="Cambria Math" w:cs="Cambria Math"/>
                            <w:sz w:val="10"/>
                            <w:szCs w:val="10"/>
                          </w:rPr>
                          <m:t>env</m:t>
                        </m:r>
                      </m:sub>
                    </m:sSub>
                  </m:sub>
                </m:sSub>
                <m:r>
                  <w:rPr>
                    <w:rFonts w:ascii="Cambria Math" w:eastAsia="Cambria Math" w:hAnsi="Cambria Math" w:cs="Cambria Math"/>
                    <w:sz w:val="10"/>
                    <w:szCs w:val="10"/>
                  </w:rPr>
                  <m:t xml:space="preserve">  </m:t>
                </m:r>
              </m:oMath>
            </m:oMathPara>
          </w:p>
          <w:p w14:paraId="447A5A03" w14:textId="77777777" w:rsidR="007C2F53" w:rsidRDefault="00000000" w:rsidP="000F1AD0">
            <w:pPr>
              <w:spacing w:line="160" w:lineRule="exact"/>
              <w:jc w:val="left"/>
              <w:rPr>
                <w:rFonts w:ascii="Times New Roman" w:eastAsia="Times New Roman" w:hAnsi="Times New Roman"/>
                <w:sz w:val="10"/>
                <w:szCs w:val="10"/>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C</m:t>
                  </m:r>
                </m:e>
                <m:sub>
                  <m:r>
                    <w:rPr>
                      <w:rFonts w:ascii="Cambria Math" w:eastAsia="Cambria Math" w:hAnsi="Cambria Math" w:cs="Cambria Math"/>
                      <w:sz w:val="10"/>
                      <w:szCs w:val="10"/>
                    </w:rPr>
                    <m:t>carbon</m:t>
                  </m:r>
                </m:sub>
              </m:sSub>
            </m:oMath>
            <w:r w:rsidR="007C2F53">
              <w:rPr>
                <w:rFonts w:ascii="Times New Roman" w:eastAsia="Times New Roman" w:hAnsi="Times New Roman"/>
                <w:sz w:val="10"/>
                <w:szCs w:val="10"/>
              </w:rPr>
              <w:t xml:space="preserve"> = cost of greenhouse gas emissions (e.g. carbon price)</w:t>
            </w:r>
          </w:p>
          <w:p w14:paraId="24DC0094" w14:textId="77777777" w:rsidR="007C2F53" w:rsidRDefault="00000000" w:rsidP="000F1AD0">
            <w:pPr>
              <w:spacing w:line="160" w:lineRule="exact"/>
              <w:jc w:val="left"/>
              <w:rPr>
                <w:rFonts w:ascii="Times New Roman" w:eastAsia="Times New Roman" w:hAnsi="Times New Roman"/>
                <w:sz w:val="10"/>
                <w:szCs w:val="10"/>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C</m:t>
                  </m:r>
                </m:e>
                <m:sub>
                  <m:r>
                    <w:rPr>
                      <w:rFonts w:ascii="Cambria Math" w:eastAsia="Cambria Math" w:hAnsi="Cambria Math" w:cs="Cambria Math"/>
                      <w:sz w:val="10"/>
                      <w:szCs w:val="10"/>
                    </w:rPr>
                    <m:t>water</m:t>
                  </m:r>
                </m:sub>
              </m:sSub>
            </m:oMath>
            <w:r w:rsidR="007C2F53">
              <w:rPr>
                <w:rFonts w:ascii="Times New Roman" w:eastAsia="Times New Roman" w:hAnsi="Times New Roman"/>
                <w:sz w:val="10"/>
                <w:szCs w:val="10"/>
              </w:rPr>
              <w:t xml:space="preserve"> = cost of water usage and scarcity impacts</w:t>
            </w:r>
          </w:p>
          <w:p w14:paraId="270EFF4A" w14:textId="77777777" w:rsidR="007C2F53" w:rsidRDefault="00000000" w:rsidP="000F1AD0">
            <w:pPr>
              <w:spacing w:line="160" w:lineRule="exact"/>
              <w:jc w:val="left"/>
              <w:rPr>
                <w:rFonts w:ascii="Times New Roman" w:eastAsia="Times New Roman" w:hAnsi="Times New Roman"/>
                <w:sz w:val="10"/>
                <w:szCs w:val="10"/>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C</m:t>
                  </m:r>
                </m:e>
                <m:sub>
                  <m:r>
                    <w:rPr>
                      <w:rFonts w:ascii="Cambria Math" w:eastAsia="Cambria Math" w:hAnsi="Cambria Math" w:cs="Cambria Math"/>
                      <w:sz w:val="10"/>
                      <w:szCs w:val="10"/>
                    </w:rPr>
                    <m:t>other_env</m:t>
                  </m:r>
                </m:sub>
              </m:sSub>
            </m:oMath>
            <w:r w:rsidR="007C2F53">
              <w:rPr>
                <w:rFonts w:ascii="Times New Roman" w:eastAsia="Times New Roman" w:hAnsi="Times New Roman"/>
                <w:sz w:val="10"/>
                <w:szCs w:val="10"/>
              </w:rPr>
              <w:t xml:space="preserve"> = cost of other externalities (land, waste etc.)</w:t>
            </w:r>
          </w:p>
        </w:tc>
        <w:tc>
          <w:tcPr>
            <w:tcW w:w="1838" w:type="dxa"/>
            <w:vAlign w:val="center"/>
          </w:tcPr>
          <w:p w14:paraId="0564855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Adds monetized environmental externalities to standard TCO, producing an augmented lifecycle cost with ESG priorities.</w:t>
            </w:r>
          </w:p>
        </w:tc>
        <w:tc>
          <w:tcPr>
            <w:tcW w:w="1559" w:type="dxa"/>
            <w:vAlign w:val="center"/>
          </w:tcPr>
          <w:p w14:paraId="7C5C0AB5"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 0.</w:t>
            </w:r>
          </w:p>
          <w:p w14:paraId="7213B31E" w14:textId="77777777" w:rsidR="007C2F53" w:rsidRPr="00D515A5" w:rsidRDefault="007C2F53" w:rsidP="000F1AD0">
            <w:pPr>
              <w:spacing w:line="160" w:lineRule="exact"/>
              <w:jc w:val="left"/>
              <w:rPr>
                <w:rFonts w:ascii="Times New Roman" w:eastAsiaTheme="minorEastAsia" w:hAnsi="Times New Roman"/>
                <w:sz w:val="12"/>
                <w:szCs w:val="12"/>
              </w:rPr>
            </w:pPr>
            <w:r w:rsidRPr="00D515A5">
              <w:rPr>
                <w:rFonts w:ascii="Times New Roman" w:eastAsia="Times New Roman" w:hAnsi="Times New Roman"/>
                <w:sz w:val="12"/>
                <w:szCs w:val="12"/>
              </w:rPr>
              <w:t>Direction: Lower is better; encourages designs that minimize both financial and environmental impacts.</w:t>
            </w:r>
          </w:p>
        </w:tc>
        <w:tc>
          <w:tcPr>
            <w:tcW w:w="2268" w:type="dxa"/>
            <w:vAlign w:val="center"/>
          </w:tcPr>
          <w:p w14:paraId="78CB7F5B"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ESG-focused infrastructure planning; evaluating low-carbon and low-water designs; internal carbon pricing analyses.</w:t>
            </w:r>
          </w:p>
        </w:tc>
      </w:tr>
      <w:tr w:rsidR="007C2F53" w14:paraId="6FB98AA1" w14:textId="77777777" w:rsidTr="000F1AD0">
        <w:trPr>
          <w:jc w:val="center"/>
        </w:trPr>
        <w:tc>
          <w:tcPr>
            <w:tcW w:w="851" w:type="dxa"/>
            <w:vAlign w:val="center"/>
          </w:tcPr>
          <w:p w14:paraId="3A49AF13"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Levelized Cost of Energy</w:t>
            </w:r>
          </w:p>
        </w:tc>
        <w:tc>
          <w:tcPr>
            <w:tcW w:w="709" w:type="dxa"/>
            <w:vAlign w:val="center"/>
          </w:tcPr>
          <w:p w14:paraId="37CE419F"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LCOE</w:t>
            </w:r>
          </w:p>
        </w:tc>
        <w:tc>
          <w:tcPr>
            <w:tcW w:w="2409" w:type="dxa"/>
            <w:vAlign w:val="center"/>
          </w:tcPr>
          <w:p w14:paraId="7EB842CE" w14:textId="77777777" w:rsidR="007C2F53" w:rsidRPr="00D515A5" w:rsidRDefault="007C2F53" w:rsidP="000F1AD0">
            <w:pPr>
              <w:spacing w:line="240" w:lineRule="atLeast"/>
              <w:jc w:val="center"/>
              <w:rPr>
                <w:rFonts w:ascii="Cambria Math" w:eastAsia="Cambria Math" w:hAnsi="Cambria Math" w:cs="Cambria Math"/>
                <w:i/>
                <w:sz w:val="10"/>
                <w:szCs w:val="10"/>
              </w:rPr>
            </w:pPr>
            <m:oMathPara>
              <m:oMath>
                <m:r>
                  <w:rPr>
                    <w:rFonts w:ascii="Cambria Math" w:eastAsia="Cambria Math" w:hAnsi="Cambria Math" w:cs="Cambria Math"/>
                    <w:sz w:val="10"/>
                    <w:szCs w:val="10"/>
                  </w:rPr>
                  <m:t xml:space="preserve">LCOE = </m:t>
                </m:r>
                <m:sSubSup>
                  <m:sSubSupPr>
                    <m:ctrlPr>
                      <w:rPr>
                        <w:rFonts w:ascii="Cambria Math" w:eastAsia="Cambria Math" w:hAnsi="Cambria Math" w:cs="Cambria Math"/>
                        <w:i/>
                        <w:sz w:val="10"/>
                        <w:szCs w:val="10"/>
                      </w:rPr>
                    </m:ctrlPr>
                  </m:sSubSupPr>
                  <m:e>
                    <m:r>
                      <w:rPr>
                        <w:rFonts w:ascii="Cambria Math" w:eastAsia="Cambria Math" w:hAnsi="Cambria Math" w:cs="Cambria Math"/>
                        <w:sz w:val="10"/>
                        <w:szCs w:val="10"/>
                      </w:rPr>
                      <m:t>Σ</m:t>
                    </m:r>
                  </m:e>
                  <m:sub>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t=0</m:t>
                        </m:r>
                      </m:e>
                    </m:d>
                  </m:sub>
                  <m:sup>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m:t>
                        </m:r>
                      </m:e>
                    </m:d>
                  </m:sup>
                </m:sSubSup>
                <m:r>
                  <w:rPr>
                    <w:rFonts w:ascii="Cambria Math" w:eastAsia="Cambria Math" w:hAnsi="Cambria Math" w:cs="Cambria Math"/>
                    <w:sz w:val="10"/>
                    <w:szCs w:val="10"/>
                  </w:rPr>
                  <m:t xml:space="preserve"> </m:t>
                </m:r>
                <m:f>
                  <m:fPr>
                    <m:ctrlPr>
                      <w:rPr>
                        <w:rFonts w:ascii="Cambria Math" w:eastAsia="Cambria Math" w:hAnsi="Cambria Math" w:cs="Cambria Math"/>
                        <w:i/>
                        <w:sz w:val="10"/>
                        <w:szCs w:val="10"/>
                      </w:rPr>
                    </m:ctrlPr>
                  </m:fPr>
                  <m:num>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I</m:t>
                        </m:r>
                      </m:e>
                      <m:sub>
                        <m:r>
                          <w:rPr>
                            <w:rFonts w:ascii="Cambria Math" w:eastAsia="Cambria Math" w:hAnsi="Cambria Math" w:cs="Cambria Math"/>
                            <w:sz w:val="10"/>
                            <w:szCs w:val="10"/>
                          </w:rPr>
                          <m:t>t</m:t>
                        </m:r>
                      </m:sub>
                    </m:sSub>
                    <m:r>
                      <w:rPr>
                        <w:rFonts w:ascii="Cambria Math" w:eastAsia="Cambria Math" w:hAnsi="Cambria Math" w:cs="Cambria Math"/>
                        <w:sz w:val="10"/>
                        <w:szCs w:val="10"/>
                      </w:rPr>
                      <m:t xml:space="preserve"> + </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M</m:t>
                        </m:r>
                      </m:e>
                      <m:sub>
                        <m:r>
                          <w:rPr>
                            <w:rFonts w:ascii="Cambria Math" w:eastAsia="Cambria Math" w:hAnsi="Cambria Math" w:cs="Cambria Math"/>
                            <w:sz w:val="10"/>
                            <w:szCs w:val="10"/>
                          </w:rPr>
                          <m:t>t</m:t>
                        </m:r>
                      </m:sub>
                    </m:sSub>
                    <m:r>
                      <w:rPr>
                        <w:rFonts w:ascii="Cambria Math" w:eastAsia="Cambria Math" w:hAnsi="Cambria Math" w:cs="Cambria Math"/>
                        <w:sz w:val="10"/>
                        <w:szCs w:val="10"/>
                      </w:rPr>
                      <m:t xml:space="preserve"> + </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F</m:t>
                        </m:r>
                      </m:e>
                      <m:sub>
                        <m:r>
                          <w:rPr>
                            <w:rFonts w:ascii="Cambria Math" w:eastAsia="Cambria Math" w:hAnsi="Cambria Math" w:cs="Cambria Math"/>
                            <w:sz w:val="10"/>
                            <w:szCs w:val="10"/>
                          </w:rPr>
                          <m:t>t</m:t>
                        </m:r>
                      </m:sub>
                    </m:sSub>
                  </m:num>
                  <m:den>
                    <m:sSup>
                      <m:sSupPr>
                        <m:ctrlPr>
                          <w:rPr>
                            <w:rFonts w:ascii="Cambria Math" w:eastAsia="Cambria Math" w:hAnsi="Cambria Math" w:cs="Cambria Math"/>
                            <w:i/>
                            <w:sz w:val="10"/>
                            <w:szCs w:val="10"/>
                          </w:rPr>
                        </m:ctrlPr>
                      </m:sSupPr>
                      <m:e>
                        <m:d>
                          <m:dPr>
                            <m:ctrlPr>
                              <w:rPr>
                                <w:rFonts w:ascii="Cambria Math" w:eastAsia="Cambria Math" w:hAnsi="Cambria Math" w:cs="Cambria Math"/>
                                <w:i/>
                                <w:sz w:val="10"/>
                                <w:szCs w:val="10"/>
                              </w:rPr>
                            </m:ctrlPr>
                          </m:dPr>
                          <m:e>
                            <m:r>
                              <w:rPr>
                                <w:rFonts w:ascii="Cambria Math" w:eastAsia="Cambria Math" w:hAnsi="Cambria Math" w:cs="Cambria Math"/>
                                <w:sz w:val="10"/>
                                <w:szCs w:val="10"/>
                              </w:rPr>
                              <m:t>1 + r</m:t>
                            </m:r>
                          </m:e>
                        </m:d>
                      </m:e>
                      <m:sup>
                        <m:r>
                          <w:rPr>
                            <w:rFonts w:ascii="Cambria Math" w:eastAsia="Cambria Math" w:hAnsi="Cambria Math" w:cs="Cambria Math"/>
                            <w:sz w:val="10"/>
                            <w:szCs w:val="10"/>
                          </w:rPr>
                          <m:t>t</m:t>
                        </m:r>
                      </m:sup>
                    </m:sSup>
                  </m:den>
                </m:f>
                <m:r>
                  <w:rPr>
                    <w:rFonts w:ascii="Cambria Math" w:eastAsia="Cambria Math" w:hAnsi="Cambria Math" w:cs="Cambria Math"/>
                    <w:sz w:val="10"/>
                    <w:szCs w:val="10"/>
                  </w:rPr>
                  <m:t xml:space="preserve">   ÷  </m:t>
                </m:r>
                <m:sSubSup>
                  <m:sSubSupPr>
                    <m:ctrlPr>
                      <w:rPr>
                        <w:rFonts w:ascii="Cambria Math" w:eastAsia="Cambria Math" w:hAnsi="Cambria Math" w:cs="Cambria Math"/>
                        <w:i/>
                        <w:sz w:val="10"/>
                        <w:szCs w:val="10"/>
                      </w:rPr>
                    </m:ctrlPr>
                  </m:sSubSupPr>
                  <m:e>
                    <m:r>
                      <w:rPr>
                        <w:rFonts w:ascii="Cambria Math" w:eastAsia="Cambria Math" w:hAnsi="Cambria Math" w:cs="Cambria Math"/>
                        <w:sz w:val="10"/>
                        <w:szCs w:val="10"/>
                      </w:rPr>
                      <m:t>Σ</m:t>
                    </m:r>
                  </m:e>
                  <m:sub>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t=0</m:t>
                        </m:r>
                      </m:e>
                    </m:d>
                  </m:sub>
                  <m:sup>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m:t>
                        </m:r>
                      </m:e>
                    </m:d>
                  </m:sup>
                </m:sSubSup>
                <m:r>
                  <w:rPr>
                    <w:rFonts w:ascii="Cambria Math" w:eastAsia="Cambria Math" w:hAnsi="Cambria Math" w:cs="Cambria Math"/>
                    <w:sz w:val="10"/>
                    <w:szCs w:val="10"/>
                  </w:rPr>
                  <m:t xml:space="preserve"> </m:t>
                </m:r>
                <m:f>
                  <m:fPr>
                    <m:ctrlPr>
                      <w:rPr>
                        <w:rFonts w:ascii="Cambria Math" w:eastAsia="Cambria Math" w:hAnsi="Cambria Math" w:cs="Cambria Math"/>
                        <w:i/>
                        <w:sz w:val="10"/>
                        <w:szCs w:val="10"/>
                      </w:rPr>
                    </m:ctrlPr>
                  </m:fPr>
                  <m:num>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E</m:t>
                        </m:r>
                      </m:e>
                      <m:sub>
                        <m:r>
                          <w:rPr>
                            <w:rFonts w:ascii="Cambria Math" w:eastAsia="Cambria Math" w:hAnsi="Cambria Math" w:cs="Cambria Math"/>
                            <w:sz w:val="10"/>
                            <w:szCs w:val="10"/>
                          </w:rPr>
                          <m:t>t</m:t>
                        </m:r>
                      </m:sub>
                    </m:sSub>
                  </m:num>
                  <m:den>
                    <m:sSup>
                      <m:sSupPr>
                        <m:ctrlPr>
                          <w:rPr>
                            <w:rFonts w:ascii="Cambria Math" w:eastAsia="Cambria Math" w:hAnsi="Cambria Math" w:cs="Cambria Math"/>
                            <w:i/>
                            <w:sz w:val="10"/>
                            <w:szCs w:val="10"/>
                          </w:rPr>
                        </m:ctrlPr>
                      </m:sSupPr>
                      <m:e>
                        <m:d>
                          <m:dPr>
                            <m:ctrlPr>
                              <w:rPr>
                                <w:rFonts w:ascii="Cambria Math" w:eastAsia="Cambria Math" w:hAnsi="Cambria Math" w:cs="Cambria Math"/>
                                <w:i/>
                                <w:sz w:val="10"/>
                                <w:szCs w:val="10"/>
                              </w:rPr>
                            </m:ctrlPr>
                          </m:dPr>
                          <m:e>
                            <m:r>
                              <w:rPr>
                                <w:rFonts w:ascii="Cambria Math" w:eastAsia="Cambria Math" w:hAnsi="Cambria Math" w:cs="Cambria Math"/>
                                <w:sz w:val="10"/>
                                <w:szCs w:val="10"/>
                              </w:rPr>
                              <m:t>1 + r</m:t>
                            </m:r>
                          </m:e>
                        </m:d>
                      </m:e>
                      <m:sup>
                        <m:r>
                          <w:rPr>
                            <w:rFonts w:ascii="Cambria Math" w:eastAsia="Cambria Math" w:hAnsi="Cambria Math" w:cs="Cambria Math"/>
                            <w:sz w:val="10"/>
                            <w:szCs w:val="10"/>
                          </w:rPr>
                          <m:t>t</m:t>
                        </m:r>
                      </m:sup>
                    </m:sSup>
                  </m:den>
                </m:f>
              </m:oMath>
            </m:oMathPara>
          </w:p>
          <w:p w14:paraId="7DE7D510" w14:textId="77777777" w:rsidR="007C2F53" w:rsidRDefault="00000000" w:rsidP="000F1AD0">
            <w:pPr>
              <w:spacing w:line="160" w:lineRule="exact"/>
              <w:jc w:val="left"/>
              <w:rPr>
                <w:rFonts w:ascii="Times New Roman" w:eastAsia="Times New Roman" w:hAnsi="Times New Roman"/>
                <w:sz w:val="10"/>
                <w:szCs w:val="10"/>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I</m:t>
                  </m:r>
                </m:e>
                <m:sub>
                  <m:r>
                    <w:rPr>
                      <w:rFonts w:ascii="Cambria Math" w:eastAsia="Cambria Math" w:hAnsi="Cambria Math" w:cs="Cambria Math"/>
                      <w:sz w:val="10"/>
                      <w:szCs w:val="10"/>
                    </w:rPr>
                    <m:t>t</m:t>
                  </m:r>
                </m:sub>
              </m:sSub>
            </m:oMath>
            <w:r w:rsidR="007C2F53">
              <w:rPr>
                <w:rFonts w:ascii="Times New Roman" w:eastAsia="Times New Roman" w:hAnsi="Times New Roman"/>
                <w:sz w:val="10"/>
                <w:szCs w:val="10"/>
              </w:rPr>
              <w:t>= investment (CAPEX) in year t</w:t>
            </w:r>
          </w:p>
          <w:p w14:paraId="41E5CD4F" w14:textId="77777777" w:rsidR="007C2F53" w:rsidRDefault="00000000" w:rsidP="000F1AD0">
            <w:pPr>
              <w:spacing w:line="160" w:lineRule="exact"/>
              <w:jc w:val="left"/>
              <w:rPr>
                <w:rFonts w:ascii="Times New Roman" w:eastAsia="Times New Roman" w:hAnsi="Times New Roman"/>
                <w:sz w:val="10"/>
                <w:szCs w:val="10"/>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M</m:t>
                  </m:r>
                </m:e>
                <m:sub>
                  <m:r>
                    <w:rPr>
                      <w:rFonts w:ascii="Cambria Math" w:eastAsia="Cambria Math" w:hAnsi="Cambria Math" w:cs="Cambria Math"/>
                      <w:sz w:val="10"/>
                      <w:szCs w:val="10"/>
                    </w:rPr>
                    <m:t>t</m:t>
                  </m:r>
                </m:sub>
              </m:sSub>
            </m:oMath>
            <w:r w:rsidR="007C2F53">
              <w:rPr>
                <w:rFonts w:ascii="Times New Roman" w:eastAsia="Times New Roman" w:hAnsi="Times New Roman"/>
                <w:sz w:val="10"/>
                <w:szCs w:val="10"/>
              </w:rPr>
              <w:t xml:space="preserve"> = operations and maintenance (O&amp;M) costs in year t</w:t>
            </w:r>
          </w:p>
          <w:p w14:paraId="28022B57" w14:textId="77777777" w:rsidR="007C2F53" w:rsidRDefault="00000000" w:rsidP="000F1AD0">
            <w:pPr>
              <w:spacing w:line="160" w:lineRule="exact"/>
              <w:jc w:val="left"/>
              <w:rPr>
                <w:rFonts w:ascii="Times New Roman" w:eastAsia="Times New Roman" w:hAnsi="Times New Roman"/>
                <w:sz w:val="10"/>
                <w:szCs w:val="10"/>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F</m:t>
                  </m:r>
                </m:e>
                <m:sub>
                  <m:r>
                    <w:rPr>
                      <w:rFonts w:ascii="Cambria Math" w:eastAsia="Cambria Math" w:hAnsi="Cambria Math" w:cs="Cambria Math"/>
                      <w:sz w:val="10"/>
                      <w:szCs w:val="10"/>
                    </w:rPr>
                    <m:t>t</m:t>
                  </m:r>
                </m:sub>
              </m:sSub>
            </m:oMath>
            <w:r w:rsidR="007C2F53">
              <w:rPr>
                <w:rFonts w:ascii="Times New Roman" w:eastAsia="Times New Roman" w:hAnsi="Times New Roman"/>
                <w:sz w:val="10"/>
                <w:szCs w:val="10"/>
              </w:rPr>
              <w:t xml:space="preserve"> = fuel costs in year t (if applicable)</w:t>
            </w:r>
          </w:p>
          <w:p w14:paraId="764561B3" w14:textId="77777777" w:rsidR="007C2F53" w:rsidRDefault="00000000" w:rsidP="000F1AD0">
            <w:pPr>
              <w:spacing w:line="160" w:lineRule="exact"/>
              <w:jc w:val="left"/>
              <w:rPr>
                <w:rFonts w:ascii="Times New Roman" w:eastAsia="Times New Roman" w:hAnsi="Times New Roman"/>
                <w:sz w:val="10"/>
                <w:szCs w:val="10"/>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E</m:t>
                  </m:r>
                </m:e>
                <m:sub>
                  <m:r>
                    <w:rPr>
                      <w:rFonts w:ascii="Cambria Math" w:eastAsia="Cambria Math" w:hAnsi="Cambria Math" w:cs="Cambria Math"/>
                      <w:sz w:val="10"/>
                      <w:szCs w:val="10"/>
                    </w:rPr>
                    <m:t>t</m:t>
                  </m:r>
                </m:sub>
              </m:sSub>
            </m:oMath>
            <w:r w:rsidR="007C2F53">
              <w:rPr>
                <w:rFonts w:ascii="Times New Roman" w:eastAsia="Times New Roman" w:hAnsi="Times New Roman"/>
                <w:sz w:val="10"/>
                <w:szCs w:val="10"/>
              </w:rPr>
              <w:t xml:space="preserve"> = electricity in year t (MWh)</w:t>
            </w:r>
          </w:p>
        </w:tc>
        <w:tc>
          <w:tcPr>
            <w:tcW w:w="1838" w:type="dxa"/>
            <w:vAlign w:val="center"/>
          </w:tcPr>
          <w:p w14:paraId="5EC1F99A"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Discounted total cost of building and operating a generation asset, divided by discounted total electricity generation (reported in $/MWh).</w:t>
            </w:r>
          </w:p>
        </w:tc>
        <w:tc>
          <w:tcPr>
            <w:tcW w:w="1559" w:type="dxa"/>
            <w:vAlign w:val="center"/>
          </w:tcPr>
          <w:p w14:paraId="5291603C"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LCOE ≥ 0.</w:t>
            </w:r>
          </w:p>
          <w:p w14:paraId="2E25CF17"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LCOE indicates more cost-competitive generation, holding other factors equal.</w:t>
            </w:r>
          </w:p>
        </w:tc>
        <w:tc>
          <w:tcPr>
            <w:tcW w:w="2268" w:type="dxa"/>
            <w:vAlign w:val="center"/>
          </w:tcPr>
          <w:p w14:paraId="7B867168"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Compare different power generation technologies; evaluating renewable energy projects; policy analysis and planning.</w:t>
            </w:r>
          </w:p>
        </w:tc>
      </w:tr>
      <w:tr w:rsidR="007C2F53" w14:paraId="6B00D7F2" w14:textId="77777777" w:rsidTr="000F1AD0">
        <w:trPr>
          <w:jc w:val="center"/>
        </w:trPr>
        <w:tc>
          <w:tcPr>
            <w:tcW w:w="851" w:type="dxa"/>
            <w:vAlign w:val="center"/>
          </w:tcPr>
          <w:p w14:paraId="3C083966"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Levelized Cost of Hydrogen</w:t>
            </w:r>
          </w:p>
        </w:tc>
        <w:tc>
          <w:tcPr>
            <w:tcW w:w="709" w:type="dxa"/>
            <w:vAlign w:val="center"/>
          </w:tcPr>
          <w:p w14:paraId="228EE216"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LCOH</w:t>
            </w:r>
          </w:p>
        </w:tc>
        <w:tc>
          <w:tcPr>
            <w:tcW w:w="2409" w:type="dxa"/>
            <w:vAlign w:val="center"/>
          </w:tcPr>
          <w:p w14:paraId="5E842C46" w14:textId="77777777" w:rsidR="007C2F53" w:rsidRPr="00D515A5" w:rsidRDefault="007C2F53" w:rsidP="000F1AD0">
            <w:pPr>
              <w:spacing w:line="240" w:lineRule="atLeast"/>
              <w:jc w:val="center"/>
              <w:rPr>
                <w:rFonts w:ascii="Cambria Math" w:eastAsia="Cambria Math" w:hAnsi="Cambria Math" w:cs="Cambria Math"/>
                <w:i/>
                <w:sz w:val="10"/>
                <w:szCs w:val="10"/>
              </w:rPr>
            </w:pPr>
            <w:r w:rsidRPr="00D515A5">
              <w:rPr>
                <w:rFonts w:ascii="Cambria Math" w:eastAsia="Cambria Math" w:hAnsi="Cambria Math" w:cs="Cambria Math"/>
                <w:i/>
                <w:sz w:val="10"/>
                <w:szCs w:val="10"/>
              </w:rPr>
              <w:t xml:space="preserve">LCOH = </w:t>
            </w:r>
            <m:oMath>
              <m:sSubSup>
                <m:sSubSupPr>
                  <m:ctrlPr>
                    <w:rPr>
                      <w:rFonts w:ascii="Cambria Math" w:eastAsia="Cambria Math" w:hAnsi="Cambria Math" w:cs="Cambria Math"/>
                      <w:i/>
                      <w:sz w:val="10"/>
                      <w:szCs w:val="10"/>
                    </w:rPr>
                  </m:ctrlPr>
                </m:sSubSupPr>
                <m:e>
                  <m:r>
                    <w:rPr>
                      <w:rFonts w:ascii="Cambria Math" w:eastAsia="Cambria Math" w:hAnsi="Cambria Math" w:cs="Cambria Math"/>
                      <w:sz w:val="10"/>
                      <w:szCs w:val="10"/>
                    </w:rPr>
                    <m:t>Σ</m:t>
                  </m:r>
                </m:e>
                <m:sub>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t=0</m:t>
                      </m:r>
                    </m:e>
                  </m:d>
                </m:sub>
                <m:sup>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m:t>
                      </m:r>
                    </m:e>
                  </m:d>
                </m:sup>
              </m:sSubSup>
              <m:r>
                <w:rPr>
                  <w:rFonts w:ascii="Cambria Math" w:eastAsia="Cambria Math" w:hAnsi="Cambria Math" w:cs="Cambria Math"/>
                  <w:sz w:val="10"/>
                  <w:szCs w:val="10"/>
                </w:rPr>
                <m:t xml:space="preserve"> </m:t>
              </m:r>
              <m:f>
                <m:fPr>
                  <m:ctrlPr>
                    <w:rPr>
                      <w:rFonts w:ascii="Cambria Math" w:eastAsia="Cambria Math" w:hAnsi="Cambria Math" w:cs="Cambria Math"/>
                      <w:i/>
                      <w:sz w:val="10"/>
                      <w:szCs w:val="10"/>
                    </w:rPr>
                  </m:ctrlPr>
                </m:fPr>
                <m:num>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C</m:t>
                      </m:r>
                    </m:e>
                    <m:sub>
                      <m:r>
                        <w:rPr>
                          <w:rFonts w:ascii="Cambria Math" w:eastAsia="Cambria Math" w:hAnsi="Cambria Math" w:cs="Cambria Math"/>
                          <w:sz w:val="10"/>
                          <w:szCs w:val="10"/>
                        </w:rPr>
                        <m:t>t</m:t>
                      </m:r>
                    </m:sub>
                  </m:sSub>
                </m:num>
                <m:den>
                  <m:sSup>
                    <m:sSupPr>
                      <m:ctrlPr>
                        <w:rPr>
                          <w:rFonts w:ascii="Cambria Math" w:eastAsia="Cambria Math" w:hAnsi="Cambria Math" w:cs="Cambria Math"/>
                          <w:i/>
                          <w:sz w:val="10"/>
                          <w:szCs w:val="10"/>
                        </w:rPr>
                      </m:ctrlPr>
                    </m:sSupPr>
                    <m:e>
                      <m:d>
                        <m:dPr>
                          <m:ctrlPr>
                            <w:rPr>
                              <w:rFonts w:ascii="Cambria Math" w:eastAsia="Cambria Math" w:hAnsi="Cambria Math" w:cs="Cambria Math"/>
                              <w:i/>
                              <w:sz w:val="10"/>
                              <w:szCs w:val="10"/>
                            </w:rPr>
                          </m:ctrlPr>
                        </m:dPr>
                        <m:e>
                          <m:r>
                            <w:rPr>
                              <w:rFonts w:ascii="Cambria Math" w:eastAsia="Cambria Math" w:hAnsi="Cambria Math" w:cs="Cambria Math"/>
                              <w:sz w:val="10"/>
                              <w:szCs w:val="10"/>
                            </w:rPr>
                            <m:t>1 + r</m:t>
                          </m:r>
                        </m:e>
                      </m:d>
                    </m:e>
                    <m:sup>
                      <m:r>
                        <w:rPr>
                          <w:rFonts w:ascii="Cambria Math" w:eastAsia="Cambria Math" w:hAnsi="Cambria Math" w:cs="Cambria Math"/>
                          <w:sz w:val="10"/>
                          <w:szCs w:val="10"/>
                        </w:rPr>
                        <m:t>t</m:t>
                      </m:r>
                    </m:sup>
                  </m:sSup>
                </m:den>
              </m:f>
              <m:r>
                <w:rPr>
                  <w:rFonts w:ascii="Cambria Math" w:eastAsia="Cambria Math" w:hAnsi="Cambria Math" w:cs="Cambria Math"/>
                  <w:sz w:val="10"/>
                  <w:szCs w:val="10"/>
                </w:rPr>
                <m:t xml:space="preserve">   ÷  </m:t>
              </m:r>
              <m:sSubSup>
                <m:sSubSupPr>
                  <m:ctrlPr>
                    <w:rPr>
                      <w:rFonts w:ascii="Cambria Math" w:eastAsia="Cambria Math" w:hAnsi="Cambria Math" w:cs="Cambria Math"/>
                      <w:i/>
                      <w:sz w:val="10"/>
                      <w:szCs w:val="10"/>
                    </w:rPr>
                  </m:ctrlPr>
                </m:sSubSupPr>
                <m:e>
                  <m:r>
                    <w:rPr>
                      <w:rFonts w:ascii="Cambria Math" w:eastAsia="Cambria Math" w:hAnsi="Cambria Math" w:cs="Cambria Math"/>
                      <w:sz w:val="10"/>
                      <w:szCs w:val="10"/>
                    </w:rPr>
                    <m:t>Σ</m:t>
                  </m:r>
                </m:e>
                <m:sub>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t=0</m:t>
                      </m:r>
                    </m:e>
                  </m:d>
                </m:sub>
                <m:sup>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m:t>
                      </m:r>
                    </m:e>
                  </m:d>
                </m:sup>
              </m:sSubSup>
              <m:r>
                <w:rPr>
                  <w:rFonts w:ascii="Cambria Math" w:eastAsia="Cambria Math" w:hAnsi="Cambria Math" w:cs="Cambria Math"/>
                  <w:sz w:val="10"/>
                  <w:szCs w:val="10"/>
                </w:rPr>
                <m:t xml:space="preserve"> </m:t>
              </m:r>
              <m:f>
                <m:fPr>
                  <m:ctrlPr>
                    <w:rPr>
                      <w:rFonts w:ascii="Cambria Math" w:eastAsia="Cambria Math" w:hAnsi="Cambria Math" w:cs="Cambria Math"/>
                      <w:i/>
                      <w:sz w:val="10"/>
                      <w:szCs w:val="10"/>
                    </w:rPr>
                  </m:ctrlPr>
                </m:fPr>
                <m:num>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H</m:t>
                      </m:r>
                    </m:e>
                    <m:sub>
                      <m:r>
                        <w:rPr>
                          <w:rFonts w:ascii="Cambria Math" w:eastAsia="Cambria Math" w:hAnsi="Cambria Math" w:cs="Cambria Math"/>
                          <w:sz w:val="10"/>
                          <w:szCs w:val="10"/>
                        </w:rPr>
                        <m:t>t</m:t>
                      </m:r>
                    </m:sub>
                  </m:sSub>
                </m:num>
                <m:den>
                  <m:sSup>
                    <m:sSupPr>
                      <m:ctrlPr>
                        <w:rPr>
                          <w:rFonts w:ascii="Cambria Math" w:eastAsia="Cambria Math" w:hAnsi="Cambria Math" w:cs="Cambria Math"/>
                          <w:i/>
                          <w:sz w:val="10"/>
                          <w:szCs w:val="10"/>
                        </w:rPr>
                      </m:ctrlPr>
                    </m:sSupPr>
                    <m:e>
                      <m:d>
                        <m:dPr>
                          <m:ctrlPr>
                            <w:rPr>
                              <w:rFonts w:ascii="Cambria Math" w:eastAsia="Cambria Math" w:hAnsi="Cambria Math" w:cs="Cambria Math"/>
                              <w:i/>
                              <w:sz w:val="10"/>
                              <w:szCs w:val="10"/>
                            </w:rPr>
                          </m:ctrlPr>
                        </m:dPr>
                        <m:e>
                          <m:r>
                            <w:rPr>
                              <w:rFonts w:ascii="Cambria Math" w:eastAsia="Cambria Math" w:hAnsi="Cambria Math" w:cs="Cambria Math"/>
                              <w:sz w:val="10"/>
                              <w:szCs w:val="10"/>
                            </w:rPr>
                            <m:t>1 + r</m:t>
                          </m:r>
                        </m:e>
                      </m:d>
                    </m:e>
                    <m:sup>
                      <m:r>
                        <w:rPr>
                          <w:rFonts w:ascii="Cambria Math" w:eastAsia="Cambria Math" w:hAnsi="Cambria Math" w:cs="Cambria Math"/>
                          <w:sz w:val="10"/>
                          <w:szCs w:val="10"/>
                        </w:rPr>
                        <m:t>t</m:t>
                      </m:r>
                    </m:sup>
                  </m:sSup>
                </m:den>
              </m:f>
            </m:oMath>
          </w:p>
          <w:p w14:paraId="0FA361CF" w14:textId="77777777" w:rsidR="007C2F53" w:rsidRDefault="00000000" w:rsidP="000F1AD0">
            <w:pPr>
              <w:spacing w:line="160" w:lineRule="exact"/>
              <w:jc w:val="left"/>
              <w:rPr>
                <w:rFonts w:ascii="Times New Roman" w:eastAsia="Times New Roman" w:hAnsi="Times New Roman"/>
                <w:sz w:val="10"/>
                <w:szCs w:val="10"/>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C</m:t>
                  </m:r>
                </m:e>
                <m:sub>
                  <m:r>
                    <w:rPr>
                      <w:rFonts w:ascii="Cambria Math" w:eastAsia="Cambria Math" w:hAnsi="Cambria Math" w:cs="Cambria Math"/>
                      <w:sz w:val="10"/>
                      <w:szCs w:val="10"/>
                    </w:rPr>
                    <m:t>t</m:t>
                  </m:r>
                </m:sub>
              </m:sSub>
              <m:r>
                <w:rPr>
                  <w:rFonts w:ascii="Cambria Math" w:eastAsia="Cambria Math" w:hAnsi="Cambria Math" w:cs="Cambria Math"/>
                  <w:sz w:val="10"/>
                  <w:szCs w:val="10"/>
                </w:rPr>
                <m:t xml:space="preserve"> </m:t>
              </m:r>
            </m:oMath>
            <w:r w:rsidR="007C2F53">
              <w:rPr>
                <w:rFonts w:ascii="Times New Roman" w:eastAsia="Times New Roman" w:hAnsi="Times New Roman"/>
                <w:sz w:val="10"/>
                <w:szCs w:val="10"/>
              </w:rPr>
              <w:t>= total annual costs in year t (CAPEX recovery, OPEX, energy input costs)</w:t>
            </w:r>
          </w:p>
          <w:p w14:paraId="09EBF6A7" w14:textId="77777777" w:rsidR="007C2F53" w:rsidRDefault="00000000" w:rsidP="000F1AD0">
            <w:pPr>
              <w:spacing w:line="160" w:lineRule="exact"/>
              <w:jc w:val="left"/>
              <w:rPr>
                <w:rFonts w:ascii="Times New Roman" w:eastAsia="Times New Roman" w:hAnsi="Times New Roman"/>
                <w:sz w:val="10"/>
                <w:szCs w:val="10"/>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H</m:t>
                  </m:r>
                </m:e>
                <m:sub>
                  <m:r>
                    <w:rPr>
                      <w:rFonts w:ascii="Cambria Math" w:eastAsia="Cambria Math" w:hAnsi="Cambria Math" w:cs="Cambria Math"/>
                      <w:sz w:val="10"/>
                      <w:szCs w:val="10"/>
                    </w:rPr>
                    <m:t>t</m:t>
                  </m:r>
                </m:sub>
              </m:sSub>
            </m:oMath>
            <w:r w:rsidR="007C2F53">
              <w:rPr>
                <w:rFonts w:ascii="Times New Roman" w:eastAsia="Times New Roman" w:hAnsi="Times New Roman"/>
                <w:sz w:val="10"/>
                <w:szCs w:val="10"/>
              </w:rPr>
              <w:t xml:space="preserve"> = hydrogen produced in year t (kg or Nm³)</w:t>
            </w:r>
          </w:p>
        </w:tc>
        <w:tc>
          <w:tcPr>
            <w:tcW w:w="1838" w:type="dxa"/>
            <w:vAlign w:val="center"/>
          </w:tcPr>
          <w:p w14:paraId="3C621DD7"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Discounted total cost of producing hydrogen </w:t>
            </w:r>
            <w:proofErr w:type="gramStart"/>
            <w:r>
              <w:rPr>
                <w:rFonts w:ascii="Times New Roman" w:eastAsia="Times New Roman" w:hAnsi="Times New Roman"/>
                <w:sz w:val="12"/>
                <w:szCs w:val="12"/>
              </w:rPr>
              <w:t>divided</w:t>
            </w:r>
            <w:proofErr w:type="gramEnd"/>
            <w:r>
              <w:rPr>
                <w:rFonts w:ascii="Times New Roman" w:eastAsia="Times New Roman" w:hAnsi="Times New Roman"/>
                <w:sz w:val="12"/>
                <w:szCs w:val="12"/>
              </w:rPr>
              <w:t xml:space="preserve"> by discounted total hydrogen output. Reported in $/kg H2.</w:t>
            </w:r>
          </w:p>
        </w:tc>
        <w:tc>
          <w:tcPr>
            <w:tcW w:w="1559" w:type="dxa"/>
            <w:vAlign w:val="center"/>
          </w:tcPr>
          <w:p w14:paraId="1B1F8B49"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LCOH ≥ 0.</w:t>
            </w:r>
          </w:p>
          <w:p w14:paraId="242F429E"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LCOH indicates more cost-competitive hydrogen production.</w:t>
            </w:r>
          </w:p>
        </w:tc>
        <w:tc>
          <w:tcPr>
            <w:tcW w:w="2268" w:type="dxa"/>
            <w:vAlign w:val="center"/>
          </w:tcPr>
          <w:p w14:paraId="441B6BBC"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Evaluate and compare green and blue hydrogen projects; (electrolysis, SMR with CCS); investment analysis.</w:t>
            </w:r>
          </w:p>
        </w:tc>
      </w:tr>
      <w:tr w:rsidR="007C2F53" w14:paraId="33A5E2E4" w14:textId="77777777" w:rsidTr="000F1AD0">
        <w:trPr>
          <w:jc w:val="center"/>
        </w:trPr>
        <w:tc>
          <w:tcPr>
            <w:tcW w:w="851" w:type="dxa"/>
            <w:vAlign w:val="center"/>
          </w:tcPr>
          <w:p w14:paraId="1A695827"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Levelized Cost of Artificial Intelligence</w:t>
            </w:r>
          </w:p>
        </w:tc>
        <w:tc>
          <w:tcPr>
            <w:tcW w:w="709" w:type="dxa"/>
            <w:vAlign w:val="center"/>
          </w:tcPr>
          <w:p w14:paraId="56677FBF"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LCOAI</w:t>
            </w:r>
          </w:p>
        </w:tc>
        <w:tc>
          <w:tcPr>
            <w:tcW w:w="2409" w:type="dxa"/>
            <w:vAlign w:val="center"/>
          </w:tcPr>
          <w:p w14:paraId="5B9CA956" w14:textId="77777777" w:rsidR="007C2F53" w:rsidRPr="00D515A5" w:rsidRDefault="007C2F53" w:rsidP="000F1AD0">
            <w:pPr>
              <w:spacing w:line="240" w:lineRule="atLeast"/>
              <w:jc w:val="center"/>
              <w:rPr>
                <w:rFonts w:ascii="Cambria Math" w:eastAsia="Cambria Math" w:hAnsi="Cambria Math" w:cs="Cambria Math"/>
                <w:i/>
                <w:sz w:val="10"/>
                <w:szCs w:val="10"/>
              </w:rPr>
            </w:pPr>
            <m:oMathPara>
              <m:oMath>
                <m:r>
                  <w:rPr>
                    <w:rFonts w:ascii="Cambria Math" w:eastAsia="Cambria Math" w:hAnsi="Cambria Math" w:cs="Cambria Math"/>
                    <w:sz w:val="10"/>
                    <w:szCs w:val="10"/>
                  </w:rPr>
                  <m:t>LCOAI =</m:t>
                </m:r>
                <m:f>
                  <m:fPr>
                    <m:ctrlPr>
                      <w:rPr>
                        <w:rFonts w:ascii="Cambria Math" w:eastAsia="Cambria Math" w:hAnsi="Cambria Math" w:cs="Cambria Math"/>
                        <w:i/>
                        <w:sz w:val="10"/>
                        <w:szCs w:val="10"/>
                      </w:rPr>
                    </m:ctrlPr>
                  </m:fPr>
                  <m:num>
                    <m:r>
                      <w:rPr>
                        <w:rFonts w:ascii="Cambria Math" w:eastAsia="Cambria Math" w:hAnsi="Cambria Math" w:cs="Cambria Math"/>
                        <w:sz w:val="10"/>
                        <w:szCs w:val="10"/>
                      </w:rPr>
                      <m:t>CAPE</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X</m:t>
                        </m:r>
                      </m:e>
                      <m:sub>
                        <m:r>
                          <w:rPr>
                            <w:rFonts w:ascii="Cambria Math" w:eastAsia="Cambria Math" w:hAnsi="Cambria Math" w:cs="Cambria Math"/>
                            <w:sz w:val="10"/>
                            <w:szCs w:val="10"/>
                          </w:rPr>
                          <m:t>amortized</m:t>
                        </m:r>
                      </m:sub>
                    </m:sSub>
                    <m:r>
                      <w:rPr>
                        <w:rFonts w:ascii="Cambria Math" w:eastAsia="Cambria Math" w:hAnsi="Cambria Math" w:cs="Cambria Math"/>
                        <w:sz w:val="10"/>
                        <w:szCs w:val="10"/>
                      </w:rPr>
                      <m:t xml:space="preserve">+ </m:t>
                    </m:r>
                    <m:sSubSup>
                      <m:sSubSupPr>
                        <m:ctrlPr>
                          <w:rPr>
                            <w:rFonts w:ascii="Cambria Math" w:eastAsia="Cambria Math" w:hAnsi="Cambria Math" w:cs="Cambria Math"/>
                            <w:i/>
                            <w:sz w:val="10"/>
                            <w:szCs w:val="10"/>
                          </w:rPr>
                        </m:ctrlPr>
                      </m:sSubSupPr>
                      <m:e>
                        <m:r>
                          <w:rPr>
                            <w:rFonts w:ascii="Cambria Math" w:eastAsia="Cambria Math" w:hAnsi="Cambria Math" w:cs="Cambria Math"/>
                            <w:sz w:val="10"/>
                            <w:szCs w:val="10"/>
                          </w:rPr>
                          <m:t>Σ</m:t>
                        </m:r>
                      </m:e>
                      <m:sub>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t=1</m:t>
                            </m:r>
                          </m:e>
                        </m:d>
                      </m:sub>
                      <m:sup>
                        <m:d>
                          <m:dPr>
                            <m:begChr m:val="{"/>
                            <m:endChr m:val="}"/>
                            <m:ctrlPr>
                              <w:rPr>
                                <w:rFonts w:ascii="Cambria Math" w:eastAsia="Cambria Math" w:hAnsi="Cambria Math" w:cs="Cambria Math"/>
                                <w:i/>
                                <w:sz w:val="10"/>
                                <w:szCs w:val="10"/>
                              </w:rPr>
                            </m:ctrlPr>
                          </m:dPr>
                          <m:e>
                            <m:r>
                              <w:rPr>
                                <w:rFonts w:ascii="Cambria Math" w:eastAsia="Cambria Math" w:hAnsi="Cambria Math" w:cs="Cambria Math"/>
                                <w:sz w:val="10"/>
                                <w:szCs w:val="10"/>
                              </w:rPr>
                              <m:t>T</m:t>
                            </m:r>
                          </m:e>
                        </m:d>
                      </m:sup>
                    </m:sSubSup>
                    <m:f>
                      <m:fPr>
                        <m:ctrlPr>
                          <w:rPr>
                            <w:rFonts w:ascii="Cambria Math" w:eastAsia="Cambria Math" w:hAnsi="Cambria Math" w:cs="Cambria Math"/>
                            <w:i/>
                            <w:sz w:val="10"/>
                            <w:szCs w:val="10"/>
                          </w:rPr>
                        </m:ctrlPr>
                      </m:fPr>
                      <m:num>
                        <m:r>
                          <w:rPr>
                            <w:rFonts w:ascii="Cambria Math" w:eastAsia="Cambria Math" w:hAnsi="Cambria Math" w:cs="Cambria Math"/>
                            <w:sz w:val="10"/>
                            <w:szCs w:val="10"/>
                          </w:rPr>
                          <m:t>OPE</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X</m:t>
                            </m:r>
                          </m:e>
                          <m:sub>
                            <m:r>
                              <w:rPr>
                                <w:rFonts w:ascii="Cambria Math" w:eastAsia="Cambria Math" w:hAnsi="Cambria Math" w:cs="Cambria Math"/>
                                <w:sz w:val="10"/>
                                <w:szCs w:val="10"/>
                              </w:rPr>
                              <m:t>t</m:t>
                            </m:r>
                          </m:sub>
                        </m:sSub>
                      </m:num>
                      <m:den>
                        <m:sSup>
                          <m:sSupPr>
                            <m:ctrlPr>
                              <w:rPr>
                                <w:rFonts w:ascii="Cambria Math" w:eastAsia="Cambria Math" w:hAnsi="Cambria Math" w:cs="Cambria Math"/>
                                <w:i/>
                                <w:sz w:val="10"/>
                                <w:szCs w:val="10"/>
                              </w:rPr>
                            </m:ctrlPr>
                          </m:sSupPr>
                          <m:e>
                            <m:d>
                              <m:dPr>
                                <m:ctrlPr>
                                  <w:rPr>
                                    <w:rFonts w:ascii="Cambria Math" w:eastAsia="Cambria Math" w:hAnsi="Cambria Math" w:cs="Cambria Math"/>
                                    <w:i/>
                                    <w:sz w:val="10"/>
                                    <w:szCs w:val="10"/>
                                  </w:rPr>
                                </m:ctrlPr>
                              </m:dPr>
                              <m:e>
                                <m:r>
                                  <w:rPr>
                                    <w:rFonts w:ascii="Cambria Math" w:eastAsia="Cambria Math" w:hAnsi="Cambria Math" w:cs="Cambria Math"/>
                                    <w:sz w:val="10"/>
                                    <w:szCs w:val="10"/>
                                  </w:rPr>
                                  <m:t>1 + r</m:t>
                                </m:r>
                              </m:e>
                            </m:d>
                          </m:e>
                          <m:sup>
                            <m:r>
                              <w:rPr>
                                <w:rFonts w:ascii="Cambria Math" w:eastAsia="Cambria Math" w:hAnsi="Cambria Math" w:cs="Cambria Math"/>
                                <w:sz w:val="10"/>
                                <w:szCs w:val="10"/>
                              </w:rPr>
                              <m:t>t</m:t>
                            </m:r>
                          </m:sup>
                        </m:sSup>
                      </m:den>
                    </m:f>
                  </m:num>
                  <m:den>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N</m:t>
                        </m:r>
                      </m:e>
                      <m:sub>
                        <m:r>
                          <w:rPr>
                            <w:rFonts w:ascii="Cambria Math" w:eastAsia="Cambria Math" w:hAnsi="Cambria Math" w:cs="Cambria Math"/>
                            <w:sz w:val="10"/>
                            <w:szCs w:val="10"/>
                          </w:rPr>
                          <m:t>valid</m:t>
                        </m:r>
                      </m:sub>
                    </m:sSub>
                  </m:den>
                </m:f>
              </m:oMath>
            </m:oMathPara>
          </w:p>
          <w:p w14:paraId="2419381D" w14:textId="77777777" w:rsidR="007C2F53" w:rsidRDefault="007C2F53" w:rsidP="000F1AD0">
            <w:pPr>
              <w:spacing w:line="160" w:lineRule="exact"/>
              <w:jc w:val="left"/>
              <w:rPr>
                <w:rFonts w:ascii="Times New Roman" w:eastAsia="Times New Roman" w:hAnsi="Times New Roman"/>
                <w:sz w:val="10"/>
                <w:szCs w:val="10"/>
              </w:rPr>
            </w:pPr>
            <m:oMath>
              <m:r>
                <w:rPr>
                  <w:rFonts w:ascii="Cambria Math" w:eastAsia="Cambria Math" w:hAnsi="Cambria Math" w:cs="Cambria Math"/>
                  <w:sz w:val="10"/>
                  <w:szCs w:val="10"/>
                </w:rPr>
                <m:t>CAPE</m:t>
              </m:r>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X</m:t>
                  </m:r>
                </m:e>
                <m:sub>
                  <m:r>
                    <w:rPr>
                      <w:rFonts w:ascii="Cambria Math" w:eastAsia="Cambria Math" w:hAnsi="Cambria Math" w:cs="Cambria Math"/>
                      <w:sz w:val="10"/>
                      <w:szCs w:val="10"/>
                    </w:rPr>
                    <m:t>amortized</m:t>
                  </m:r>
                </m:sub>
              </m:sSub>
              <m:r>
                <w:rPr>
                  <w:rFonts w:ascii="Cambria Math" w:eastAsia="Cambria Math" w:hAnsi="Cambria Math" w:cs="Cambria Math"/>
                  <w:sz w:val="10"/>
                  <w:szCs w:val="10"/>
                </w:rPr>
                <m:t xml:space="preserve"> </m:t>
              </m:r>
            </m:oMath>
            <w:r>
              <w:rPr>
                <w:rFonts w:ascii="Times New Roman" w:eastAsia="Times New Roman" w:hAnsi="Times New Roman"/>
                <w:sz w:val="10"/>
                <w:szCs w:val="10"/>
              </w:rPr>
              <w:t>= amortized capital expenditures for AI systems (hardware, initial training, deployment)</w:t>
            </w:r>
          </w:p>
          <w:p w14:paraId="768A6B47" w14:textId="77777777" w:rsidR="007C2F53" w:rsidRDefault="007C2F53" w:rsidP="000F1AD0">
            <w:pPr>
              <w:spacing w:line="160" w:lineRule="exact"/>
              <w:jc w:val="left"/>
              <w:rPr>
                <w:rFonts w:ascii="Times New Roman" w:eastAsia="Times New Roman" w:hAnsi="Times New Roman"/>
                <w:sz w:val="10"/>
                <w:szCs w:val="10"/>
              </w:rPr>
            </w:pPr>
            <m:oMath>
              <m:r>
                <w:rPr>
                  <w:rFonts w:ascii="Cambria Math" w:eastAsia="Cambria Math" w:hAnsi="Cambria Math" w:cs="Cambria Math"/>
                  <w:sz w:val="10"/>
                  <w:szCs w:val="10"/>
                </w:rPr>
                <m:t>OPE</m:t>
              </m:r>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X</m:t>
                  </m:r>
                </m:e>
                <m:sub>
                  <m:r>
                    <w:rPr>
                      <w:rFonts w:ascii="Cambria Math" w:eastAsia="Cambria Math" w:hAnsi="Cambria Math" w:cs="Cambria Math"/>
                      <w:sz w:val="10"/>
                      <w:szCs w:val="10"/>
                    </w:rPr>
                    <m:t>t</m:t>
                  </m:r>
                </m:sub>
              </m:sSub>
            </m:oMath>
            <w:r>
              <w:rPr>
                <w:rFonts w:ascii="Times New Roman" w:eastAsia="Times New Roman" w:hAnsi="Times New Roman"/>
                <w:sz w:val="10"/>
                <w:szCs w:val="10"/>
              </w:rPr>
              <w:t xml:space="preserve"> = operational expenditures in year t (compute, storage, networking, maintenance, labor)</w:t>
            </w:r>
          </w:p>
          <w:p w14:paraId="37426C38"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0"/>
                      <w:szCs w:val="10"/>
                    </w:rPr>
                  </m:ctrlPr>
                </m:sSubPr>
                <m:e>
                  <m:r>
                    <w:rPr>
                      <w:rFonts w:ascii="Cambria Math" w:eastAsia="Cambria Math" w:hAnsi="Cambria Math" w:cs="Cambria Math"/>
                      <w:sz w:val="10"/>
                      <w:szCs w:val="10"/>
                    </w:rPr>
                    <m:t>N</m:t>
                  </m:r>
                </m:e>
                <m:sub>
                  <m:r>
                    <w:rPr>
                      <w:rFonts w:ascii="Cambria Math" w:eastAsia="Cambria Math" w:hAnsi="Cambria Math" w:cs="Cambria Math"/>
                      <w:sz w:val="10"/>
                      <w:szCs w:val="10"/>
                    </w:rPr>
                    <m:t>valid</m:t>
                  </m:r>
                </m:sub>
              </m:sSub>
            </m:oMath>
            <w:r w:rsidR="007C2F53">
              <w:rPr>
                <w:rFonts w:ascii="Times New Roman" w:eastAsia="Times New Roman" w:hAnsi="Times New Roman"/>
                <w:sz w:val="10"/>
                <w:szCs w:val="10"/>
              </w:rPr>
              <w:t>= total number of valid inferences (or other chosen AI output unit) over the analysis period</w:t>
            </w:r>
          </w:p>
        </w:tc>
        <w:tc>
          <w:tcPr>
            <w:tcW w:w="1838" w:type="dxa"/>
            <w:vAlign w:val="center"/>
          </w:tcPr>
          <w:p w14:paraId="0A3E69B4"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Lifecycle cost per unit of productive AI output.</w:t>
            </w:r>
            <w:r>
              <w:rPr>
                <w:rFonts w:ascii="Times New Roman" w:eastAsia="Times New Roman" w:hAnsi="Times New Roman"/>
                <w:sz w:val="12"/>
                <w:szCs w:val="12"/>
              </w:rPr>
              <w:br/>
              <w:t>Directly analogous to LCOE and LCOH, but with "valid inferences" or similar AI outputs as the denominator.</w:t>
            </w:r>
          </w:p>
        </w:tc>
        <w:tc>
          <w:tcPr>
            <w:tcW w:w="1559" w:type="dxa"/>
            <w:vAlign w:val="center"/>
          </w:tcPr>
          <w:p w14:paraId="1769CB33"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LCOAI ≥ 0.</w:t>
            </w:r>
          </w:p>
          <w:p w14:paraId="50A52ED4"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LCOAI indicates more cost-efficient AI deployment for a given output quality.</w:t>
            </w:r>
          </w:p>
        </w:tc>
        <w:tc>
          <w:tcPr>
            <w:tcW w:w="2268" w:type="dxa"/>
            <w:vAlign w:val="center"/>
          </w:tcPr>
          <w:p w14:paraId="6C0269E8"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Compare vendor APIs vs. self-hosted models; evaluating different deployment architectures; guiding procurement and infrastructure planning for AI workloads.</w:t>
            </w:r>
          </w:p>
        </w:tc>
      </w:tr>
      <w:tr w:rsidR="007C2F53" w14:paraId="142D36F5" w14:textId="77777777" w:rsidTr="000F1AD0">
        <w:trPr>
          <w:jc w:val="center"/>
        </w:trPr>
        <w:tc>
          <w:tcPr>
            <w:tcW w:w="851" w:type="dxa"/>
            <w:vAlign w:val="center"/>
          </w:tcPr>
          <w:p w14:paraId="7DFE172C"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Total Lifecycle Operations per Cost (</w:t>
            </w:r>
            <w:proofErr w:type="spellStart"/>
            <w:r>
              <w:rPr>
                <w:rFonts w:ascii="Times New Roman" w:eastAsia="Times New Roman" w:hAnsi="Times New Roman"/>
                <w:sz w:val="12"/>
                <w:szCs w:val="12"/>
              </w:rPr>
              <w:t>TLOps</w:t>
            </w:r>
            <w:proofErr w:type="spellEnd"/>
            <w:r>
              <w:rPr>
                <w:rFonts w:ascii="Times New Roman" w:eastAsia="Times New Roman" w:hAnsi="Times New Roman"/>
                <w:sz w:val="12"/>
                <w:szCs w:val="12"/>
              </w:rPr>
              <w:t xml:space="preserve"> / TLOP)</w:t>
            </w:r>
          </w:p>
        </w:tc>
        <w:tc>
          <w:tcPr>
            <w:tcW w:w="709" w:type="dxa"/>
            <w:vAlign w:val="center"/>
          </w:tcPr>
          <w:p w14:paraId="17CBE4BA" w14:textId="77777777" w:rsidR="007C2F53" w:rsidRDefault="007C2F53" w:rsidP="000F1AD0">
            <w:pPr>
              <w:spacing w:line="160" w:lineRule="exact"/>
              <w:jc w:val="center"/>
              <w:rPr>
                <w:rFonts w:ascii="Times New Roman" w:eastAsia="Times New Roman" w:hAnsi="Times New Roman"/>
                <w:sz w:val="12"/>
                <w:szCs w:val="12"/>
              </w:rPr>
            </w:pPr>
            <w:proofErr w:type="spellStart"/>
            <w:r>
              <w:rPr>
                <w:rFonts w:ascii="Times New Roman" w:eastAsia="Times New Roman" w:hAnsi="Times New Roman"/>
                <w:sz w:val="12"/>
                <w:szCs w:val="12"/>
              </w:rPr>
              <w:t>TLOps</w:t>
            </w:r>
            <w:proofErr w:type="spellEnd"/>
            <w:r>
              <w:rPr>
                <w:rFonts w:ascii="Times New Roman" w:eastAsia="Times New Roman" w:hAnsi="Times New Roman"/>
                <w:sz w:val="12"/>
                <w:szCs w:val="12"/>
              </w:rPr>
              <w:t xml:space="preserve"> (or TLOP)</w:t>
            </w:r>
          </w:p>
        </w:tc>
        <w:tc>
          <w:tcPr>
            <w:tcW w:w="2409" w:type="dxa"/>
            <w:vAlign w:val="center"/>
          </w:tcPr>
          <w:p w14:paraId="04128339" w14:textId="77777777" w:rsidR="007C2F53" w:rsidRPr="00D515A5" w:rsidRDefault="007C2F53" w:rsidP="000F1AD0">
            <w:pPr>
              <w:spacing w:line="240" w:lineRule="atLeast"/>
              <w:jc w:val="center"/>
              <w:rPr>
                <w:rFonts w:ascii="Cambria Math" w:eastAsia="Cambria Math" w:hAnsi="Cambria Math" w:cs="Cambria Math"/>
                <w:i/>
                <w:sz w:val="10"/>
                <w:szCs w:val="10"/>
              </w:rPr>
            </w:pPr>
            <m:oMathPara>
              <m:oMath>
                <m:r>
                  <w:rPr>
                    <w:rFonts w:ascii="Cambria Math" w:eastAsia="Cambria Math" w:hAnsi="Cambria Math" w:cs="Cambria Math"/>
                    <w:sz w:val="10"/>
                    <w:szCs w:val="10"/>
                  </w:rPr>
                  <m:t>TLOps =</m:t>
                </m:r>
                <m:f>
                  <m:fPr>
                    <m:ctrlPr>
                      <w:rPr>
                        <w:rFonts w:ascii="Cambria Math" w:eastAsia="Cambria Math" w:hAnsi="Cambria Math" w:cs="Cambria Math"/>
                        <w:i/>
                        <w:sz w:val="10"/>
                        <w:szCs w:val="10"/>
                      </w:rPr>
                    </m:ctrlPr>
                  </m:fPr>
                  <m:num>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Q</m:t>
                        </m:r>
                      </m:e>
                      <m:sub>
                        <m:r>
                          <w:rPr>
                            <w:rFonts w:ascii="Cambria Math" w:eastAsia="Cambria Math" w:hAnsi="Cambria Math" w:cs="Cambria Math"/>
                            <w:sz w:val="10"/>
                            <w:szCs w:val="10"/>
                          </w:rPr>
                          <m:t>ops</m:t>
                        </m:r>
                      </m:sub>
                    </m:sSub>
                  </m:num>
                  <m:den>
                    <m:r>
                      <w:rPr>
                        <w:rFonts w:ascii="Cambria Math" w:eastAsia="Cambria Math" w:hAnsi="Cambria Math" w:cs="Cambria Math"/>
                        <w:sz w:val="10"/>
                        <w:szCs w:val="10"/>
                      </w:rPr>
                      <m:t>TCO</m:t>
                    </m:r>
                  </m:den>
                </m:f>
              </m:oMath>
            </m:oMathPara>
          </w:p>
          <w:p w14:paraId="5540D867"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Q</m:t>
                  </m:r>
                </m:e>
                <m:sub>
                  <m:r>
                    <w:rPr>
                      <w:rFonts w:ascii="Cambria Math" w:eastAsia="Cambria Math" w:hAnsi="Cambria Math" w:cs="Cambria Math"/>
                      <w:sz w:val="12"/>
                      <w:szCs w:val="12"/>
                    </w:rPr>
                    <m:t>ops</m:t>
                  </m:r>
                </m:sub>
              </m:sSub>
            </m:oMath>
            <w:r w:rsidR="007C2F53">
              <w:rPr>
                <w:rFonts w:ascii="Times New Roman" w:eastAsia="Times New Roman" w:hAnsi="Times New Roman"/>
                <w:sz w:val="12"/>
                <w:szCs w:val="12"/>
              </w:rPr>
              <w:t xml:space="preserve"> = total quantity of operations delivered (e.g., FLOPs, inferences, tokens)</w:t>
            </w:r>
          </w:p>
          <w:p w14:paraId="33BAD830"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Equivalently, a cost-based form is:</w:t>
            </w:r>
          </w:p>
          <w:p w14:paraId="22046B14" w14:textId="77777777" w:rsidR="007C2F53" w:rsidRDefault="007C2F53" w:rsidP="000F1AD0">
            <w:pPr>
              <w:spacing w:line="160" w:lineRule="exact"/>
              <w:jc w:val="center"/>
              <w:rPr>
                <w:rFonts w:ascii="Cambria Math" w:eastAsia="Cambria Math" w:hAnsi="Cambria Math" w:cs="Cambria Math"/>
                <w:sz w:val="12"/>
                <w:szCs w:val="12"/>
              </w:rPr>
            </w:pPr>
            <m:oMathPara>
              <m:oMath>
                <m:r>
                  <w:rPr>
                    <w:rFonts w:ascii="Cambria Math" w:eastAsia="Cambria Math" w:hAnsi="Cambria Math" w:cs="Cambria Math"/>
                    <w:sz w:val="12"/>
                    <w:szCs w:val="12"/>
                  </w:rPr>
                  <m:t>Cost per operation = TCO / Q_ops</m:t>
                </m:r>
              </m:oMath>
            </m:oMathPara>
          </w:p>
        </w:tc>
        <w:tc>
          <w:tcPr>
            <w:tcW w:w="1838" w:type="dxa"/>
            <w:vAlign w:val="center"/>
          </w:tcPr>
          <w:p w14:paraId="1E8C963D"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Operations delivered per unit of lifecycle </w:t>
            </w:r>
            <w:proofErr w:type="gramStart"/>
            <w:r>
              <w:rPr>
                <w:rFonts w:ascii="Times New Roman" w:eastAsia="Times New Roman" w:hAnsi="Times New Roman"/>
                <w:sz w:val="12"/>
                <w:szCs w:val="12"/>
              </w:rPr>
              <w:t>cost, or</w:t>
            </w:r>
            <w:proofErr w:type="gramEnd"/>
            <w:r>
              <w:rPr>
                <w:rFonts w:ascii="Times New Roman" w:eastAsia="Times New Roman" w:hAnsi="Times New Roman"/>
                <w:sz w:val="12"/>
                <w:szCs w:val="12"/>
              </w:rPr>
              <w:t xml:space="preserve"> conversely cost per unit of operation. </w:t>
            </w:r>
            <w:proofErr w:type="gramStart"/>
            <w:r>
              <w:rPr>
                <w:rFonts w:ascii="Times New Roman" w:eastAsia="Times New Roman" w:hAnsi="Times New Roman"/>
                <w:sz w:val="12"/>
                <w:szCs w:val="12"/>
              </w:rPr>
              <w:t>Can</w:t>
            </w:r>
            <w:proofErr w:type="gramEnd"/>
            <w:r>
              <w:rPr>
                <w:rFonts w:ascii="Times New Roman" w:eastAsia="Times New Roman" w:hAnsi="Times New Roman"/>
                <w:sz w:val="12"/>
                <w:szCs w:val="12"/>
              </w:rPr>
              <w:t xml:space="preserve"> be tailored to FLOPs, inferences.</w:t>
            </w:r>
          </w:p>
        </w:tc>
        <w:tc>
          <w:tcPr>
            <w:tcW w:w="1559" w:type="dxa"/>
            <w:vAlign w:val="center"/>
          </w:tcPr>
          <w:p w14:paraId="126C6FF0"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 xml:space="preserve">Range: </w:t>
            </w:r>
            <w:proofErr w:type="spellStart"/>
            <w:r w:rsidRPr="00D515A5">
              <w:rPr>
                <w:rFonts w:ascii="Times New Roman" w:eastAsia="Times New Roman" w:hAnsi="Times New Roman" w:hint="eastAsia"/>
                <w:sz w:val="12"/>
                <w:szCs w:val="12"/>
              </w:rPr>
              <w:t>TLOps</w:t>
            </w:r>
            <w:proofErr w:type="spellEnd"/>
            <w:r w:rsidRPr="00D515A5">
              <w:rPr>
                <w:rFonts w:ascii="Times New Roman" w:eastAsia="Times New Roman" w:hAnsi="Times New Roman" w:hint="eastAsia"/>
                <w:sz w:val="12"/>
                <w:szCs w:val="12"/>
              </w:rPr>
              <w:t xml:space="preserve"> ≥ 0.</w:t>
            </w:r>
          </w:p>
          <w:p w14:paraId="650F127E"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 xml:space="preserve">Direction: Higher </w:t>
            </w:r>
            <w:proofErr w:type="spellStart"/>
            <w:r w:rsidRPr="00D515A5">
              <w:rPr>
                <w:rFonts w:ascii="Times New Roman" w:eastAsia="Times New Roman" w:hAnsi="Times New Roman"/>
                <w:sz w:val="12"/>
                <w:szCs w:val="12"/>
              </w:rPr>
              <w:t>TLOps</w:t>
            </w:r>
            <w:proofErr w:type="spellEnd"/>
            <w:r w:rsidRPr="00D515A5">
              <w:rPr>
                <w:rFonts w:ascii="Times New Roman" w:eastAsia="Times New Roman" w:hAnsi="Times New Roman"/>
                <w:sz w:val="12"/>
                <w:szCs w:val="12"/>
              </w:rPr>
              <w:t xml:space="preserve"> (more operations per dollar) </w:t>
            </w:r>
            <w:proofErr w:type="gramStart"/>
            <w:r w:rsidRPr="00D515A5">
              <w:rPr>
                <w:rFonts w:ascii="Times New Roman" w:eastAsia="Times New Roman" w:hAnsi="Times New Roman"/>
                <w:sz w:val="12"/>
                <w:szCs w:val="12"/>
              </w:rPr>
              <w:t>is</w:t>
            </w:r>
            <w:proofErr w:type="gramEnd"/>
            <w:r w:rsidRPr="00D515A5">
              <w:rPr>
                <w:rFonts w:ascii="Times New Roman" w:eastAsia="Times New Roman" w:hAnsi="Times New Roman"/>
                <w:sz w:val="12"/>
                <w:szCs w:val="12"/>
              </w:rPr>
              <w:t xml:space="preserve"> better; equivalently, lower cost per operation is better.</w:t>
            </w:r>
          </w:p>
        </w:tc>
        <w:tc>
          <w:tcPr>
            <w:tcW w:w="2268" w:type="dxa"/>
            <w:vAlign w:val="center"/>
          </w:tcPr>
          <w:p w14:paraId="0E45507B"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Compare different AI clusters or architectures on a cost-normalized basis; assess the impact of utilization and efficiency improvements.</w:t>
            </w:r>
          </w:p>
        </w:tc>
      </w:tr>
      <w:tr w:rsidR="007C2F53" w14:paraId="5F7FE294" w14:textId="77777777" w:rsidTr="000F1AD0">
        <w:trPr>
          <w:jc w:val="center"/>
        </w:trPr>
        <w:tc>
          <w:tcPr>
            <w:tcW w:w="851" w:type="dxa"/>
            <w:vAlign w:val="center"/>
          </w:tcPr>
          <w:p w14:paraId="25A2184B"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Marginal TCO of FLOPs</w:t>
            </w:r>
          </w:p>
        </w:tc>
        <w:tc>
          <w:tcPr>
            <w:tcW w:w="709" w:type="dxa"/>
            <w:vAlign w:val="center"/>
          </w:tcPr>
          <w:p w14:paraId="568AAD11" w14:textId="77777777" w:rsidR="007C2F53" w:rsidRDefault="007C2F53" w:rsidP="000F1AD0">
            <w:pPr>
              <w:spacing w:line="160" w:lineRule="exact"/>
              <w:jc w:val="center"/>
              <w:rPr>
                <w:rFonts w:ascii="Times New Roman" w:eastAsia="Times New Roman" w:hAnsi="Times New Roman"/>
                <w:sz w:val="12"/>
                <w:szCs w:val="12"/>
              </w:rPr>
            </w:pPr>
            <w:r>
              <w:rPr>
                <w:rFonts w:ascii="Times New Roman" w:eastAsia="Times New Roman" w:hAnsi="Times New Roman"/>
                <w:sz w:val="12"/>
                <w:szCs w:val="12"/>
              </w:rPr>
              <w:t>MTCOF</w:t>
            </w:r>
          </w:p>
        </w:tc>
        <w:tc>
          <w:tcPr>
            <w:tcW w:w="2409" w:type="dxa"/>
            <w:vAlign w:val="center"/>
          </w:tcPr>
          <w:p w14:paraId="211E4B61" w14:textId="77777777" w:rsidR="007C2F53" w:rsidRPr="00D515A5" w:rsidRDefault="007C2F53" w:rsidP="000F1AD0">
            <w:pPr>
              <w:spacing w:line="240" w:lineRule="atLeast"/>
              <w:jc w:val="center"/>
              <w:rPr>
                <w:rFonts w:ascii="Cambria Math" w:eastAsia="Cambria Math" w:hAnsi="Cambria Math" w:cs="Cambria Math"/>
                <w:i/>
                <w:sz w:val="10"/>
                <w:szCs w:val="10"/>
              </w:rPr>
            </w:pPr>
            <m:oMathPara>
              <m:oMath>
                <m:r>
                  <w:rPr>
                    <w:rFonts w:ascii="Cambria Math" w:eastAsia="Cambria Math" w:hAnsi="Cambria Math" w:cs="Cambria Math"/>
                    <w:sz w:val="10"/>
                    <w:szCs w:val="10"/>
                  </w:rPr>
                  <m:t>MTCOF =</m:t>
                </m:r>
                <m:f>
                  <m:fPr>
                    <m:ctrlPr>
                      <w:rPr>
                        <w:rFonts w:ascii="Cambria Math" w:eastAsia="Cambria Math" w:hAnsi="Cambria Math" w:cs="Cambria Math"/>
                        <w:i/>
                        <w:sz w:val="10"/>
                        <w:szCs w:val="10"/>
                      </w:rPr>
                    </m:ctrlPr>
                  </m:fPr>
                  <m:num>
                    <m:r>
                      <w:rPr>
                        <w:rFonts w:ascii="Cambria Math" w:eastAsia="Cambria Math" w:hAnsi="Cambria Math" w:cs="Cambria Math"/>
                        <w:sz w:val="10"/>
                        <w:szCs w:val="10"/>
                      </w:rPr>
                      <m:t>∂TCO</m:t>
                    </m:r>
                  </m:num>
                  <m:den>
                    <m:r>
                      <w:rPr>
                        <w:rFonts w:ascii="Cambria Math" w:eastAsia="Cambria Math" w:hAnsi="Cambria Math" w:cs="Cambria Math"/>
                        <w:sz w:val="10"/>
                        <w:szCs w:val="10"/>
                      </w:rPr>
                      <m:t>∂</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F</m:t>
                        </m:r>
                      </m:e>
                      <m:sub>
                        <m:r>
                          <w:rPr>
                            <w:rFonts w:ascii="Cambria Math" w:eastAsia="Cambria Math" w:hAnsi="Cambria Math" w:cs="Cambria Math"/>
                            <w:sz w:val="10"/>
                            <w:szCs w:val="10"/>
                          </w:rPr>
                          <m:t>total</m:t>
                        </m:r>
                      </m:sub>
                    </m:sSub>
                  </m:den>
                </m:f>
              </m:oMath>
            </m:oMathPara>
          </w:p>
          <w:p w14:paraId="223E98CA" w14:textId="77777777" w:rsidR="007C2F53" w:rsidRDefault="00000000" w:rsidP="000F1AD0">
            <w:pPr>
              <w:spacing w:line="160" w:lineRule="exact"/>
              <w:jc w:val="left"/>
              <w:rPr>
                <w:rFonts w:ascii="Times New Roman" w:eastAsia="Times New Roman" w:hAnsi="Times New Roman"/>
                <w:sz w:val="12"/>
                <w:szCs w:val="12"/>
              </w:rPr>
            </w:pPr>
            <m:oMath>
              <m:sSub>
                <m:sSubPr>
                  <m:ctrlPr>
                    <w:rPr>
                      <w:rFonts w:ascii="Cambria Math" w:eastAsia="Cambria Math" w:hAnsi="Cambria Math" w:cs="Cambria Math"/>
                      <w:sz w:val="12"/>
                      <w:szCs w:val="12"/>
                    </w:rPr>
                  </m:ctrlPr>
                </m:sSubPr>
                <m:e>
                  <m:r>
                    <w:rPr>
                      <w:rFonts w:ascii="Cambria Math" w:eastAsia="Cambria Math" w:hAnsi="Cambria Math" w:cs="Cambria Math"/>
                      <w:sz w:val="12"/>
                      <w:szCs w:val="12"/>
                    </w:rPr>
                    <m:t>F</m:t>
                  </m:r>
                </m:e>
                <m:sub>
                  <m:r>
                    <w:rPr>
                      <w:rFonts w:ascii="Cambria Math" w:eastAsia="Cambria Math" w:hAnsi="Cambria Math" w:cs="Cambria Math"/>
                      <w:sz w:val="12"/>
                      <w:szCs w:val="12"/>
                    </w:rPr>
                    <m:t>total</m:t>
                  </m:r>
                </m:sub>
              </m:sSub>
            </m:oMath>
            <w:r w:rsidR="007C2F53">
              <w:rPr>
                <w:rFonts w:ascii="Times New Roman" w:eastAsia="Times New Roman" w:hAnsi="Times New Roman"/>
                <w:sz w:val="12"/>
                <w:szCs w:val="12"/>
              </w:rPr>
              <w:t>= total FLOPs delivered</w:t>
            </w:r>
          </w:p>
          <w:p w14:paraId="56783AF9"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In discrete form, it is often approximated as:</w:t>
            </w:r>
          </w:p>
          <w:p w14:paraId="5D7B4822" w14:textId="77777777" w:rsidR="007C2F53" w:rsidRDefault="007C2F53" w:rsidP="000F1AD0">
            <w:pPr>
              <w:spacing w:line="240" w:lineRule="atLeast"/>
              <w:jc w:val="center"/>
              <w:rPr>
                <w:rFonts w:ascii="Cambria Math" w:eastAsia="Cambria Math" w:hAnsi="Cambria Math" w:cs="Cambria Math"/>
                <w:sz w:val="12"/>
                <w:szCs w:val="12"/>
              </w:rPr>
            </w:pPr>
            <m:oMathPara>
              <m:oMath>
                <m:r>
                  <w:rPr>
                    <w:rFonts w:ascii="Cambria Math" w:eastAsia="Cambria Math" w:hAnsi="Cambria Math" w:cs="Cambria Math"/>
                    <w:sz w:val="10"/>
                    <w:szCs w:val="10"/>
                  </w:rPr>
                  <m:t>MTCOF ≈</m:t>
                </m:r>
                <m:f>
                  <m:fPr>
                    <m:ctrlPr>
                      <w:rPr>
                        <w:rFonts w:ascii="Cambria Math" w:eastAsia="Cambria Math" w:hAnsi="Cambria Math" w:cs="Cambria Math"/>
                        <w:i/>
                        <w:sz w:val="10"/>
                        <w:szCs w:val="10"/>
                      </w:rPr>
                    </m:ctrlPr>
                  </m:fPr>
                  <m:num>
                    <m:r>
                      <w:rPr>
                        <w:rFonts w:ascii="Cambria Math" w:eastAsia="Cambria Math" w:hAnsi="Cambria Math" w:cs="Cambria Math"/>
                        <w:sz w:val="10"/>
                        <w:szCs w:val="10"/>
                      </w:rPr>
                      <m:t>ΔTCO</m:t>
                    </m:r>
                  </m:num>
                  <m:den>
                    <m:r>
                      <w:rPr>
                        <w:rFonts w:ascii="Cambria Math" w:eastAsia="Cambria Math" w:hAnsi="Cambria Math" w:cs="Cambria Math"/>
                        <w:sz w:val="10"/>
                        <w:szCs w:val="10"/>
                      </w:rPr>
                      <m:t>Δ</m:t>
                    </m:r>
                    <m:sSub>
                      <m:sSubPr>
                        <m:ctrlPr>
                          <w:rPr>
                            <w:rFonts w:ascii="Cambria Math" w:eastAsia="Cambria Math" w:hAnsi="Cambria Math" w:cs="Cambria Math"/>
                            <w:i/>
                            <w:sz w:val="10"/>
                            <w:szCs w:val="10"/>
                          </w:rPr>
                        </m:ctrlPr>
                      </m:sSubPr>
                      <m:e>
                        <m:r>
                          <w:rPr>
                            <w:rFonts w:ascii="Cambria Math" w:eastAsia="Cambria Math" w:hAnsi="Cambria Math" w:cs="Cambria Math"/>
                            <w:sz w:val="10"/>
                            <w:szCs w:val="10"/>
                          </w:rPr>
                          <m:t>F</m:t>
                        </m:r>
                      </m:e>
                      <m:sub>
                        <m:r>
                          <w:rPr>
                            <w:rFonts w:ascii="Cambria Math" w:eastAsia="Cambria Math" w:hAnsi="Cambria Math" w:cs="Cambria Math"/>
                            <w:sz w:val="10"/>
                            <w:szCs w:val="10"/>
                          </w:rPr>
                          <m:t>total</m:t>
                        </m:r>
                      </m:sub>
                    </m:sSub>
                  </m:den>
                </m:f>
              </m:oMath>
            </m:oMathPara>
          </w:p>
        </w:tc>
        <w:tc>
          <w:tcPr>
            <w:tcW w:w="1838" w:type="dxa"/>
            <w:vAlign w:val="center"/>
          </w:tcPr>
          <w:p w14:paraId="5D8B2CD9"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 xml:space="preserve">Marginal cost of delivering additional </w:t>
            </w:r>
            <w:proofErr w:type="gramStart"/>
            <w:r>
              <w:rPr>
                <w:rFonts w:ascii="Times New Roman" w:eastAsia="Times New Roman" w:hAnsi="Times New Roman"/>
                <w:sz w:val="12"/>
                <w:szCs w:val="12"/>
              </w:rPr>
              <w:t>compute</w:t>
            </w:r>
            <w:proofErr w:type="gramEnd"/>
            <w:r>
              <w:rPr>
                <w:rFonts w:ascii="Times New Roman" w:eastAsia="Times New Roman" w:hAnsi="Times New Roman"/>
                <w:sz w:val="12"/>
                <w:szCs w:val="12"/>
              </w:rPr>
              <w:t>, used for evaluating scaling decisions (adding more GPUs or moving to a different architecture).</w:t>
            </w:r>
          </w:p>
        </w:tc>
        <w:tc>
          <w:tcPr>
            <w:tcW w:w="1559" w:type="dxa"/>
            <w:vAlign w:val="center"/>
          </w:tcPr>
          <w:p w14:paraId="3F445B45" w14:textId="77777777" w:rsidR="007C2F53" w:rsidRPr="00D515A5"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hint="eastAsia"/>
                <w:sz w:val="12"/>
                <w:szCs w:val="12"/>
              </w:rPr>
              <w:t>Range: MTCOF ≥ 0 for normal systems.</w:t>
            </w:r>
          </w:p>
          <w:p w14:paraId="3C6E491F" w14:textId="77777777" w:rsidR="007C2F53" w:rsidRDefault="007C2F53" w:rsidP="000F1AD0">
            <w:pPr>
              <w:spacing w:line="160" w:lineRule="exact"/>
              <w:jc w:val="left"/>
              <w:rPr>
                <w:rFonts w:ascii="Times New Roman" w:eastAsia="Times New Roman" w:hAnsi="Times New Roman"/>
                <w:sz w:val="12"/>
                <w:szCs w:val="12"/>
              </w:rPr>
            </w:pPr>
            <w:r w:rsidRPr="00D515A5">
              <w:rPr>
                <w:rFonts w:ascii="Times New Roman" w:eastAsia="Times New Roman" w:hAnsi="Times New Roman"/>
                <w:sz w:val="12"/>
                <w:szCs w:val="12"/>
              </w:rPr>
              <w:t>Direction: Lower marginal cost per additional FLOP is better; helps identify cost-effective scaling.</w:t>
            </w:r>
          </w:p>
        </w:tc>
        <w:tc>
          <w:tcPr>
            <w:tcW w:w="2268" w:type="dxa"/>
            <w:vAlign w:val="center"/>
          </w:tcPr>
          <w:p w14:paraId="6DF8090B" w14:textId="77777777" w:rsidR="007C2F53" w:rsidRDefault="007C2F53" w:rsidP="000F1AD0">
            <w:pPr>
              <w:spacing w:line="160" w:lineRule="exact"/>
              <w:jc w:val="left"/>
              <w:rPr>
                <w:rFonts w:ascii="Times New Roman" w:eastAsia="Times New Roman" w:hAnsi="Times New Roman"/>
                <w:sz w:val="12"/>
                <w:szCs w:val="12"/>
              </w:rPr>
            </w:pPr>
            <w:r>
              <w:rPr>
                <w:rFonts w:ascii="Times New Roman" w:eastAsia="Times New Roman" w:hAnsi="Times New Roman"/>
                <w:sz w:val="12"/>
                <w:szCs w:val="12"/>
              </w:rPr>
              <w:t>Decide when to expand clusters; compare incremental upgrades vs. full system replacements; assess the value of efficiency improvements.</w:t>
            </w:r>
          </w:p>
        </w:tc>
      </w:tr>
    </w:tbl>
    <w:p w14:paraId="48244412" w14:textId="77777777" w:rsidR="007C2F53" w:rsidRPr="009256B6" w:rsidRDefault="007C2F53" w:rsidP="007C2F53">
      <w:pPr>
        <w:rPr>
          <w:rFonts w:ascii="Times New Roman" w:eastAsia="Times New Roman" w:hAnsi="Times New Roman"/>
          <w:b/>
          <w:bCs/>
          <w:sz w:val="24"/>
          <w:szCs w:val="24"/>
        </w:rPr>
      </w:pPr>
    </w:p>
    <w:p w14:paraId="32544D7E" w14:textId="77777777" w:rsidR="007C2F53" w:rsidRPr="00B27113" w:rsidRDefault="007C2F53" w:rsidP="007C2F53">
      <w:pPr>
        <w:pStyle w:val="MDPI31text"/>
        <w:rPr>
          <w:sz w:val="18"/>
          <w:szCs w:val="18"/>
          <w:lang w:val="en"/>
        </w:rPr>
      </w:pPr>
      <w:bookmarkStart w:id="2" w:name="OLE_LINK2"/>
      <w:r w:rsidRPr="00B27113">
        <w:rPr>
          <w:i/>
          <w:iCs/>
          <w:sz w:val="18"/>
          <w:szCs w:val="18"/>
          <w:lang w:val="en"/>
        </w:rPr>
        <w:t xml:space="preserve">Notes: </w:t>
      </w:r>
      <w:r w:rsidRPr="00B27113">
        <w:rPr>
          <w:sz w:val="18"/>
          <w:szCs w:val="18"/>
          <w:lang w:val="en"/>
        </w:rPr>
        <w:t xml:space="preserve">All TCO-series metrics in this table, including TCO, TCO/kW, TCO/kWh, TCO/Rack, TCO per </w:t>
      </w:r>
      <w:proofErr w:type="spellStart"/>
      <w:r w:rsidRPr="00B27113">
        <w:rPr>
          <w:sz w:val="18"/>
          <w:szCs w:val="18"/>
          <w:lang w:val="en"/>
        </w:rPr>
        <w:t>GPU·h</w:t>
      </w:r>
      <w:proofErr w:type="spellEnd"/>
      <w:r w:rsidRPr="00B27113">
        <w:rPr>
          <w:sz w:val="18"/>
          <w:szCs w:val="18"/>
          <w:lang w:val="en"/>
        </w:rPr>
        <w:t xml:space="preserve">, TCO per FLOP, TCO per inference, True TCO, TCOE, TECO, LCOE, LCOH, LCOAI, </w:t>
      </w:r>
      <w:proofErr w:type="spellStart"/>
      <w:r w:rsidRPr="00B27113">
        <w:rPr>
          <w:sz w:val="18"/>
          <w:szCs w:val="18"/>
          <w:lang w:val="en"/>
        </w:rPr>
        <w:t>TLOps</w:t>
      </w:r>
      <w:proofErr w:type="spellEnd"/>
      <w:r w:rsidRPr="00B27113">
        <w:rPr>
          <w:sz w:val="18"/>
          <w:szCs w:val="18"/>
          <w:lang w:val="en"/>
        </w:rPr>
        <w:t xml:space="preserve">, and MTCOF, are derived from established cost-modeling frameworks in data-center economics </w:t>
      </w:r>
      <w:r>
        <w:rPr>
          <w:sz w:val="18"/>
          <w:szCs w:val="18"/>
          <w:lang w:val="en"/>
        </w:rPr>
        <w:fldChar w:fldCharType="begin">
          <w:fldData xml:space="preserve">PEVuZE5vdGU+PENpdGU+PEF1dGhvcj5Lb29tZXk8L0F1dGhvcj48WWVhcj4yMDA3PC9ZZWFyPjxS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</w:fldData>
        </w:fldChar>
      </w:r>
      <w:r>
        <w:rPr>
          <w:sz w:val="18"/>
          <w:szCs w:val="18"/>
          <w:lang w:val="en"/>
        </w:rPr>
        <w:instrText xml:space="preserve"> ADDIN EN.CITE </w:instrText>
      </w:r>
      <w:r>
        <w:rPr>
          <w:sz w:val="18"/>
          <w:szCs w:val="18"/>
          <w:lang w:val="en"/>
        </w:rPr>
        <w:fldChar w:fldCharType="begin">
          <w:fldData xml:space="preserve">PEVuZE5vdGU+PENpdGU+PEF1dGhvcj5Lb29tZXk8L0F1dGhvcj48WWVhcj4yMDA3PC9ZZWFyPjxS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</w:fldData>
        </w:fldChar>
      </w:r>
      <w:r>
        <w:rPr>
          <w:sz w:val="18"/>
          <w:szCs w:val="18"/>
          <w:lang w:val="en"/>
        </w:rPr>
        <w:instrText xml:space="preserve"> ADDIN EN.CITE.DATA </w:instrText>
      </w:r>
      <w:r>
        <w:rPr>
          <w:sz w:val="18"/>
          <w:szCs w:val="18"/>
          <w:lang w:val="en"/>
        </w:rPr>
      </w:r>
      <w:r>
        <w:rPr>
          <w:sz w:val="18"/>
          <w:szCs w:val="18"/>
          <w:lang w:val="en"/>
        </w:rPr>
        <w:fldChar w:fldCharType="end"/>
      </w:r>
      <w:r>
        <w:rPr>
          <w:sz w:val="18"/>
          <w:szCs w:val="18"/>
          <w:lang w:val="en"/>
        </w:rPr>
      </w:r>
      <w:r>
        <w:rPr>
          <w:sz w:val="18"/>
          <w:szCs w:val="18"/>
          <w:lang w:val="en"/>
        </w:rPr>
        <w:fldChar w:fldCharType="separate"/>
      </w:r>
      <w:r w:rsidRPr="00A33233">
        <w:rPr>
          <w:noProof/>
          <w:szCs w:val="18"/>
          <w:lang w:val="en"/>
        </w:rPr>
        <w:t>[</w:t>
      </w:r>
      <w:hyperlink w:anchor="_ENREF_51" w:tooltip="Rasmussen,  #56" w:history="1">
        <w:r>
          <w:rPr>
            <w:rFonts w:eastAsiaTheme="minorEastAsia" w:hint="eastAsia"/>
            <w:noProof/>
            <w:szCs w:val="18"/>
            <w:lang w:val="en" w:eastAsia="zh-CN"/>
          </w:rPr>
          <w:t>67</w:t>
        </w:r>
        <w:r w:rsidRPr="00A33233">
          <w:rPr>
            <w:noProof/>
            <w:szCs w:val="18"/>
            <w:lang w:val="en"/>
          </w:rPr>
          <w:t>-</w:t>
        </w:r>
        <w:r>
          <w:rPr>
            <w:rFonts w:eastAsiaTheme="minorEastAsia" w:hint="eastAsia"/>
            <w:noProof/>
            <w:szCs w:val="18"/>
            <w:lang w:val="en" w:eastAsia="zh-CN"/>
          </w:rPr>
          <w:t>72</w:t>
        </w:r>
      </w:hyperlink>
      <w:r w:rsidRPr="00A33233">
        <w:rPr>
          <w:noProof/>
          <w:szCs w:val="18"/>
          <w:lang w:val="en"/>
        </w:rPr>
        <w:t>]</w:t>
      </w:r>
      <w:r>
        <w:rPr>
          <w:sz w:val="18"/>
          <w:szCs w:val="18"/>
          <w:lang w:val="en"/>
        </w:rPr>
        <w:fldChar w:fldCharType="end"/>
      </w:r>
      <w:r w:rsidRPr="00B27113">
        <w:rPr>
          <w:sz w:val="18"/>
          <w:szCs w:val="18"/>
          <w:lang w:val="en"/>
        </w:rPr>
        <w:t>. These metrics build upon lifecycle financial analysis, levelized energy economics, and recent AI/HPC cost-per-compute formulations. They collectively provide a unified basis for evaluating the long-run economic efficiency of AI and data-center infrastructure.</w:t>
      </w:r>
    </w:p>
    <w:bookmarkEnd w:id="2"/>
    <w:p w14:paraId="672DA447" w14:textId="2D0F7EBE" w:rsidR="007C2F53" w:rsidRDefault="007C2F53" w:rsidP="007C2F53">
      <w:pPr>
        <w:pStyle w:val="MDPI21heading1"/>
      </w:pPr>
      <w:r>
        <w:t xml:space="preserve">Appendix </w:t>
      </w:r>
      <w:r w:rsidR="005E04FA">
        <w:rPr>
          <w:rFonts w:eastAsiaTheme="minorEastAsia" w:hint="eastAsia"/>
          <w:lang w:eastAsia="zh-CN"/>
        </w:rPr>
        <w:t>E</w:t>
      </w:r>
      <w:r>
        <w:t>. Formal Justification of the Three Meta-Metric Domains</w:t>
      </w:r>
    </w:p>
    <w:p w14:paraId="5D0418E6" w14:textId="77777777" w:rsidR="007C2F53" w:rsidRDefault="007C2F53" w:rsidP="007C2F53">
      <w:pPr>
        <w:pStyle w:val="MDPI31text"/>
      </w:pPr>
      <w:r>
        <w:t xml:space="preserve">The three domains introduced in this work, Physical Facility Efficiency, Compute &amp; Workload Efficiency, and Economic &amp; Reliability Efficiency, qualify as meta-metric domains because they each correspond to a fundamentally distinct class of phenomena governed by independent physical laws, computational models, and economic principles. The domains reflect intrinsic separations in the underlying physical, computational, and economic processes, rather than an imposed or convenience-based taxonomy. Metrics such as PUE, WUE, </w:t>
      </w:r>
      <w:r>
        <w:lastRenderedPageBreak/>
        <w:t xml:space="preserve">CUE, or cooling-system coefficients quantify thermodynamic and mechanical conversion processes: the transformation of grid energy, water, and carbon into usable IT power under constraints defined by heat transfer, airflow mechanics, and facility-scale energy balances. These processes are governed by physical laws independent of the algorithms, computational workloads </w:t>
      </w:r>
      <w:r w:rsidRPr="00DC3453">
        <w:t xml:space="preserve">(e.g., online temporal models </w:t>
      </w:r>
      <w:r>
        <w:fldChar w:fldCharType="begin"/>
      </w:r>
      <w:r>
        <w:instrText xml:space="preserve"> ADDIN EN.CITE &lt;EndNote&gt;&lt;Cite&gt;&lt;Author&gt;Zheng&lt;/Author&gt;&lt;Year&gt;2024&lt;/Year&gt;&lt;RecNum&gt;62&lt;/RecNum&gt;&lt;DisplayText&gt;&lt;style size="10"&gt;[57]&lt;/style&gt;&lt;/DisplayText&gt;&lt;record&gt;&lt;rec-number&gt;62&lt;/rec-number&gt;&lt;foreign-keys&gt;&lt;key app="EN" db-id="5f9xazta90s0z6er29opzrwb92505sz200ev" timestamp="1769768694"&gt;62&lt;/key&gt;&lt;/foreign-keys&gt;&lt;ref-type name="Journal Article"&gt;17&lt;/ref-type&gt;&lt;contributors&gt;&lt;authors&gt;&lt;author&gt;Zheng, Yao Zong&lt;/author&gt;&lt;author&gt;Zhong, Bi Neng&lt;/author&gt;&lt;author&gt;Liang, Qi Hua&lt;/author&gt;&lt;author&gt;Mo, Zhi Yi&lt;/author&gt;&lt;author&gt;Zhang, Sheng Ping&lt;/author&gt;&lt;author&gt;Li, Xian Xian&lt;/author&gt;&lt;/authors&gt;&lt;/contributors&gt;&lt;titles&gt;&lt;title&gt;ODTrack: online dense temporal token learning for visual tracking&lt;/title&gt;&lt;secondary-title&gt;Proceedings of the AAAI Conference on Artificial Intelligence&lt;/secondary-title&gt;&lt;/titles&gt;&lt;periodical&gt;&lt;full-title&gt;Proceedings of the AAAI Conference on Artificial Intelligence&lt;/full-title&gt;&lt;/periodical&gt;&lt;pages&gt;7588-7596&lt;/pages&gt;&lt;volume&gt;38&lt;/volume&gt;&lt;number&gt;7&lt;/number&gt;&lt;section&gt;7588&lt;/section&gt;&lt;dates&gt;&lt;year&gt;2024&lt;/year&gt;&lt;pub-dates&gt;&lt;date&gt;03/24&lt;/date&gt;&lt;/pub-dates&gt;&lt;/dates&gt;&lt;isbn&gt;2374-3468&amp;#xD;2159-5399&lt;/isbn&gt;&lt;urls&gt;&lt;related-urls&gt;&lt;url&gt;https://ojs.aaai.org/index.php/AAAI/article/view/28591&lt;/url&gt;&lt;/related-urls&gt;&lt;/urls&gt;&lt;electronic-resource-num&gt;10.1609/aaai.v38i7.28591&lt;/electronic-resource-num&gt;&lt;access-date&gt;2026/01/30&lt;/access-date&gt;&lt;/record&gt;&lt;/Cite&gt;&lt;/EndNote&gt;</w:instrText>
      </w:r>
      <w:r>
        <w:fldChar w:fldCharType="separate"/>
      </w:r>
      <w:r>
        <w:rPr>
          <w:noProof/>
        </w:rPr>
        <w:t>[</w:t>
      </w:r>
      <w:hyperlink w:anchor="_ENREF_57" w:tooltip="Zheng, 2024 #62" w:history="1">
        <w:r>
          <w:rPr>
            <w:rFonts w:eastAsiaTheme="minorEastAsia" w:hint="eastAsia"/>
            <w:noProof/>
            <w:lang w:eastAsia="zh-CN"/>
          </w:rPr>
          <w:t>73</w:t>
        </w:r>
      </w:hyperlink>
      <w:r>
        <w:rPr>
          <w:noProof/>
        </w:rPr>
        <w:t>]</w:t>
      </w:r>
      <w:r>
        <w:fldChar w:fldCharType="end"/>
      </w:r>
      <w:r>
        <w:t>, or cost models that operate on top of them. In contrast, compute and workload metrics describe the execution behavior of software and models, FLOPs, tokens, batches, latency distributions, and scaling dynamics, reflecting the logic of computational graphs, parallelism strategies, and hardware acceleration. Neither the thermodynamic state of a cooling system nor the airflow efficiency of a data hall can determine model throughput, and conversely, no purely computational measure can capture physical loss mechanisms. Economic and reliability metrics, meanwhile, quantify lifecycle cost, depreciation, risk, service continuity, and financial exposure. These outcomes depend on institutional cost models, market structures, and risk formulations, rather than physical or computational quantities. No domain can be reduced to another without introducing an external modeling layer, and thus they remain conceptually independent.</w:t>
      </w:r>
    </w:p>
    <w:p w14:paraId="013C18FC" w14:textId="77777777" w:rsidR="007C2F53" w:rsidRDefault="007C2F53" w:rsidP="007C2F53">
      <w:pPr>
        <w:pStyle w:val="MDPI31text"/>
      </w:pPr>
      <w:r>
        <w:t xml:space="preserve">Second, the three domains differ in their dimensional systems, making them semantically and mathematically incompatible. Physical facility metrics express their behavior in units such as kWh/kWh, L/kWh, </w:t>
      </w:r>
      <w:proofErr w:type="spellStart"/>
      <w:r>
        <w:t>gCO</w:t>
      </w:r>
      <w:proofErr w:type="spellEnd"/>
      <w:r>
        <w:t xml:space="preserve">₂/kWh, °C/W, or COP, ratios and coefficients that quantify energy and resource flows. </w:t>
      </w:r>
      <w:proofErr w:type="gramStart"/>
      <w:r>
        <w:t>Compute</w:t>
      </w:r>
      <w:proofErr w:type="gramEnd"/>
      <w:r>
        <w:t xml:space="preserve"> and workload metrics operate in a fundamentally different numerical universe: FLOPs, Joules per operation, inference latency in milliseconds, or throughput in sequences per second. These correspond to algorithmic progress, computational effort, and performance semantics rather than energy or resource conversion. Economic and reliability metrics employ yet another dimensional system: USD/year, levelized cost per inference, depreciation rates, or failure probabilities. The three domains operate on incommensurable dimensional systems, physical ratios, computational units, and monetary or probabilistic quantities, precluding any direct mapping without external modeling assumptions.</w:t>
      </w:r>
    </w:p>
    <w:p w14:paraId="79971E76" w14:textId="77777777" w:rsidR="007C2F53" w:rsidRDefault="007C2F53" w:rsidP="007C2F53">
      <w:pPr>
        <w:pStyle w:val="MDPI31text"/>
      </w:pPr>
      <w:r>
        <w:t xml:space="preserve">Third, the domain decomposition is both complete and minimal. Every known AI infrastructure metric can be mapped unambiguously to one, and only </w:t>
      </w:r>
      <w:proofErr w:type="gramStart"/>
      <w:r>
        <w:t>one,</w:t>
      </w:r>
      <w:proofErr w:type="gramEnd"/>
      <w:r>
        <w:t xml:space="preserve"> of the three domains. Metrics describing energy, thermal behavior, water use, and mechanical overhead belong to the physical facility domain; metrics describing model execution, accelerator performance, and workload throughput belong to the compute and workload domain; metrics describing cost, service continuity, lifecycle behavior, or risk belong to the economic and reliability domain. No metric simultaneously satisfies the semantic, operational, and </w:t>
      </w:r>
      <w:r>
        <w:lastRenderedPageBreak/>
        <w:t>dimensional requirements of two domains unless supplemented with additional modeling layers. Conversely, adding a fourth domain would introduce redundancy, not analytical clarity: there is no separate class of metrics that possesses its own independent units, conceptual basis, and methodological lineage. Thus, the three-domain structure represents a complete and minimal basis for the metric space.</w:t>
      </w:r>
    </w:p>
    <w:p w14:paraId="3578876F" w14:textId="77777777" w:rsidR="007C2F53" w:rsidRDefault="007C2F53" w:rsidP="007C2F53">
      <w:pPr>
        <w:pStyle w:val="MDPI31text"/>
        <w:rPr>
          <w:rFonts w:eastAsiaTheme="minorEastAsia"/>
          <w:lang w:eastAsia="zh-CN"/>
        </w:rPr>
      </w:pPr>
      <w:r>
        <w:t>To sum up, these observations justify treating the three domains as meta-metric categories, semantically coherent, mutually exclusive, and collectively exhaustive. They define the fundamental axes along which AI infrastructure performance must be understood, and they provide the conceptual scaffolding upon which the six-layer architectural decomposition and the unified 6×3 taxonomy.</w:t>
      </w:r>
    </w:p>
    <w:p w14:paraId="38C429FD" w14:textId="77777777" w:rsidR="0038608D" w:rsidRPr="007C2F53" w:rsidRDefault="0038608D"/>
    <w:sectPr w:rsidR="0038608D" w:rsidRPr="007C2F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89E98" w14:textId="77777777" w:rsidR="001B567E" w:rsidRDefault="001B567E" w:rsidP="005E04FA">
      <w:pPr>
        <w:spacing w:line="240" w:lineRule="auto"/>
      </w:pPr>
      <w:r>
        <w:separator/>
      </w:r>
    </w:p>
  </w:endnote>
  <w:endnote w:type="continuationSeparator" w:id="0">
    <w:p w14:paraId="48656941" w14:textId="77777777" w:rsidR="001B567E" w:rsidRDefault="001B567E" w:rsidP="005E04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6AFD3" w14:textId="77777777" w:rsidR="001B567E" w:rsidRDefault="001B567E" w:rsidP="005E04FA">
      <w:pPr>
        <w:spacing w:line="240" w:lineRule="auto"/>
      </w:pPr>
      <w:r>
        <w:separator/>
      </w:r>
    </w:p>
  </w:footnote>
  <w:footnote w:type="continuationSeparator" w:id="0">
    <w:p w14:paraId="3230CC5E" w14:textId="77777777" w:rsidR="001B567E" w:rsidRDefault="001B567E" w:rsidP="005E04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3629"/>
    <w:multiLevelType w:val="multilevel"/>
    <w:tmpl w:val="027E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B3DF1"/>
    <w:multiLevelType w:val="multilevel"/>
    <w:tmpl w:val="2AE0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F7A0D"/>
    <w:multiLevelType w:val="multilevel"/>
    <w:tmpl w:val="7D049698"/>
    <w:lvl w:ilvl="0">
      <w:start w:val="1"/>
      <w:numFmt w:val="bullet"/>
      <w:lvlText w:val=""/>
      <w:lvlJc w:val="left"/>
      <w:pPr>
        <w:ind w:left="3391" w:hanging="358"/>
      </w:pPr>
      <w:rPr>
        <w:rFonts w:ascii="Symbol" w:hAnsi="Symbol" w:hint="default"/>
      </w:rPr>
    </w:lvl>
    <w:lvl w:ilvl="1">
      <w:start w:val="1"/>
      <w:numFmt w:val="bullet"/>
      <w:lvlText w:val=""/>
      <w:lvlJc w:val="left"/>
      <w:pPr>
        <w:ind w:left="3913" w:hanging="440"/>
      </w:pPr>
      <w:rPr>
        <w:rFonts w:ascii="Wingdings" w:hAnsi="Wingdings" w:hint="default"/>
      </w:rPr>
    </w:lvl>
    <w:lvl w:ilvl="2">
      <w:start w:val="1"/>
      <w:numFmt w:val="bullet"/>
      <w:lvlText w:val=""/>
      <w:lvlJc w:val="left"/>
      <w:pPr>
        <w:ind w:left="4353" w:hanging="440"/>
      </w:pPr>
      <w:rPr>
        <w:rFonts w:ascii="Wingdings" w:hAnsi="Wingdings" w:hint="default"/>
      </w:rPr>
    </w:lvl>
    <w:lvl w:ilvl="3">
      <w:start w:val="1"/>
      <w:numFmt w:val="bullet"/>
      <w:lvlText w:val=""/>
      <w:lvlJc w:val="left"/>
      <w:pPr>
        <w:ind w:left="4793" w:hanging="440"/>
      </w:pPr>
      <w:rPr>
        <w:rFonts w:ascii="Wingdings" w:hAnsi="Wingdings" w:hint="default"/>
      </w:rPr>
    </w:lvl>
    <w:lvl w:ilvl="4">
      <w:start w:val="1"/>
      <w:numFmt w:val="bullet"/>
      <w:lvlText w:val=""/>
      <w:lvlJc w:val="left"/>
      <w:pPr>
        <w:ind w:left="5233" w:hanging="440"/>
      </w:pPr>
      <w:rPr>
        <w:rFonts w:ascii="Wingdings" w:hAnsi="Wingdings" w:hint="default"/>
      </w:rPr>
    </w:lvl>
    <w:lvl w:ilvl="5">
      <w:start w:val="1"/>
      <w:numFmt w:val="bullet"/>
      <w:lvlText w:val=""/>
      <w:lvlJc w:val="left"/>
      <w:pPr>
        <w:ind w:left="5673" w:hanging="440"/>
      </w:pPr>
      <w:rPr>
        <w:rFonts w:ascii="Wingdings" w:hAnsi="Wingdings" w:hint="default"/>
      </w:rPr>
    </w:lvl>
    <w:lvl w:ilvl="6">
      <w:start w:val="1"/>
      <w:numFmt w:val="bullet"/>
      <w:lvlText w:val=""/>
      <w:lvlJc w:val="left"/>
      <w:pPr>
        <w:ind w:left="6113" w:hanging="440"/>
      </w:pPr>
      <w:rPr>
        <w:rFonts w:ascii="Wingdings" w:hAnsi="Wingdings" w:hint="default"/>
      </w:rPr>
    </w:lvl>
    <w:lvl w:ilvl="7">
      <w:start w:val="1"/>
      <w:numFmt w:val="bullet"/>
      <w:lvlText w:val=""/>
      <w:lvlJc w:val="left"/>
      <w:pPr>
        <w:ind w:left="6553" w:hanging="440"/>
      </w:pPr>
      <w:rPr>
        <w:rFonts w:ascii="Wingdings" w:hAnsi="Wingdings" w:hint="default"/>
      </w:rPr>
    </w:lvl>
    <w:lvl w:ilvl="8">
      <w:start w:val="1"/>
      <w:numFmt w:val="bullet"/>
      <w:lvlText w:val=""/>
      <w:lvlJc w:val="left"/>
      <w:pPr>
        <w:ind w:left="6993" w:hanging="440"/>
      </w:pPr>
      <w:rPr>
        <w:rFonts w:ascii="Wingdings" w:hAnsi="Wingdings" w:hint="default"/>
      </w:rPr>
    </w:lvl>
  </w:abstractNum>
  <w:abstractNum w:abstractNumId="3" w15:restartNumberingAfterBreak="0">
    <w:nsid w:val="18B468F5"/>
    <w:multiLevelType w:val="hybridMultilevel"/>
    <w:tmpl w:val="6A4C7C86"/>
    <w:lvl w:ilvl="0" w:tplc="8C7A9CD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13B9"/>
    <w:multiLevelType w:val="hybridMultilevel"/>
    <w:tmpl w:val="17B4947E"/>
    <w:lvl w:ilvl="0" w:tplc="F2D0C1D8">
      <w:start w:val="1"/>
      <w:numFmt w:val="decimal"/>
      <w:lvlText w:val="(%1)"/>
      <w:lvlJc w:val="left"/>
      <w:pPr>
        <w:ind w:left="3393" w:hanging="360"/>
      </w:pPr>
      <w:rPr>
        <w:rFonts w:hint="default"/>
      </w:r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abstractNum w:abstractNumId="5" w15:restartNumberingAfterBreak="0">
    <w:nsid w:val="201D2C0D"/>
    <w:multiLevelType w:val="hybridMultilevel"/>
    <w:tmpl w:val="1F34871A"/>
    <w:lvl w:ilvl="0" w:tplc="7E980A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 w15:restartNumberingAfterBreak="0">
    <w:nsid w:val="275D54E9"/>
    <w:multiLevelType w:val="multilevel"/>
    <w:tmpl w:val="7802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D11F9"/>
    <w:multiLevelType w:val="hybridMultilevel"/>
    <w:tmpl w:val="5BE839D6"/>
    <w:lvl w:ilvl="0" w:tplc="3CDA081C">
      <w:start w:val="1"/>
      <w:numFmt w:val="decimal"/>
      <w:lvlText w:val="(%1)"/>
      <w:lvlJc w:val="left"/>
      <w:pPr>
        <w:ind w:left="3393" w:hanging="360"/>
      </w:pPr>
      <w:rPr>
        <w:rFonts w:hint="default"/>
      </w:r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abstractNum w:abstractNumId="8" w15:restartNumberingAfterBreak="0">
    <w:nsid w:val="2CCF3B15"/>
    <w:multiLevelType w:val="hybridMultilevel"/>
    <w:tmpl w:val="2FFAF674"/>
    <w:lvl w:ilvl="0" w:tplc="D0F274B8">
      <w:start w:val="1"/>
      <w:numFmt w:val="decimal"/>
      <w:lvlText w:val="(%1)"/>
      <w:lvlJc w:val="left"/>
      <w:pPr>
        <w:ind w:left="3393" w:hanging="360"/>
      </w:pPr>
      <w:rPr>
        <w:rFonts w:hint="default"/>
      </w:r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abstractNum w:abstractNumId="9" w15:restartNumberingAfterBreak="0">
    <w:nsid w:val="353159C3"/>
    <w:multiLevelType w:val="hybridMultilevel"/>
    <w:tmpl w:val="A9BE7210"/>
    <w:lvl w:ilvl="0" w:tplc="F2D0C1D8">
      <w:start w:val="1"/>
      <w:numFmt w:val="decimal"/>
      <w:lvlText w:val="(%1)"/>
      <w:lvlJc w:val="left"/>
      <w:pPr>
        <w:ind w:left="6426" w:hanging="360"/>
      </w:pPr>
      <w:rPr>
        <w:rFonts w:hint="default"/>
      </w:r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abstractNum w:abstractNumId="10" w15:restartNumberingAfterBreak="0">
    <w:nsid w:val="36AF1E6A"/>
    <w:multiLevelType w:val="multilevel"/>
    <w:tmpl w:val="E7541608"/>
    <w:lvl w:ilvl="0">
      <w:start w:val="1"/>
      <w:numFmt w:val="bullet"/>
      <w:lvlText w:val=""/>
      <w:lvlJc w:val="left"/>
      <w:pPr>
        <w:tabs>
          <w:tab w:val="num" w:pos="2968"/>
        </w:tabs>
        <w:ind w:left="2968" w:hanging="360"/>
      </w:pPr>
      <w:rPr>
        <w:rFonts w:ascii="Symbol" w:hAnsi="Symbol" w:hint="default"/>
        <w:sz w:val="20"/>
      </w:rPr>
    </w:lvl>
    <w:lvl w:ilvl="1" w:tentative="1">
      <w:start w:val="1"/>
      <w:numFmt w:val="bullet"/>
      <w:lvlText w:val="o"/>
      <w:lvlJc w:val="left"/>
      <w:pPr>
        <w:tabs>
          <w:tab w:val="num" w:pos="3688"/>
        </w:tabs>
        <w:ind w:left="3688" w:hanging="360"/>
      </w:pPr>
      <w:rPr>
        <w:rFonts w:ascii="Courier New" w:hAnsi="Courier New" w:hint="default"/>
        <w:sz w:val="20"/>
      </w:rPr>
    </w:lvl>
    <w:lvl w:ilvl="2" w:tentative="1">
      <w:start w:val="1"/>
      <w:numFmt w:val="bullet"/>
      <w:lvlText w:val=""/>
      <w:lvlJc w:val="left"/>
      <w:pPr>
        <w:tabs>
          <w:tab w:val="num" w:pos="4408"/>
        </w:tabs>
        <w:ind w:left="4408" w:hanging="360"/>
      </w:pPr>
      <w:rPr>
        <w:rFonts w:ascii="Wingdings" w:hAnsi="Wingdings" w:hint="default"/>
        <w:sz w:val="20"/>
      </w:rPr>
    </w:lvl>
    <w:lvl w:ilvl="3" w:tentative="1">
      <w:start w:val="1"/>
      <w:numFmt w:val="bullet"/>
      <w:lvlText w:val=""/>
      <w:lvlJc w:val="left"/>
      <w:pPr>
        <w:tabs>
          <w:tab w:val="num" w:pos="5128"/>
        </w:tabs>
        <w:ind w:left="5128" w:hanging="360"/>
      </w:pPr>
      <w:rPr>
        <w:rFonts w:ascii="Wingdings" w:hAnsi="Wingdings" w:hint="default"/>
        <w:sz w:val="20"/>
      </w:rPr>
    </w:lvl>
    <w:lvl w:ilvl="4" w:tentative="1">
      <w:start w:val="1"/>
      <w:numFmt w:val="bullet"/>
      <w:lvlText w:val=""/>
      <w:lvlJc w:val="left"/>
      <w:pPr>
        <w:tabs>
          <w:tab w:val="num" w:pos="5848"/>
        </w:tabs>
        <w:ind w:left="5848" w:hanging="360"/>
      </w:pPr>
      <w:rPr>
        <w:rFonts w:ascii="Wingdings" w:hAnsi="Wingdings" w:hint="default"/>
        <w:sz w:val="20"/>
      </w:rPr>
    </w:lvl>
    <w:lvl w:ilvl="5" w:tentative="1">
      <w:start w:val="1"/>
      <w:numFmt w:val="bullet"/>
      <w:lvlText w:val=""/>
      <w:lvlJc w:val="left"/>
      <w:pPr>
        <w:tabs>
          <w:tab w:val="num" w:pos="6568"/>
        </w:tabs>
        <w:ind w:left="6568" w:hanging="360"/>
      </w:pPr>
      <w:rPr>
        <w:rFonts w:ascii="Wingdings" w:hAnsi="Wingdings" w:hint="default"/>
        <w:sz w:val="20"/>
      </w:rPr>
    </w:lvl>
    <w:lvl w:ilvl="6" w:tentative="1">
      <w:start w:val="1"/>
      <w:numFmt w:val="bullet"/>
      <w:lvlText w:val=""/>
      <w:lvlJc w:val="left"/>
      <w:pPr>
        <w:tabs>
          <w:tab w:val="num" w:pos="7288"/>
        </w:tabs>
        <w:ind w:left="7288" w:hanging="360"/>
      </w:pPr>
      <w:rPr>
        <w:rFonts w:ascii="Wingdings" w:hAnsi="Wingdings" w:hint="default"/>
        <w:sz w:val="20"/>
      </w:rPr>
    </w:lvl>
    <w:lvl w:ilvl="7" w:tentative="1">
      <w:start w:val="1"/>
      <w:numFmt w:val="bullet"/>
      <w:lvlText w:val=""/>
      <w:lvlJc w:val="left"/>
      <w:pPr>
        <w:tabs>
          <w:tab w:val="num" w:pos="8008"/>
        </w:tabs>
        <w:ind w:left="8008" w:hanging="360"/>
      </w:pPr>
      <w:rPr>
        <w:rFonts w:ascii="Wingdings" w:hAnsi="Wingdings" w:hint="default"/>
        <w:sz w:val="20"/>
      </w:rPr>
    </w:lvl>
    <w:lvl w:ilvl="8" w:tentative="1">
      <w:start w:val="1"/>
      <w:numFmt w:val="bullet"/>
      <w:lvlText w:val=""/>
      <w:lvlJc w:val="left"/>
      <w:pPr>
        <w:tabs>
          <w:tab w:val="num" w:pos="8728"/>
        </w:tabs>
        <w:ind w:left="8728" w:hanging="360"/>
      </w:pPr>
      <w:rPr>
        <w:rFonts w:ascii="Wingdings" w:hAnsi="Wingdings" w:hint="default"/>
        <w:sz w:val="20"/>
      </w:rPr>
    </w:lvl>
  </w:abstractNum>
  <w:abstractNum w:abstractNumId="11" w15:restartNumberingAfterBreak="0">
    <w:nsid w:val="411C0D1E"/>
    <w:multiLevelType w:val="hybridMultilevel"/>
    <w:tmpl w:val="79180172"/>
    <w:lvl w:ilvl="0" w:tplc="6374DFE8">
      <w:start w:val="1"/>
      <w:numFmt w:val="decimal"/>
      <w:lvlText w:val="(%1)"/>
      <w:lvlJc w:val="left"/>
      <w:pPr>
        <w:ind w:left="3393" w:hanging="360"/>
      </w:pPr>
      <w:rPr>
        <w:rFonts w:eastAsiaTheme="minorEastAsia" w:hint="default"/>
      </w:r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abstractNum w:abstractNumId="12" w15:restartNumberingAfterBreak="0">
    <w:nsid w:val="4214351A"/>
    <w:multiLevelType w:val="hybridMultilevel"/>
    <w:tmpl w:val="EB781F4C"/>
    <w:lvl w:ilvl="0" w:tplc="0409000F">
      <w:start w:val="1"/>
      <w:numFmt w:val="decimal"/>
      <w:lvlText w:val="%1."/>
      <w:lvlJc w:val="left"/>
      <w:pPr>
        <w:ind w:left="3473" w:hanging="440"/>
      </w:p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abstractNum w:abstractNumId="13" w15:restartNumberingAfterBreak="0">
    <w:nsid w:val="42254ED4"/>
    <w:multiLevelType w:val="multilevel"/>
    <w:tmpl w:val="D0B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A18AF"/>
    <w:multiLevelType w:val="multilevel"/>
    <w:tmpl w:val="47B8ED3C"/>
    <w:lvl w:ilvl="0">
      <w:start w:val="1"/>
      <w:numFmt w:val="decimal"/>
      <w:lvlText w:val="(%1)"/>
      <w:lvlJc w:val="left"/>
      <w:pPr>
        <w:tabs>
          <w:tab w:val="num" w:pos="3034"/>
        </w:tabs>
        <w:ind w:left="3391" w:hanging="357"/>
      </w:pPr>
      <w:rPr>
        <w:rFonts w:hint="eastAsia"/>
      </w:rPr>
    </w:lvl>
    <w:lvl w:ilvl="1">
      <w:start w:val="1"/>
      <w:numFmt w:val="decimal"/>
      <w:lvlText w:val="%2."/>
      <w:lvlJc w:val="left"/>
      <w:pPr>
        <w:tabs>
          <w:tab w:val="num" w:pos="3480"/>
        </w:tabs>
        <w:ind w:left="3480" w:hanging="360"/>
      </w:pPr>
      <w:rPr>
        <w:rFonts w:hint="eastAsia"/>
      </w:rPr>
    </w:lvl>
    <w:lvl w:ilvl="2">
      <w:start w:val="1"/>
      <w:numFmt w:val="decimal"/>
      <w:lvlText w:val="%3."/>
      <w:lvlJc w:val="left"/>
      <w:pPr>
        <w:tabs>
          <w:tab w:val="num" w:pos="4200"/>
        </w:tabs>
        <w:ind w:left="4200" w:hanging="360"/>
      </w:pPr>
      <w:rPr>
        <w:rFonts w:hint="eastAsia"/>
      </w:rPr>
    </w:lvl>
    <w:lvl w:ilvl="3">
      <w:start w:val="1"/>
      <w:numFmt w:val="decimal"/>
      <w:lvlText w:val="%4."/>
      <w:lvlJc w:val="left"/>
      <w:pPr>
        <w:tabs>
          <w:tab w:val="num" w:pos="4920"/>
        </w:tabs>
        <w:ind w:left="4920" w:hanging="360"/>
      </w:pPr>
      <w:rPr>
        <w:rFonts w:hint="eastAsia"/>
      </w:rPr>
    </w:lvl>
    <w:lvl w:ilvl="4">
      <w:start w:val="1"/>
      <w:numFmt w:val="decimal"/>
      <w:lvlText w:val="%5."/>
      <w:lvlJc w:val="left"/>
      <w:pPr>
        <w:tabs>
          <w:tab w:val="num" w:pos="5640"/>
        </w:tabs>
        <w:ind w:left="5640" w:hanging="360"/>
      </w:pPr>
      <w:rPr>
        <w:rFonts w:hint="eastAsia"/>
      </w:rPr>
    </w:lvl>
    <w:lvl w:ilvl="5">
      <w:start w:val="1"/>
      <w:numFmt w:val="decimal"/>
      <w:lvlText w:val="%6."/>
      <w:lvlJc w:val="left"/>
      <w:pPr>
        <w:tabs>
          <w:tab w:val="num" w:pos="6360"/>
        </w:tabs>
        <w:ind w:left="6360" w:hanging="360"/>
      </w:pPr>
      <w:rPr>
        <w:rFonts w:hint="eastAsia"/>
      </w:rPr>
    </w:lvl>
    <w:lvl w:ilvl="6">
      <w:start w:val="1"/>
      <w:numFmt w:val="decimal"/>
      <w:lvlText w:val="%7."/>
      <w:lvlJc w:val="left"/>
      <w:pPr>
        <w:tabs>
          <w:tab w:val="num" w:pos="7080"/>
        </w:tabs>
        <w:ind w:left="7080" w:hanging="360"/>
      </w:pPr>
      <w:rPr>
        <w:rFonts w:hint="eastAsia"/>
      </w:rPr>
    </w:lvl>
    <w:lvl w:ilvl="7">
      <w:start w:val="1"/>
      <w:numFmt w:val="decimal"/>
      <w:lvlText w:val="%8."/>
      <w:lvlJc w:val="left"/>
      <w:pPr>
        <w:tabs>
          <w:tab w:val="num" w:pos="7800"/>
        </w:tabs>
        <w:ind w:left="7800" w:hanging="360"/>
      </w:pPr>
      <w:rPr>
        <w:rFonts w:hint="eastAsia"/>
      </w:rPr>
    </w:lvl>
    <w:lvl w:ilvl="8">
      <w:start w:val="1"/>
      <w:numFmt w:val="decimal"/>
      <w:lvlText w:val="%9."/>
      <w:lvlJc w:val="left"/>
      <w:pPr>
        <w:tabs>
          <w:tab w:val="num" w:pos="8520"/>
        </w:tabs>
        <w:ind w:left="8520" w:hanging="360"/>
      </w:pPr>
      <w:rPr>
        <w:rFonts w:hint="eastAsia"/>
      </w:rPr>
    </w:lvl>
  </w:abstractNum>
  <w:abstractNum w:abstractNumId="15" w15:restartNumberingAfterBreak="0">
    <w:nsid w:val="74326AD7"/>
    <w:multiLevelType w:val="multilevel"/>
    <w:tmpl w:val="9C3AF37A"/>
    <w:lvl w:ilvl="0">
      <w:start w:val="1"/>
      <w:numFmt w:val="decimal"/>
      <w:lvlText w:val="(%1)"/>
      <w:lvlJc w:val="left"/>
      <w:pPr>
        <w:tabs>
          <w:tab w:val="num" w:pos="3034"/>
        </w:tabs>
        <w:ind w:left="3391" w:hanging="357"/>
      </w:pPr>
      <w:rPr>
        <w:rFonts w:ascii="Palatino Linotype" w:eastAsia="宋体" w:hAnsi="Palatino Linotype" w:cs="Times New Roman" w:hint="eastAsia"/>
      </w:rPr>
    </w:lvl>
    <w:lvl w:ilvl="1">
      <w:start w:val="1"/>
      <w:numFmt w:val="decimal"/>
      <w:lvlText w:val="%2."/>
      <w:lvlJc w:val="left"/>
      <w:pPr>
        <w:tabs>
          <w:tab w:val="num" w:pos="3688"/>
        </w:tabs>
        <w:ind w:left="3688" w:hanging="360"/>
      </w:pPr>
      <w:rPr>
        <w:rFonts w:hint="eastAsia"/>
      </w:rPr>
    </w:lvl>
    <w:lvl w:ilvl="2">
      <w:start w:val="1"/>
      <w:numFmt w:val="decimal"/>
      <w:lvlText w:val="%3."/>
      <w:lvlJc w:val="left"/>
      <w:pPr>
        <w:tabs>
          <w:tab w:val="num" w:pos="4408"/>
        </w:tabs>
        <w:ind w:left="4408" w:hanging="360"/>
      </w:pPr>
      <w:rPr>
        <w:rFonts w:hint="eastAsia"/>
      </w:rPr>
    </w:lvl>
    <w:lvl w:ilvl="3">
      <w:start w:val="1"/>
      <w:numFmt w:val="decimal"/>
      <w:lvlText w:val="%4."/>
      <w:lvlJc w:val="left"/>
      <w:pPr>
        <w:tabs>
          <w:tab w:val="num" w:pos="5128"/>
        </w:tabs>
        <w:ind w:left="5128" w:hanging="360"/>
      </w:pPr>
      <w:rPr>
        <w:rFonts w:hint="eastAsia"/>
      </w:rPr>
    </w:lvl>
    <w:lvl w:ilvl="4">
      <w:start w:val="1"/>
      <w:numFmt w:val="decimal"/>
      <w:lvlText w:val="%5."/>
      <w:lvlJc w:val="left"/>
      <w:pPr>
        <w:tabs>
          <w:tab w:val="num" w:pos="5848"/>
        </w:tabs>
        <w:ind w:left="5848" w:hanging="360"/>
      </w:pPr>
      <w:rPr>
        <w:rFonts w:hint="eastAsia"/>
      </w:rPr>
    </w:lvl>
    <w:lvl w:ilvl="5">
      <w:start w:val="1"/>
      <w:numFmt w:val="decimal"/>
      <w:lvlText w:val="%6."/>
      <w:lvlJc w:val="left"/>
      <w:pPr>
        <w:tabs>
          <w:tab w:val="num" w:pos="6568"/>
        </w:tabs>
        <w:ind w:left="6568" w:hanging="360"/>
      </w:pPr>
      <w:rPr>
        <w:rFonts w:hint="eastAsia"/>
      </w:rPr>
    </w:lvl>
    <w:lvl w:ilvl="6">
      <w:start w:val="1"/>
      <w:numFmt w:val="decimal"/>
      <w:lvlText w:val="%7."/>
      <w:lvlJc w:val="left"/>
      <w:pPr>
        <w:tabs>
          <w:tab w:val="num" w:pos="7288"/>
        </w:tabs>
        <w:ind w:left="7288" w:hanging="360"/>
      </w:pPr>
      <w:rPr>
        <w:rFonts w:hint="eastAsia"/>
      </w:rPr>
    </w:lvl>
    <w:lvl w:ilvl="7">
      <w:start w:val="1"/>
      <w:numFmt w:val="decimal"/>
      <w:lvlText w:val="%8."/>
      <w:lvlJc w:val="left"/>
      <w:pPr>
        <w:tabs>
          <w:tab w:val="num" w:pos="8008"/>
        </w:tabs>
        <w:ind w:left="8008" w:hanging="360"/>
      </w:pPr>
      <w:rPr>
        <w:rFonts w:hint="eastAsia"/>
      </w:rPr>
    </w:lvl>
    <w:lvl w:ilvl="8">
      <w:start w:val="1"/>
      <w:numFmt w:val="decimal"/>
      <w:lvlText w:val="%9."/>
      <w:lvlJc w:val="left"/>
      <w:pPr>
        <w:tabs>
          <w:tab w:val="num" w:pos="8728"/>
        </w:tabs>
        <w:ind w:left="8728" w:hanging="360"/>
      </w:pPr>
      <w:rPr>
        <w:rFonts w:hint="eastAsia"/>
      </w:rPr>
    </w:lvl>
  </w:abstractNum>
  <w:abstractNum w:abstractNumId="16" w15:restartNumberingAfterBreak="0">
    <w:nsid w:val="75551FEC"/>
    <w:multiLevelType w:val="multilevel"/>
    <w:tmpl w:val="963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145EF"/>
    <w:multiLevelType w:val="hybridMultilevel"/>
    <w:tmpl w:val="7D7C94E6"/>
    <w:lvl w:ilvl="0" w:tplc="5AA85F26">
      <w:start w:val="1"/>
      <w:numFmt w:val="decimal"/>
      <w:lvlText w:val="(%1)"/>
      <w:lvlJc w:val="left"/>
      <w:pPr>
        <w:ind w:left="3393" w:hanging="360"/>
      </w:pPr>
      <w:rPr>
        <w:rFonts w:hint="default"/>
      </w:r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abstractNum w:abstractNumId="18" w15:restartNumberingAfterBreak="0">
    <w:nsid w:val="790F18E7"/>
    <w:multiLevelType w:val="hybridMultilevel"/>
    <w:tmpl w:val="A91C3A30"/>
    <w:lvl w:ilvl="0" w:tplc="C644D23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7D63E8"/>
    <w:multiLevelType w:val="hybridMultilevel"/>
    <w:tmpl w:val="8F66BAEC"/>
    <w:lvl w:ilvl="0" w:tplc="59B2794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8A1DC7"/>
    <w:multiLevelType w:val="multilevel"/>
    <w:tmpl w:val="484050C2"/>
    <w:lvl w:ilvl="0">
      <w:start w:val="1"/>
      <w:numFmt w:val="decimal"/>
      <w:lvlText w:val="%1."/>
      <w:lvlJc w:val="left"/>
      <w:pPr>
        <w:tabs>
          <w:tab w:val="num" w:pos="2968"/>
        </w:tabs>
        <w:ind w:left="2968" w:hanging="360"/>
      </w:pPr>
    </w:lvl>
    <w:lvl w:ilvl="1" w:tentative="1">
      <w:start w:val="1"/>
      <w:numFmt w:val="decimal"/>
      <w:lvlText w:val="%2."/>
      <w:lvlJc w:val="left"/>
      <w:pPr>
        <w:tabs>
          <w:tab w:val="num" w:pos="3688"/>
        </w:tabs>
        <w:ind w:left="3688" w:hanging="360"/>
      </w:pPr>
    </w:lvl>
    <w:lvl w:ilvl="2" w:tentative="1">
      <w:start w:val="1"/>
      <w:numFmt w:val="decimal"/>
      <w:lvlText w:val="%3."/>
      <w:lvlJc w:val="left"/>
      <w:pPr>
        <w:tabs>
          <w:tab w:val="num" w:pos="4408"/>
        </w:tabs>
        <w:ind w:left="4408" w:hanging="360"/>
      </w:pPr>
    </w:lvl>
    <w:lvl w:ilvl="3" w:tentative="1">
      <w:start w:val="1"/>
      <w:numFmt w:val="decimal"/>
      <w:lvlText w:val="%4."/>
      <w:lvlJc w:val="left"/>
      <w:pPr>
        <w:tabs>
          <w:tab w:val="num" w:pos="5128"/>
        </w:tabs>
        <w:ind w:left="5128" w:hanging="360"/>
      </w:pPr>
    </w:lvl>
    <w:lvl w:ilvl="4" w:tentative="1">
      <w:start w:val="1"/>
      <w:numFmt w:val="decimal"/>
      <w:lvlText w:val="%5."/>
      <w:lvlJc w:val="left"/>
      <w:pPr>
        <w:tabs>
          <w:tab w:val="num" w:pos="5848"/>
        </w:tabs>
        <w:ind w:left="5848" w:hanging="360"/>
      </w:pPr>
    </w:lvl>
    <w:lvl w:ilvl="5" w:tentative="1">
      <w:start w:val="1"/>
      <w:numFmt w:val="decimal"/>
      <w:lvlText w:val="%6."/>
      <w:lvlJc w:val="left"/>
      <w:pPr>
        <w:tabs>
          <w:tab w:val="num" w:pos="6568"/>
        </w:tabs>
        <w:ind w:left="6568" w:hanging="360"/>
      </w:pPr>
    </w:lvl>
    <w:lvl w:ilvl="6" w:tentative="1">
      <w:start w:val="1"/>
      <w:numFmt w:val="decimal"/>
      <w:lvlText w:val="%7."/>
      <w:lvlJc w:val="left"/>
      <w:pPr>
        <w:tabs>
          <w:tab w:val="num" w:pos="7288"/>
        </w:tabs>
        <w:ind w:left="7288" w:hanging="360"/>
      </w:pPr>
    </w:lvl>
    <w:lvl w:ilvl="7" w:tentative="1">
      <w:start w:val="1"/>
      <w:numFmt w:val="decimal"/>
      <w:lvlText w:val="%8."/>
      <w:lvlJc w:val="left"/>
      <w:pPr>
        <w:tabs>
          <w:tab w:val="num" w:pos="8008"/>
        </w:tabs>
        <w:ind w:left="8008" w:hanging="360"/>
      </w:pPr>
    </w:lvl>
    <w:lvl w:ilvl="8" w:tentative="1">
      <w:start w:val="1"/>
      <w:numFmt w:val="decimal"/>
      <w:lvlText w:val="%9."/>
      <w:lvlJc w:val="left"/>
      <w:pPr>
        <w:tabs>
          <w:tab w:val="num" w:pos="8728"/>
        </w:tabs>
        <w:ind w:left="8728" w:hanging="360"/>
      </w:pPr>
    </w:lvl>
  </w:abstractNum>
  <w:num w:numId="1" w16cid:durableId="1923947346">
    <w:abstractNumId w:val="3"/>
  </w:num>
  <w:num w:numId="2" w16cid:durableId="1257447441">
    <w:abstractNumId w:val="19"/>
  </w:num>
  <w:num w:numId="3" w16cid:durableId="539361764">
    <w:abstractNumId w:val="5"/>
  </w:num>
  <w:num w:numId="4" w16cid:durableId="1356493675">
    <w:abstractNumId w:val="18"/>
  </w:num>
  <w:num w:numId="5" w16cid:durableId="1374161381">
    <w:abstractNumId w:val="14"/>
  </w:num>
  <w:num w:numId="6" w16cid:durableId="90202749">
    <w:abstractNumId w:val="17"/>
  </w:num>
  <w:num w:numId="7" w16cid:durableId="900868296">
    <w:abstractNumId w:val="11"/>
  </w:num>
  <w:num w:numId="8" w16cid:durableId="1272130198">
    <w:abstractNumId w:val="8"/>
  </w:num>
  <w:num w:numId="9" w16cid:durableId="1484850969">
    <w:abstractNumId w:val="0"/>
  </w:num>
  <w:num w:numId="10" w16cid:durableId="1478260103">
    <w:abstractNumId w:val="1"/>
  </w:num>
  <w:num w:numId="11" w16cid:durableId="1064329630">
    <w:abstractNumId w:val="13"/>
  </w:num>
  <w:num w:numId="12" w16cid:durableId="187253710">
    <w:abstractNumId w:val="6"/>
  </w:num>
  <w:num w:numId="13" w16cid:durableId="1492677011">
    <w:abstractNumId w:val="16"/>
  </w:num>
  <w:num w:numId="14" w16cid:durableId="1805155555">
    <w:abstractNumId w:val="15"/>
  </w:num>
  <w:num w:numId="15" w16cid:durableId="1251356765">
    <w:abstractNumId w:val="7"/>
  </w:num>
  <w:num w:numId="16" w16cid:durableId="89669833">
    <w:abstractNumId w:val="2"/>
  </w:num>
  <w:num w:numId="17" w16cid:durableId="1316690778">
    <w:abstractNumId w:val="20"/>
  </w:num>
  <w:num w:numId="18" w16cid:durableId="1240678897">
    <w:abstractNumId w:val="10"/>
  </w:num>
  <w:num w:numId="19" w16cid:durableId="170530465">
    <w:abstractNumId w:val="12"/>
  </w:num>
  <w:num w:numId="20" w16cid:durableId="937254711">
    <w:abstractNumId w:val="4"/>
  </w:num>
  <w:num w:numId="21" w16cid:durableId="9093874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53"/>
    <w:rsid w:val="001B567E"/>
    <w:rsid w:val="00294AAF"/>
    <w:rsid w:val="002B3C97"/>
    <w:rsid w:val="0038608D"/>
    <w:rsid w:val="0043081D"/>
    <w:rsid w:val="00513ED5"/>
    <w:rsid w:val="005E04FA"/>
    <w:rsid w:val="007C2F53"/>
    <w:rsid w:val="00990FED"/>
    <w:rsid w:val="00E649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933D3"/>
  <w15:chartTrackingRefBased/>
  <w15:docId w15:val="{7CB5DD2B-405E-41BA-B361-87E6B5B37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53"/>
    <w:pPr>
      <w:spacing w:line="280" w:lineRule="atLeast"/>
      <w:jc w:val="both"/>
    </w:pPr>
    <w:rPr>
      <w:rFonts w:ascii="Palatino Linotype" w:eastAsia="宋体" w:hAnsi="Palatino Linotype" w:cs="Times New Roman"/>
      <w:color w:val="000000"/>
      <w:kern w:val="0"/>
      <w:sz w:val="20"/>
      <w:szCs w:val="20"/>
      <w14:ligatures w14:val="none"/>
    </w:rPr>
  </w:style>
  <w:style w:type="paragraph" w:styleId="Heading1">
    <w:name w:val="heading 1"/>
    <w:basedOn w:val="Normal"/>
    <w:next w:val="Normal"/>
    <w:link w:val="Heading1Char"/>
    <w:uiPriority w:val="9"/>
    <w:qFormat/>
    <w:rsid w:val="007C2F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C2F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C2F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C2F5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C2F53"/>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7C2F53"/>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C2F53"/>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2F53"/>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2F53"/>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F5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7C2F5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C2F5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C2F5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C2F53"/>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7C2F5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C2F53"/>
    <w:rPr>
      <w:rFonts w:cstheme="majorBidi"/>
      <w:b/>
      <w:bCs/>
      <w:color w:val="595959" w:themeColor="text1" w:themeTint="A6"/>
    </w:rPr>
  </w:style>
  <w:style w:type="character" w:customStyle="1" w:styleId="Heading8Char">
    <w:name w:val="Heading 8 Char"/>
    <w:basedOn w:val="DefaultParagraphFont"/>
    <w:link w:val="Heading8"/>
    <w:uiPriority w:val="9"/>
    <w:semiHidden/>
    <w:rsid w:val="007C2F53"/>
    <w:rPr>
      <w:rFonts w:cstheme="majorBidi"/>
      <w:color w:val="595959" w:themeColor="text1" w:themeTint="A6"/>
    </w:rPr>
  </w:style>
  <w:style w:type="character" w:customStyle="1" w:styleId="Heading9Char">
    <w:name w:val="Heading 9 Char"/>
    <w:basedOn w:val="DefaultParagraphFont"/>
    <w:link w:val="Heading9"/>
    <w:uiPriority w:val="9"/>
    <w:semiHidden/>
    <w:rsid w:val="007C2F53"/>
    <w:rPr>
      <w:rFonts w:eastAsiaTheme="majorEastAsia" w:cstheme="majorBidi"/>
      <w:color w:val="595959" w:themeColor="text1" w:themeTint="A6"/>
    </w:rPr>
  </w:style>
  <w:style w:type="paragraph" w:styleId="Title">
    <w:name w:val="Title"/>
    <w:basedOn w:val="Normal"/>
    <w:next w:val="Normal"/>
    <w:link w:val="TitleChar"/>
    <w:uiPriority w:val="10"/>
    <w:qFormat/>
    <w:rsid w:val="007C2F5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F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F5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C2F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2F53"/>
    <w:rPr>
      <w:i/>
      <w:iCs/>
      <w:color w:val="404040" w:themeColor="text1" w:themeTint="BF"/>
    </w:rPr>
  </w:style>
  <w:style w:type="paragraph" w:styleId="ListParagraph">
    <w:name w:val="List Paragraph"/>
    <w:basedOn w:val="Normal"/>
    <w:uiPriority w:val="34"/>
    <w:qFormat/>
    <w:rsid w:val="007C2F53"/>
    <w:pPr>
      <w:ind w:left="720"/>
      <w:contextualSpacing/>
    </w:pPr>
  </w:style>
  <w:style w:type="character" w:styleId="IntenseEmphasis">
    <w:name w:val="Intense Emphasis"/>
    <w:basedOn w:val="DefaultParagraphFont"/>
    <w:uiPriority w:val="21"/>
    <w:qFormat/>
    <w:rsid w:val="007C2F53"/>
    <w:rPr>
      <w:i/>
      <w:iCs/>
      <w:color w:val="0F4761" w:themeColor="accent1" w:themeShade="BF"/>
    </w:rPr>
  </w:style>
  <w:style w:type="paragraph" w:styleId="IntenseQuote">
    <w:name w:val="Intense Quote"/>
    <w:basedOn w:val="Normal"/>
    <w:next w:val="Normal"/>
    <w:link w:val="IntenseQuoteChar"/>
    <w:uiPriority w:val="30"/>
    <w:qFormat/>
    <w:rsid w:val="007C2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F53"/>
    <w:rPr>
      <w:i/>
      <w:iCs/>
      <w:color w:val="0F4761" w:themeColor="accent1" w:themeShade="BF"/>
    </w:rPr>
  </w:style>
  <w:style w:type="character" w:styleId="IntenseReference">
    <w:name w:val="Intense Reference"/>
    <w:basedOn w:val="DefaultParagraphFont"/>
    <w:uiPriority w:val="32"/>
    <w:qFormat/>
    <w:rsid w:val="007C2F53"/>
    <w:rPr>
      <w:b/>
      <w:bCs/>
      <w:smallCaps/>
      <w:color w:val="0F4761" w:themeColor="accent1" w:themeShade="BF"/>
      <w:spacing w:val="5"/>
    </w:rPr>
  </w:style>
  <w:style w:type="paragraph" w:customStyle="1" w:styleId="MDPI11articletype">
    <w:name w:val="MDPI_1.1_article_type"/>
    <w:next w:val="Normal"/>
    <w:qFormat/>
    <w:rsid w:val="007C2F53"/>
    <w:pPr>
      <w:adjustRightInd w:val="0"/>
      <w:snapToGrid w:val="0"/>
      <w:spacing w:before="240"/>
    </w:pPr>
    <w:rPr>
      <w:rFonts w:ascii="Palatino Linotype" w:eastAsia="Times New Roman" w:hAnsi="Palatino Linotype" w:cs="Times New Roman"/>
      <w:i/>
      <w:snapToGrid w:val="0"/>
      <w:color w:val="000000"/>
      <w:kern w:val="0"/>
      <w:sz w:val="20"/>
      <w:lang w:eastAsia="de-DE" w:bidi="en-US"/>
      <w14:ligatures w14:val="none"/>
    </w:rPr>
  </w:style>
  <w:style w:type="paragraph" w:customStyle="1" w:styleId="MDPI12title">
    <w:name w:val="MDPI_1.2_title"/>
    <w:next w:val="Normal"/>
    <w:qFormat/>
    <w:rsid w:val="007C2F53"/>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next w:val="Normal"/>
    <w:qFormat/>
    <w:rsid w:val="007C2F53"/>
    <w:pPr>
      <w:adjustRightInd w:val="0"/>
      <w:snapToGrid w:val="0"/>
      <w:spacing w:after="360" w:line="260" w:lineRule="atLeast"/>
    </w:pPr>
    <w:rPr>
      <w:rFonts w:ascii="Palatino Linotype" w:eastAsia="Times New Roman" w:hAnsi="Palatino Linotype" w:cs="Times New Roman"/>
      <w:b/>
      <w:color w:val="000000"/>
      <w:kern w:val="0"/>
      <w:sz w:val="20"/>
      <w:lang w:eastAsia="de-DE" w:bidi="en-US"/>
      <w14:ligatures w14:val="none"/>
    </w:rPr>
  </w:style>
  <w:style w:type="paragraph" w:customStyle="1" w:styleId="MDPI14history">
    <w:name w:val="MDPI_1.4_history"/>
    <w:basedOn w:val="Normal"/>
    <w:next w:val="Normal"/>
    <w:qFormat/>
    <w:rsid w:val="007C2F53"/>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C2F53"/>
    <w:pPr>
      <w:adjustRightInd w:val="0"/>
      <w:snapToGrid w:val="0"/>
      <w:spacing w:line="200" w:lineRule="atLeast"/>
      <w:ind w:left="2806" w:hanging="198"/>
    </w:pPr>
    <w:rPr>
      <w:rFonts w:ascii="Palatino Linotype" w:eastAsia="Times New Roman" w:hAnsi="Palatino Linotype" w:cs="Times New Roman"/>
      <w:color w:val="000000"/>
      <w:kern w:val="0"/>
      <w:sz w:val="16"/>
      <w:szCs w:val="18"/>
      <w:lang w:eastAsia="de-DE" w:bidi="en-US"/>
      <w14:ligatures w14:val="none"/>
    </w:rPr>
  </w:style>
  <w:style w:type="paragraph" w:customStyle="1" w:styleId="MDPI17abstract">
    <w:name w:val="MDPI_1.7_abstract"/>
    <w:next w:val="Normal"/>
    <w:qFormat/>
    <w:rsid w:val="007C2F53"/>
    <w:pPr>
      <w:adjustRightInd w:val="0"/>
      <w:snapToGrid w:val="0"/>
      <w:spacing w:before="240" w:after="120" w:line="280" w:lineRule="atLeast"/>
      <w:ind w:left="2608"/>
      <w:jc w:val="both"/>
    </w:pPr>
    <w:rPr>
      <w:rFonts w:ascii="Palatino Linotype" w:eastAsia="Times New Roman" w:hAnsi="Palatino Linotype" w:cs="Times New Roman"/>
      <w:color w:val="000000"/>
      <w:kern w:val="0"/>
      <w:sz w:val="20"/>
      <w:lang w:eastAsia="de-DE" w:bidi="en-US"/>
      <w14:ligatures w14:val="none"/>
    </w:rPr>
  </w:style>
  <w:style w:type="paragraph" w:customStyle="1" w:styleId="MDPI18keywords">
    <w:name w:val="MDPI_1.8_keywords"/>
    <w:next w:val="Normal"/>
    <w:qFormat/>
    <w:rsid w:val="007C2F53"/>
    <w:pPr>
      <w:adjustRightInd w:val="0"/>
      <w:snapToGrid w:val="0"/>
      <w:spacing w:before="240" w:line="280" w:lineRule="atLeast"/>
      <w:ind w:left="2608"/>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19line">
    <w:name w:val="MDPI_1.9_line"/>
    <w:qFormat/>
    <w:rsid w:val="007C2F53"/>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kern w:val="0"/>
      <w:sz w:val="20"/>
      <w:szCs w:val="24"/>
      <w:lang w:eastAsia="de-DE" w:bidi="en-US"/>
      <w14:ligatures w14:val="none"/>
    </w:rPr>
  </w:style>
  <w:style w:type="table" w:customStyle="1" w:styleId="Mdeck5tablebodythreelines">
    <w:name w:val="M_deck_5_table_body_three_lines"/>
    <w:basedOn w:val="TableNormal"/>
    <w:uiPriority w:val="99"/>
    <w:rsid w:val="007C2F53"/>
    <w:pPr>
      <w:adjustRightInd w:val="0"/>
      <w:snapToGrid w:val="0"/>
      <w:spacing w:line="300" w:lineRule="exact"/>
      <w:jc w:val="center"/>
    </w:pPr>
    <w:rPr>
      <w:rFonts w:ascii="Times New Roman" w:eastAsia="宋体" w:hAnsi="Times New Roman" w:cs="Times New Roman"/>
      <w:kern w:val="0"/>
      <w:sz w:val="20"/>
      <w:szCs w:val="20"/>
      <w:lang w:val="de-DE" w:eastAsia="de-DE"/>
      <w14:ligatures w14:val="non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7C2F53"/>
    <w:pPr>
      <w:spacing w:line="260" w:lineRule="atLeast"/>
      <w:jc w:val="both"/>
    </w:pPr>
    <w:rPr>
      <w:rFonts w:ascii="Palatino Linotype" w:eastAsia="宋体" w:hAnsi="Palatino Linotype" w:cs="Times New Roman"/>
      <w:color w:val="000000"/>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C2F53"/>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7C2F53"/>
    <w:rPr>
      <w:rFonts w:ascii="Palatino Linotype" w:eastAsia="宋体" w:hAnsi="Palatino Linotype" w:cs="Times New Roman"/>
      <w:color w:val="000000"/>
      <w:kern w:val="0"/>
      <w:sz w:val="20"/>
      <w:szCs w:val="18"/>
      <w14:ligatures w14:val="none"/>
    </w:rPr>
  </w:style>
  <w:style w:type="paragraph" w:styleId="Header">
    <w:name w:val="header"/>
    <w:basedOn w:val="Normal"/>
    <w:link w:val="HeaderChar"/>
    <w:uiPriority w:val="99"/>
    <w:rsid w:val="007C2F53"/>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7C2F53"/>
    <w:rPr>
      <w:rFonts w:ascii="Palatino Linotype" w:eastAsia="宋体" w:hAnsi="Palatino Linotype" w:cs="Times New Roman"/>
      <w:color w:val="000000"/>
      <w:kern w:val="0"/>
      <w:sz w:val="20"/>
      <w:szCs w:val="18"/>
      <w14:ligatures w14:val="none"/>
    </w:rPr>
  </w:style>
  <w:style w:type="paragraph" w:customStyle="1" w:styleId="MDPI32textnoindent">
    <w:name w:val="MDPI_3.2_text_no_indent"/>
    <w:basedOn w:val="MDPI31text"/>
    <w:qFormat/>
    <w:rsid w:val="007C2F53"/>
    <w:pPr>
      <w:ind w:firstLine="0"/>
    </w:pPr>
  </w:style>
  <w:style w:type="paragraph" w:customStyle="1" w:styleId="MDPI31text">
    <w:name w:val="MDPI_3.1_text"/>
    <w:link w:val="MDPI31text0"/>
    <w:qFormat/>
    <w:rsid w:val="007C2F53"/>
    <w:pPr>
      <w:adjustRightInd w:val="0"/>
      <w:snapToGrid w:val="0"/>
      <w:spacing w:line="280" w:lineRule="atLeast"/>
      <w:ind w:left="2608" w:firstLine="425"/>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3textspaceafter">
    <w:name w:val="MDPI_3.3_text_space_after"/>
    <w:qFormat/>
    <w:rsid w:val="007C2F53"/>
    <w:pPr>
      <w:adjustRightInd w:val="0"/>
      <w:snapToGrid w:val="0"/>
      <w:spacing w:after="240" w:line="280" w:lineRule="atLeast"/>
      <w:ind w:left="2608"/>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4textspacebefore">
    <w:name w:val="MDPI_3.4_text_space_before"/>
    <w:qFormat/>
    <w:rsid w:val="007C2F53"/>
    <w:pPr>
      <w:adjustRightInd w:val="0"/>
      <w:snapToGrid w:val="0"/>
      <w:spacing w:before="240" w:line="280" w:lineRule="atLeast"/>
      <w:ind w:left="2608"/>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5textbeforelist">
    <w:name w:val="MDPI_3.5_text_before_list"/>
    <w:qFormat/>
    <w:rsid w:val="007C2F53"/>
    <w:pPr>
      <w:adjustRightInd w:val="0"/>
      <w:snapToGrid w:val="0"/>
      <w:spacing w:line="280" w:lineRule="atLeast"/>
      <w:ind w:left="2608" w:firstLine="425"/>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6textafterlist">
    <w:name w:val="MDPI_3.6_text_after_list"/>
    <w:qFormat/>
    <w:rsid w:val="007C2F53"/>
    <w:pPr>
      <w:adjustRightInd w:val="0"/>
      <w:snapToGrid w:val="0"/>
      <w:spacing w:before="120" w:line="280" w:lineRule="atLeast"/>
      <w:ind w:left="2608"/>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7itemize">
    <w:name w:val="MDPI_3.7_itemize"/>
    <w:qFormat/>
    <w:rsid w:val="007C2F53"/>
    <w:pPr>
      <w:numPr>
        <w:numId w:val="3"/>
      </w:numPr>
      <w:adjustRightInd w:val="0"/>
      <w:snapToGrid w:val="0"/>
      <w:spacing w:line="280" w:lineRule="atLeast"/>
      <w:jc w:val="both"/>
    </w:pPr>
    <w:rPr>
      <w:rFonts w:ascii="Palatino Linotype" w:eastAsia="Times New Roman" w:hAnsi="Palatino Linotype" w:cs="Times New Roman"/>
      <w:color w:val="000000"/>
      <w:kern w:val="0"/>
      <w:sz w:val="20"/>
      <w:lang w:eastAsia="de-DE" w:bidi="en-US"/>
      <w14:ligatures w14:val="none"/>
    </w:rPr>
  </w:style>
  <w:style w:type="paragraph" w:customStyle="1" w:styleId="MDPI38bullet">
    <w:name w:val="MDPI_3.8_bullet"/>
    <w:qFormat/>
    <w:rsid w:val="007C2F53"/>
    <w:pPr>
      <w:numPr>
        <w:numId w:val="1"/>
      </w:numPr>
      <w:adjustRightInd w:val="0"/>
      <w:snapToGrid w:val="0"/>
      <w:spacing w:line="280" w:lineRule="atLeast"/>
      <w:jc w:val="both"/>
    </w:pPr>
    <w:rPr>
      <w:rFonts w:ascii="Palatino Linotype" w:eastAsia="Times New Roman" w:hAnsi="Palatino Linotype" w:cs="Times New Roman"/>
      <w:color w:val="000000"/>
      <w:kern w:val="0"/>
      <w:sz w:val="20"/>
      <w:lang w:eastAsia="de-DE" w:bidi="en-US"/>
      <w14:ligatures w14:val="none"/>
    </w:rPr>
  </w:style>
  <w:style w:type="paragraph" w:customStyle="1" w:styleId="MDPI39equation">
    <w:name w:val="MDPI_3.9_equation"/>
    <w:qFormat/>
    <w:rsid w:val="007C2F53"/>
    <w:pPr>
      <w:adjustRightInd w:val="0"/>
      <w:snapToGrid w:val="0"/>
      <w:spacing w:before="120" w:after="120" w:line="280" w:lineRule="atLeast"/>
      <w:ind w:left="709"/>
      <w:jc w:val="center"/>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aequationnumber">
    <w:name w:val="MDPI_3.a_equation_number"/>
    <w:qFormat/>
    <w:rsid w:val="007C2F53"/>
    <w:pPr>
      <w:spacing w:before="120" w:after="120" w:line="280" w:lineRule="atLeast"/>
      <w:jc w:val="right"/>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41tablecaption">
    <w:name w:val="MDPI_4.1_table_caption"/>
    <w:qFormat/>
    <w:rsid w:val="007C2F53"/>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14:ligatures w14:val="none"/>
    </w:rPr>
  </w:style>
  <w:style w:type="paragraph" w:customStyle="1" w:styleId="MDPI42tablebody">
    <w:name w:val="MDPI_4.2_table_body"/>
    <w:qFormat/>
    <w:rsid w:val="007C2F53"/>
    <w:pPr>
      <w:adjustRightInd w:val="0"/>
      <w:snapToGrid w:val="0"/>
      <w:spacing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43tablefooter">
    <w:name w:val="MDPI_4.3_table_footer"/>
    <w:next w:val="MDPI31text"/>
    <w:qFormat/>
    <w:rsid w:val="007C2F53"/>
    <w:pPr>
      <w:adjustRightInd w:val="0"/>
      <w:snapToGrid w:val="0"/>
      <w:spacing w:line="280" w:lineRule="atLeast"/>
      <w:ind w:left="2608"/>
      <w:jc w:val="both"/>
    </w:pPr>
    <w:rPr>
      <w:rFonts w:ascii="Palatino Linotype" w:eastAsia="Times New Roman" w:hAnsi="Palatino Linotype" w:cs="Cordia New"/>
      <w:color w:val="000000"/>
      <w:kern w:val="0"/>
      <w:sz w:val="18"/>
      <w:lang w:eastAsia="de-DE" w:bidi="en-US"/>
      <w14:ligatures w14:val="none"/>
    </w:rPr>
  </w:style>
  <w:style w:type="paragraph" w:customStyle="1" w:styleId="MDPI51figurecaption">
    <w:name w:val="MDPI_5.1_figure_caption"/>
    <w:qFormat/>
    <w:rsid w:val="007C2F53"/>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52figure">
    <w:name w:val="MDPI_5.2_figure"/>
    <w:qFormat/>
    <w:rsid w:val="007C2F53"/>
    <w:pPr>
      <w:adjustRightInd w:val="0"/>
      <w:snapToGrid w:val="0"/>
      <w:spacing w:before="240" w:after="120"/>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82theorem">
    <w:name w:val="MDPI_8.2_theorem"/>
    <w:qFormat/>
    <w:rsid w:val="007C2F53"/>
    <w:pPr>
      <w:adjustRightInd w:val="0"/>
      <w:snapToGrid w:val="0"/>
      <w:spacing w:line="280" w:lineRule="atLeast"/>
      <w:ind w:left="2608"/>
      <w:jc w:val="both"/>
    </w:pPr>
    <w:rPr>
      <w:rFonts w:ascii="Palatino Linotype" w:eastAsia="Times New Roman" w:hAnsi="Palatino Linotype" w:cs="Times New Roman"/>
      <w:i/>
      <w:snapToGrid w:val="0"/>
      <w:color w:val="000000"/>
      <w:kern w:val="0"/>
      <w:sz w:val="20"/>
      <w:lang w:eastAsia="de-DE" w:bidi="en-US"/>
      <w14:ligatures w14:val="none"/>
    </w:rPr>
  </w:style>
  <w:style w:type="paragraph" w:customStyle="1" w:styleId="MDPI83proof">
    <w:name w:val="MDPI_8.3_proof"/>
    <w:qFormat/>
    <w:rsid w:val="007C2F53"/>
    <w:pPr>
      <w:adjustRightInd w:val="0"/>
      <w:snapToGrid w:val="0"/>
      <w:spacing w:line="280" w:lineRule="atLeast"/>
      <w:ind w:left="2608"/>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23heading3">
    <w:name w:val="MDPI_2.3_heading3"/>
    <w:qFormat/>
    <w:rsid w:val="007C2F53"/>
    <w:pPr>
      <w:adjustRightInd w:val="0"/>
      <w:snapToGrid w:val="0"/>
      <w:spacing w:before="60" w:after="60" w:line="280" w:lineRule="atLeast"/>
      <w:ind w:left="2608"/>
      <w:outlineLvl w:val="2"/>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21heading1">
    <w:name w:val="MDPI_2.1_heading1"/>
    <w:qFormat/>
    <w:rsid w:val="007C2F53"/>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eastAsia="de-DE" w:bidi="en-US"/>
      <w14:ligatures w14:val="none"/>
    </w:rPr>
  </w:style>
  <w:style w:type="paragraph" w:customStyle="1" w:styleId="MDPI22heading2">
    <w:name w:val="MDPI_2.2_heading2"/>
    <w:qFormat/>
    <w:rsid w:val="007C2F53"/>
    <w:pPr>
      <w:adjustRightInd w:val="0"/>
      <w:snapToGrid w:val="0"/>
      <w:spacing w:before="60" w:after="60" w:line="280" w:lineRule="atLeast"/>
      <w:ind w:left="2608"/>
      <w:outlineLvl w:val="1"/>
    </w:pPr>
    <w:rPr>
      <w:rFonts w:ascii="Palatino Linotype" w:eastAsia="Times New Roman" w:hAnsi="Palatino Linotype" w:cs="Times New Roman"/>
      <w:i/>
      <w:noProof/>
      <w:snapToGrid w:val="0"/>
      <w:color w:val="000000"/>
      <w:kern w:val="0"/>
      <w:sz w:val="20"/>
      <w:lang w:eastAsia="de-DE" w:bidi="en-US"/>
      <w14:ligatures w14:val="none"/>
    </w:rPr>
  </w:style>
  <w:style w:type="paragraph" w:customStyle="1" w:styleId="MDPI81references">
    <w:name w:val="MDPI_8.1_references"/>
    <w:qFormat/>
    <w:rsid w:val="007C2F53"/>
    <w:pPr>
      <w:numPr>
        <w:numId w:val="4"/>
      </w:numPr>
      <w:adjustRightInd w:val="0"/>
      <w:snapToGrid w:val="0"/>
      <w:spacing w:line="280" w:lineRule="atLeast"/>
      <w:jc w:val="both"/>
    </w:pPr>
    <w:rPr>
      <w:rFonts w:ascii="Palatino Linotype" w:eastAsia="Times New Roman" w:hAnsi="Palatino Linotype" w:cs="Times New Roman"/>
      <w:color w:val="000000"/>
      <w:kern w:val="0"/>
      <w:sz w:val="18"/>
      <w:szCs w:val="20"/>
      <w:lang w:eastAsia="de-DE" w:bidi="en-US"/>
      <w14:ligatures w14:val="none"/>
    </w:rPr>
  </w:style>
  <w:style w:type="paragraph" w:styleId="BalloonText">
    <w:name w:val="Balloon Text"/>
    <w:basedOn w:val="Normal"/>
    <w:link w:val="BalloonTextChar"/>
    <w:uiPriority w:val="99"/>
    <w:rsid w:val="007C2F53"/>
    <w:rPr>
      <w:rFonts w:cs="Tahoma"/>
      <w:szCs w:val="18"/>
    </w:rPr>
  </w:style>
  <w:style w:type="character" w:customStyle="1" w:styleId="BalloonTextChar">
    <w:name w:val="Balloon Text Char"/>
    <w:basedOn w:val="DefaultParagraphFont"/>
    <w:link w:val="BalloonText"/>
    <w:uiPriority w:val="99"/>
    <w:rsid w:val="007C2F53"/>
    <w:rPr>
      <w:rFonts w:ascii="Palatino Linotype" w:eastAsia="宋体" w:hAnsi="Palatino Linotype" w:cs="Tahoma"/>
      <w:color w:val="000000"/>
      <w:kern w:val="0"/>
      <w:sz w:val="20"/>
      <w:szCs w:val="18"/>
      <w14:ligatures w14:val="none"/>
    </w:rPr>
  </w:style>
  <w:style w:type="character" w:styleId="LineNumber">
    <w:name w:val="line number"/>
    <w:uiPriority w:val="99"/>
    <w:rsid w:val="007C2F53"/>
    <w:rPr>
      <w:rFonts w:ascii="Palatino Linotype" w:hAnsi="Palatino Linotype"/>
      <w:sz w:val="16"/>
    </w:rPr>
  </w:style>
  <w:style w:type="table" w:customStyle="1" w:styleId="MDPI41threelinetable">
    <w:name w:val="MDPI_4.1_three_line_table"/>
    <w:basedOn w:val="TableNormal"/>
    <w:uiPriority w:val="99"/>
    <w:rsid w:val="007C2F53"/>
    <w:pPr>
      <w:adjustRightInd w:val="0"/>
      <w:snapToGrid w:val="0"/>
      <w:spacing w:line="280" w:lineRule="atLeast"/>
      <w:jc w:val="center"/>
    </w:pPr>
    <w:rPr>
      <w:rFonts w:ascii="Palatino Linotype" w:eastAsia="宋体" w:hAnsi="Palatino Linotype" w:cs="Times New Roman"/>
      <w:color w:val="000000"/>
      <w:kern w:val="0"/>
      <w:sz w:val="20"/>
      <w:szCs w:val="20"/>
      <w14:ligatures w14:val="none"/>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C2F53"/>
    <w:rPr>
      <w:color w:val="0000FF"/>
      <w:u w:val="single"/>
    </w:rPr>
  </w:style>
  <w:style w:type="character" w:styleId="UnresolvedMention">
    <w:name w:val="Unresolved Mention"/>
    <w:uiPriority w:val="99"/>
    <w:semiHidden/>
    <w:unhideWhenUsed/>
    <w:rsid w:val="007C2F53"/>
    <w:rPr>
      <w:color w:val="605E5C"/>
      <w:shd w:val="clear" w:color="auto" w:fill="E1DFDD"/>
    </w:rPr>
  </w:style>
  <w:style w:type="table" w:styleId="PlainTable4">
    <w:name w:val="Plain Table 4"/>
    <w:basedOn w:val="TableNormal"/>
    <w:uiPriority w:val="44"/>
    <w:rsid w:val="007C2F53"/>
    <w:rPr>
      <w:rFonts w:ascii="Calibri" w:eastAsia="宋体" w:hAnsi="Calibri" w:cs="Times New Roman"/>
      <w:kern w:val="0"/>
      <w:sz w:val="20"/>
      <w:szCs w:val="2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7C2F53"/>
    <w:pPr>
      <w:adjustRightInd w:val="0"/>
      <w:snapToGrid w:val="0"/>
      <w:spacing w:before="120" w:after="120" w:line="240" w:lineRule="atLeast"/>
      <w:ind w:right="113"/>
    </w:pPr>
    <w:rPr>
      <w:rFonts w:ascii="Palatino Linotype" w:eastAsia="宋体" w:hAnsi="Palatino Linotype" w:cs="Cordia New"/>
      <w:kern w:val="0"/>
      <w:sz w:val="14"/>
      <w14:ligatures w14:val="none"/>
    </w:rPr>
  </w:style>
  <w:style w:type="paragraph" w:customStyle="1" w:styleId="MDPI62backmatter">
    <w:name w:val="MDPI_6.2_back_matter"/>
    <w:qFormat/>
    <w:rsid w:val="007C2F53"/>
    <w:pPr>
      <w:adjustRightInd w:val="0"/>
      <w:snapToGrid w:val="0"/>
      <w:spacing w:after="120" w:line="280" w:lineRule="atLeast"/>
      <w:ind w:left="2608"/>
      <w:jc w:val="both"/>
    </w:pPr>
    <w:rPr>
      <w:rFonts w:ascii="Palatino Linotype" w:eastAsia="Times New Roman" w:hAnsi="Palatino Linotype" w:cs="Times New Roman"/>
      <w:snapToGrid w:val="0"/>
      <w:color w:val="000000"/>
      <w:kern w:val="0"/>
      <w:sz w:val="18"/>
      <w:szCs w:val="20"/>
      <w:lang w:eastAsia="en-US" w:bidi="en-US"/>
      <w14:ligatures w14:val="none"/>
    </w:rPr>
  </w:style>
  <w:style w:type="paragraph" w:customStyle="1" w:styleId="MDPI63notes">
    <w:name w:val="MDPI_6.3_notes"/>
    <w:qFormat/>
    <w:rsid w:val="007C2F53"/>
    <w:pPr>
      <w:adjustRightInd w:val="0"/>
      <w:snapToGrid w:val="0"/>
      <w:spacing w:before="240" w:line="280" w:lineRule="atLeast"/>
      <w:jc w:val="both"/>
    </w:pPr>
    <w:rPr>
      <w:rFonts w:ascii="Palatino Linotype" w:eastAsia="宋体" w:hAnsi="Palatino Linotype" w:cs="Times New Roman"/>
      <w:snapToGrid w:val="0"/>
      <w:color w:val="000000"/>
      <w:kern w:val="0"/>
      <w:sz w:val="18"/>
      <w:szCs w:val="20"/>
      <w:lang w:eastAsia="en-US" w:bidi="en-US"/>
      <w14:ligatures w14:val="none"/>
    </w:rPr>
  </w:style>
  <w:style w:type="paragraph" w:customStyle="1" w:styleId="MDPI15academiceditor">
    <w:name w:val="MDPI_1.5_academic_editor"/>
    <w:qFormat/>
    <w:rsid w:val="007C2F53"/>
    <w:pPr>
      <w:adjustRightInd w:val="0"/>
      <w:snapToGrid w:val="0"/>
      <w:spacing w:before="120" w:line="240" w:lineRule="atLeast"/>
      <w:ind w:right="113"/>
    </w:pPr>
    <w:rPr>
      <w:rFonts w:ascii="Palatino Linotype" w:eastAsia="Times New Roman" w:hAnsi="Palatino Linotype" w:cs="Times New Roman"/>
      <w:color w:val="000000"/>
      <w:kern w:val="0"/>
      <w:sz w:val="14"/>
      <w:lang w:eastAsia="de-DE" w:bidi="en-US"/>
      <w14:ligatures w14:val="none"/>
    </w:rPr>
  </w:style>
  <w:style w:type="paragraph" w:customStyle="1" w:styleId="MDPI411onetablecaption">
    <w:name w:val="MDPI_4.1.1_one_table_caption"/>
    <w:qFormat/>
    <w:rsid w:val="007C2F53"/>
    <w:pPr>
      <w:adjustRightInd w:val="0"/>
      <w:snapToGrid w:val="0"/>
      <w:spacing w:before="240" w:after="120" w:line="280" w:lineRule="atLeast"/>
      <w:jc w:val="center"/>
    </w:pPr>
    <w:rPr>
      <w:rFonts w:ascii="Palatino Linotype" w:eastAsia="宋体" w:hAnsi="Palatino Linotype" w:cs="Cordia New"/>
      <w:noProof/>
      <w:color w:val="000000"/>
      <w:kern w:val="0"/>
      <w:sz w:val="18"/>
      <w:lang w:bidi="en-US"/>
      <w14:ligatures w14:val="none"/>
    </w:rPr>
  </w:style>
  <w:style w:type="paragraph" w:customStyle="1" w:styleId="MDPI511onefigurecaption">
    <w:name w:val="MDPI_5.1.1_one_figure_caption"/>
    <w:qFormat/>
    <w:rsid w:val="007C2F53"/>
    <w:pPr>
      <w:adjustRightInd w:val="0"/>
      <w:snapToGrid w:val="0"/>
      <w:spacing w:before="240" w:after="120" w:line="280" w:lineRule="atLeast"/>
      <w:jc w:val="center"/>
    </w:pPr>
    <w:rPr>
      <w:rFonts w:ascii="Palatino Linotype" w:eastAsia="宋体" w:hAnsi="Palatino Linotype" w:cs="Times New Roman"/>
      <w:noProof/>
      <w:color w:val="000000"/>
      <w:kern w:val="0"/>
      <w:sz w:val="18"/>
      <w:szCs w:val="20"/>
      <w:lang w:bidi="en-US"/>
      <w14:ligatures w14:val="none"/>
    </w:rPr>
  </w:style>
  <w:style w:type="paragraph" w:customStyle="1" w:styleId="MDPI72copyright">
    <w:name w:val="MDPI_7.2_copyright"/>
    <w:qFormat/>
    <w:rsid w:val="007C2F53"/>
    <w:pPr>
      <w:adjustRightInd w:val="0"/>
      <w:snapToGrid w:val="0"/>
      <w:spacing w:before="120" w:line="240" w:lineRule="atLeast"/>
      <w:ind w:right="113"/>
    </w:pPr>
    <w:rPr>
      <w:rFonts w:ascii="Palatino Linotype" w:eastAsia="Times New Roman" w:hAnsi="Palatino Linotype" w:cs="Times New Roman"/>
      <w:noProof/>
      <w:snapToGrid w:val="0"/>
      <w:color w:val="000000"/>
      <w:kern w:val="0"/>
      <w:sz w:val="14"/>
      <w:szCs w:val="20"/>
      <w:lang w:val="en-GB" w:eastAsia="en-GB"/>
      <w14:ligatures w14:val="none"/>
    </w:rPr>
  </w:style>
  <w:style w:type="table" w:customStyle="1" w:styleId="MDPItable">
    <w:name w:val="MDPI_table"/>
    <w:basedOn w:val="TableNormal"/>
    <w:uiPriority w:val="99"/>
    <w:rsid w:val="007C2F53"/>
    <w:rPr>
      <w:rFonts w:ascii="Palatino Linotype" w:eastAsia="宋体" w:hAnsi="Palatino Linotype" w:cs="Times New Roman"/>
      <w:color w:val="000000"/>
      <w:kern w:val="0"/>
      <w:sz w:val="20"/>
      <w:szCs w:val="20"/>
      <w:lang w:val="en-CA" w:eastAsia="en-US"/>
      <w14:ligatures w14:val="none"/>
    </w:rPr>
    <w:tblPr>
      <w:tblCellMar>
        <w:left w:w="0" w:type="dxa"/>
        <w:right w:w="0" w:type="dxa"/>
      </w:tblCellMar>
    </w:tblPr>
  </w:style>
  <w:style w:type="character" w:customStyle="1" w:styleId="apple-converted-space">
    <w:name w:val="apple-converted-space"/>
    <w:rsid w:val="007C2F53"/>
  </w:style>
  <w:style w:type="paragraph" w:styleId="Bibliography">
    <w:name w:val="Bibliography"/>
    <w:basedOn w:val="Normal"/>
    <w:next w:val="Normal"/>
    <w:uiPriority w:val="37"/>
    <w:semiHidden/>
    <w:unhideWhenUsed/>
    <w:rsid w:val="007C2F53"/>
  </w:style>
  <w:style w:type="paragraph" w:styleId="BodyText">
    <w:name w:val="Body Text"/>
    <w:link w:val="BodyTextChar"/>
    <w:rsid w:val="007C2F53"/>
    <w:pPr>
      <w:spacing w:after="120" w:line="340" w:lineRule="atLeast"/>
      <w:jc w:val="both"/>
    </w:pPr>
    <w:rPr>
      <w:rFonts w:ascii="Palatino Linotype" w:eastAsia="宋体" w:hAnsi="Palatino Linotype" w:cs="Times New Roman"/>
      <w:color w:val="000000"/>
      <w:kern w:val="0"/>
      <w:sz w:val="24"/>
      <w:szCs w:val="20"/>
      <w:lang w:eastAsia="de-DE"/>
      <w14:ligatures w14:val="none"/>
    </w:rPr>
  </w:style>
  <w:style w:type="character" w:customStyle="1" w:styleId="BodyTextChar">
    <w:name w:val="Body Text Char"/>
    <w:basedOn w:val="DefaultParagraphFont"/>
    <w:link w:val="BodyText"/>
    <w:rsid w:val="007C2F53"/>
    <w:rPr>
      <w:rFonts w:ascii="Palatino Linotype" w:eastAsia="宋体" w:hAnsi="Palatino Linotype" w:cs="Times New Roman"/>
      <w:color w:val="000000"/>
      <w:kern w:val="0"/>
      <w:sz w:val="24"/>
      <w:szCs w:val="20"/>
      <w:lang w:eastAsia="de-DE"/>
      <w14:ligatures w14:val="none"/>
    </w:rPr>
  </w:style>
  <w:style w:type="character" w:styleId="CommentReference">
    <w:name w:val="annotation reference"/>
    <w:rsid w:val="007C2F53"/>
    <w:rPr>
      <w:sz w:val="21"/>
      <w:szCs w:val="21"/>
    </w:rPr>
  </w:style>
  <w:style w:type="paragraph" w:styleId="CommentText">
    <w:name w:val="annotation text"/>
    <w:basedOn w:val="Normal"/>
    <w:link w:val="CommentTextChar"/>
    <w:rsid w:val="007C2F53"/>
  </w:style>
  <w:style w:type="character" w:customStyle="1" w:styleId="CommentTextChar">
    <w:name w:val="Comment Text Char"/>
    <w:basedOn w:val="DefaultParagraphFont"/>
    <w:link w:val="CommentText"/>
    <w:rsid w:val="007C2F53"/>
    <w:rPr>
      <w:rFonts w:ascii="Palatino Linotype" w:eastAsia="宋体" w:hAnsi="Palatino Linotype" w:cs="Times New Roman"/>
      <w:color w:val="000000"/>
      <w:kern w:val="0"/>
      <w:sz w:val="20"/>
      <w:szCs w:val="20"/>
      <w14:ligatures w14:val="none"/>
    </w:rPr>
  </w:style>
  <w:style w:type="paragraph" w:styleId="CommentSubject">
    <w:name w:val="annotation subject"/>
    <w:basedOn w:val="CommentText"/>
    <w:next w:val="CommentText"/>
    <w:link w:val="CommentSubjectChar"/>
    <w:rsid w:val="007C2F53"/>
    <w:rPr>
      <w:b/>
      <w:bCs/>
    </w:rPr>
  </w:style>
  <w:style w:type="character" w:customStyle="1" w:styleId="CommentSubjectChar">
    <w:name w:val="Comment Subject Char"/>
    <w:basedOn w:val="CommentTextChar"/>
    <w:link w:val="CommentSubject"/>
    <w:rsid w:val="007C2F53"/>
    <w:rPr>
      <w:rFonts w:ascii="Palatino Linotype" w:eastAsia="宋体" w:hAnsi="Palatino Linotype" w:cs="Times New Roman"/>
      <w:b/>
      <w:bCs/>
      <w:color w:val="000000"/>
      <w:kern w:val="0"/>
      <w:sz w:val="20"/>
      <w:szCs w:val="20"/>
      <w14:ligatures w14:val="none"/>
    </w:rPr>
  </w:style>
  <w:style w:type="character" w:styleId="EndnoteReference">
    <w:name w:val="endnote reference"/>
    <w:rsid w:val="007C2F53"/>
    <w:rPr>
      <w:vertAlign w:val="superscript"/>
    </w:rPr>
  </w:style>
  <w:style w:type="paragraph" w:styleId="EndnoteText">
    <w:name w:val="endnote text"/>
    <w:basedOn w:val="Normal"/>
    <w:link w:val="EndnoteTextChar"/>
    <w:semiHidden/>
    <w:unhideWhenUsed/>
    <w:rsid w:val="007C2F53"/>
    <w:pPr>
      <w:spacing w:line="240" w:lineRule="auto"/>
    </w:pPr>
  </w:style>
  <w:style w:type="character" w:customStyle="1" w:styleId="EndnoteTextChar">
    <w:name w:val="Endnote Text Char"/>
    <w:basedOn w:val="DefaultParagraphFont"/>
    <w:link w:val="EndnoteText"/>
    <w:semiHidden/>
    <w:rsid w:val="007C2F53"/>
    <w:rPr>
      <w:rFonts w:ascii="Palatino Linotype" w:eastAsia="宋体" w:hAnsi="Palatino Linotype" w:cs="Times New Roman"/>
      <w:color w:val="000000"/>
      <w:kern w:val="0"/>
      <w:sz w:val="20"/>
      <w:szCs w:val="20"/>
      <w14:ligatures w14:val="none"/>
    </w:rPr>
  </w:style>
  <w:style w:type="character" w:styleId="FollowedHyperlink">
    <w:name w:val="FollowedHyperlink"/>
    <w:uiPriority w:val="99"/>
    <w:rsid w:val="007C2F53"/>
    <w:rPr>
      <w:color w:val="954F72"/>
      <w:u w:val="single"/>
    </w:rPr>
  </w:style>
  <w:style w:type="paragraph" w:styleId="FootnoteText">
    <w:name w:val="footnote text"/>
    <w:basedOn w:val="Normal"/>
    <w:link w:val="FootnoteTextChar"/>
    <w:uiPriority w:val="99"/>
    <w:unhideWhenUsed/>
    <w:rsid w:val="007C2F53"/>
    <w:pPr>
      <w:spacing w:line="240" w:lineRule="auto"/>
    </w:pPr>
  </w:style>
  <w:style w:type="character" w:customStyle="1" w:styleId="FootnoteTextChar">
    <w:name w:val="Footnote Text Char"/>
    <w:basedOn w:val="DefaultParagraphFont"/>
    <w:link w:val="FootnoteText"/>
    <w:uiPriority w:val="99"/>
    <w:rsid w:val="007C2F53"/>
    <w:rPr>
      <w:rFonts w:ascii="Palatino Linotype" w:eastAsia="宋体" w:hAnsi="Palatino Linotype" w:cs="Times New Roman"/>
      <w:color w:val="000000"/>
      <w:kern w:val="0"/>
      <w:sz w:val="20"/>
      <w:szCs w:val="20"/>
      <w14:ligatures w14:val="none"/>
    </w:rPr>
  </w:style>
  <w:style w:type="paragraph" w:styleId="NormalWeb">
    <w:name w:val="Normal (Web)"/>
    <w:basedOn w:val="Normal"/>
    <w:uiPriority w:val="99"/>
    <w:rsid w:val="007C2F53"/>
    <w:rPr>
      <w:szCs w:val="24"/>
    </w:rPr>
  </w:style>
  <w:style w:type="paragraph" w:customStyle="1" w:styleId="MsoFootnoteText0">
    <w:name w:val="MsoFootnoteText"/>
    <w:basedOn w:val="NormalWeb"/>
    <w:qFormat/>
    <w:rsid w:val="007C2F53"/>
    <w:rPr>
      <w:rFonts w:ascii="Times New Roman" w:hAnsi="Times New Roman"/>
    </w:rPr>
  </w:style>
  <w:style w:type="character" w:styleId="PageNumber">
    <w:name w:val="page number"/>
    <w:rsid w:val="007C2F53"/>
  </w:style>
  <w:style w:type="character" w:styleId="PlaceholderText">
    <w:name w:val="Placeholder Text"/>
    <w:uiPriority w:val="99"/>
    <w:semiHidden/>
    <w:rsid w:val="007C2F53"/>
    <w:rPr>
      <w:color w:val="808080"/>
    </w:rPr>
  </w:style>
  <w:style w:type="paragraph" w:customStyle="1" w:styleId="MDPI71footnotes">
    <w:name w:val="MDPI_7.1_footnotes"/>
    <w:qFormat/>
    <w:rsid w:val="007C2F53"/>
    <w:pPr>
      <w:numPr>
        <w:numId w:val="2"/>
      </w:numPr>
      <w:adjustRightInd w:val="0"/>
      <w:snapToGrid w:val="0"/>
      <w:spacing w:line="280" w:lineRule="atLeast"/>
    </w:pPr>
    <w:rPr>
      <w:rFonts w:ascii="Palatino Linotype" w:hAnsi="Palatino Linotype" w:cs="Times New Roman"/>
      <w:noProof/>
      <w:color w:val="000000"/>
      <w:kern w:val="0"/>
      <w:sz w:val="18"/>
      <w:szCs w:val="20"/>
      <w14:ligatures w14:val="none"/>
    </w:rPr>
  </w:style>
  <w:style w:type="character" w:styleId="Strong">
    <w:name w:val="Strong"/>
    <w:basedOn w:val="DefaultParagraphFont"/>
    <w:uiPriority w:val="22"/>
    <w:qFormat/>
    <w:rsid w:val="007C2F53"/>
    <w:rPr>
      <w:b/>
      <w:bCs/>
    </w:rPr>
  </w:style>
  <w:style w:type="table" w:customStyle="1" w:styleId="TableNormal0">
    <w:name w:val="TableNormal"/>
    <w:rsid w:val="007C2F53"/>
    <w:pPr>
      <w:widowControl w:val="0"/>
      <w:jc w:val="both"/>
    </w:pPr>
    <w:rPr>
      <w:rFonts w:ascii="等线" w:eastAsia="等线" w:hAnsi="等线" w:cs="等线"/>
      <w:kern w:val="0"/>
      <w:szCs w:val="21"/>
      <w:lang w:val="en"/>
      <w14:ligatures w14:val="none"/>
    </w:rPr>
    <w:tblPr>
      <w:tblCellMar>
        <w:top w:w="100" w:type="dxa"/>
        <w:left w:w="100" w:type="dxa"/>
        <w:bottom w:w="100" w:type="dxa"/>
        <w:right w:w="100" w:type="dxa"/>
      </w:tblCellMar>
    </w:tblPr>
  </w:style>
  <w:style w:type="character" w:styleId="FootnoteReference">
    <w:name w:val="footnote reference"/>
    <w:basedOn w:val="DefaultParagraphFont"/>
    <w:uiPriority w:val="99"/>
    <w:semiHidden/>
    <w:unhideWhenUsed/>
    <w:rsid w:val="007C2F53"/>
    <w:rPr>
      <w:vertAlign w:val="superscript"/>
    </w:rPr>
  </w:style>
  <w:style w:type="character" w:customStyle="1" w:styleId="SubtitleChar1">
    <w:name w:val="Subtitle Char1"/>
    <w:basedOn w:val="DefaultParagraphFont"/>
    <w:uiPriority w:val="11"/>
    <w:rsid w:val="007C2F53"/>
    <w:rPr>
      <w:rFonts w:asciiTheme="minorHAnsi" w:eastAsiaTheme="minorEastAsia" w:hAnsiTheme="minorHAnsi" w:cstheme="minorBidi"/>
      <w:color w:val="5A5A5A" w:themeColor="text1" w:themeTint="A5"/>
      <w:spacing w:val="15"/>
      <w:sz w:val="22"/>
      <w:szCs w:val="22"/>
    </w:rPr>
  </w:style>
  <w:style w:type="paragraph" w:styleId="Revision">
    <w:name w:val="Revision"/>
    <w:hidden/>
    <w:uiPriority w:val="99"/>
    <w:semiHidden/>
    <w:rsid w:val="007C2F53"/>
    <w:rPr>
      <w:rFonts w:ascii="Palatino Linotype" w:eastAsia="宋体" w:hAnsi="Palatino Linotype" w:cs="Times New Roman"/>
      <w:color w:val="000000"/>
      <w:kern w:val="0"/>
      <w:sz w:val="20"/>
      <w:szCs w:val="20"/>
      <w14:ligatures w14:val="none"/>
    </w:rPr>
  </w:style>
  <w:style w:type="paragraph" w:customStyle="1" w:styleId="EndNoteBibliographyTitle">
    <w:name w:val="EndNote Bibliography Title"/>
    <w:basedOn w:val="Normal"/>
    <w:link w:val="EndNoteBibliographyTitle0"/>
    <w:rsid w:val="007C2F53"/>
    <w:pPr>
      <w:jc w:val="center"/>
    </w:pPr>
    <w:rPr>
      <w:noProof/>
      <w:lang w:eastAsia="de-DE" w:bidi="en-US"/>
    </w:rPr>
  </w:style>
  <w:style w:type="character" w:customStyle="1" w:styleId="MDPI31text0">
    <w:name w:val="MDPI_3.1_text 字符"/>
    <w:basedOn w:val="DefaultParagraphFont"/>
    <w:link w:val="MDPI31text"/>
    <w:rsid w:val="007C2F53"/>
    <w:rPr>
      <w:rFonts w:ascii="Palatino Linotype" w:eastAsia="Times New Roman" w:hAnsi="Palatino Linotype" w:cs="Times New Roman"/>
      <w:snapToGrid w:val="0"/>
      <w:color w:val="000000"/>
      <w:kern w:val="0"/>
      <w:sz w:val="20"/>
      <w:lang w:eastAsia="de-DE" w:bidi="en-US"/>
      <w14:ligatures w14:val="none"/>
    </w:rPr>
  </w:style>
  <w:style w:type="character" w:customStyle="1" w:styleId="EndNoteBibliographyTitle0">
    <w:name w:val="EndNote Bibliography Title 字符"/>
    <w:basedOn w:val="MDPI31text0"/>
    <w:link w:val="EndNoteBibliographyTitle"/>
    <w:rsid w:val="007C2F53"/>
    <w:rPr>
      <w:rFonts w:ascii="Palatino Linotype" w:eastAsia="宋体" w:hAnsi="Palatino Linotype" w:cs="Times New Roman"/>
      <w:noProof/>
      <w:snapToGrid/>
      <w:color w:val="000000"/>
      <w:kern w:val="0"/>
      <w:sz w:val="20"/>
      <w:szCs w:val="20"/>
      <w:lang w:eastAsia="de-DE" w:bidi="en-US"/>
      <w14:ligatures w14:val="none"/>
    </w:rPr>
  </w:style>
  <w:style w:type="paragraph" w:customStyle="1" w:styleId="EndNoteBibliography">
    <w:name w:val="EndNote Bibliography"/>
    <w:basedOn w:val="Normal"/>
    <w:link w:val="EndNoteBibliography0"/>
    <w:rsid w:val="007C2F53"/>
    <w:pPr>
      <w:spacing w:line="240" w:lineRule="atLeast"/>
      <w:jc w:val="left"/>
    </w:pPr>
    <w:rPr>
      <w:noProof/>
      <w:lang w:eastAsia="de-DE" w:bidi="en-US"/>
    </w:rPr>
  </w:style>
  <w:style w:type="character" w:customStyle="1" w:styleId="EndNoteBibliography0">
    <w:name w:val="EndNote Bibliography 字符"/>
    <w:basedOn w:val="MDPI31text0"/>
    <w:link w:val="EndNoteBibliography"/>
    <w:rsid w:val="007C2F53"/>
    <w:rPr>
      <w:rFonts w:ascii="Palatino Linotype" w:eastAsia="宋体" w:hAnsi="Palatino Linotype" w:cs="Times New Roman"/>
      <w:noProof/>
      <w:snapToGrid/>
      <w:color w:val="000000"/>
      <w:kern w:val="0"/>
      <w:sz w:val="20"/>
      <w:szCs w:val="20"/>
      <w:lang w:eastAsia="de-DE" w:bidi="en-US"/>
      <w14:ligatures w14:val="none"/>
    </w:rPr>
  </w:style>
  <w:style w:type="paragraph" w:customStyle="1" w:styleId="Equation">
    <w:name w:val="Equation"/>
    <w:basedOn w:val="MDPI31text"/>
    <w:link w:val="Equation0"/>
    <w:qFormat/>
    <w:rsid w:val="007C2F53"/>
    <w:pPr>
      <w:tabs>
        <w:tab w:val="center" w:pos="6237"/>
        <w:tab w:val="right" w:pos="10206"/>
      </w:tabs>
      <w:jc w:val="center"/>
    </w:pPr>
    <w:rPr>
      <w:rFonts w:ascii="Cambria Math" w:hAnsi="Cambria Math"/>
      <w:i/>
    </w:rPr>
  </w:style>
  <w:style w:type="character" w:customStyle="1" w:styleId="Equation0">
    <w:name w:val="Equation 字符"/>
    <w:basedOn w:val="MDPI31text0"/>
    <w:link w:val="Equation"/>
    <w:rsid w:val="007C2F53"/>
    <w:rPr>
      <w:rFonts w:ascii="Cambria Math" w:eastAsia="Times New Roman" w:hAnsi="Cambria Math" w:cs="Times New Roman"/>
      <w:i/>
      <w:snapToGrid w:val="0"/>
      <w:color w:val="000000"/>
      <w:kern w:val="0"/>
      <w:sz w:val="20"/>
      <w:lang w:eastAsia="de-DE"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11041</Words>
  <Characters>72102</Characters>
  <Application>Microsoft Office Word</Application>
  <DocSecurity>0</DocSecurity>
  <Lines>2486</Lines>
  <Paragraphs>1154</Paragraphs>
  <ScaleCrop>false</ScaleCrop>
  <Company/>
  <LinksUpToDate>false</LinksUpToDate>
  <CharactersWithSpaces>81989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Queens Wayne</dc:creator>
  <cp:keywords/>
  <dc:description/>
  <cp:lastModifiedBy>Queens Wayne</cp:lastModifiedBy>
  <cp:revision>3</cp:revision>
  <dcterms:created xsi:type="dcterms:W3CDTF">2026-03-18T04:20:00Z</dcterms:created>
  <dcterms:modified xsi:type="dcterms:W3CDTF">2026-03-18T11:56:00Z</dcterms:modified>
</cp:coreProperties>
</file>