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技术方案</w:t>
      </w:r>
    </w:p>
    <w:p>
      <w:pPr>
        <w:pStyle w:val="2"/>
        <w:spacing w:before="320" w:after="120" w:line="288" w:lineRule="auto"/>
        <w:ind w:left="0"/>
        <w:jc w:val="left"/>
        <w:outlineLvl w:val="1"/>
      </w:pPr>
      <w:bookmarkStart w:name="heading_0" w:id="0"/>
      <w:r>
        <w:rPr>
          <w:rFonts w:eastAsia="等线" w:ascii="Arial" w:cs="Arial" w:hAnsi="Arial"/>
          <w:b w:val="true"/>
          <w:sz w:val="32"/>
        </w:rPr>
        <w:t>一、要求</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drawing>
                <wp:inline distT="0" distR="0" distB="0" distL="0">
                  <wp:extent cx="800100" cy="1133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800100" cy="1133475"/>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r>
              <w:drawing>
                <wp:inline distT="0" distR="0" distB="0" distL="0">
                  <wp:extent cx="800100" cy="1285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800100" cy="1285875"/>
                          </a:xfrm>
                          <a:prstGeom prst="rect">
                            <a:avLst/>
                          </a:prstGeom>
                        </pic:spPr>
                      </pic:pic>
                    </a:graphicData>
                  </a:graphic>
                </wp:inline>
              </w:drawing>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center"/>
            </w:pPr>
            <w:r>
              <w:drawing>
                <wp:inline distT="0" distR="0" distB="0" distL="0">
                  <wp:extent cx="800100" cy="12573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800100" cy="1257300"/>
                          </a:xfrm>
                          <a:prstGeom prst="rect">
                            <a:avLst/>
                          </a:prstGeom>
                        </pic:spPr>
                      </pic:pic>
                    </a:graphicData>
                  </a:graphic>
                </wp:inline>
              </w:drawing>
            </w:r>
          </w:p>
          <w:p>
            <w:pPr>
              <w:spacing w:before="120" w:after="120" w:line="288" w:lineRule="auto"/>
              <w:ind w:left="0"/>
              <w:jc w:val="left"/>
            </w:pPr>
          </w:p>
        </w:tc>
        <w:tc>
          <w:tcPr>
            <w:tcW w:w="150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630"/>
              <w:gridCol w:w="630"/>
            </w:tblGrid>
            <w:tr>
              <w:tc>
                <w:tcPr>
                  <w:tcW w:w="630" w:type="dxa"/>
                  <w:tcMar>
                    <w:top w:type="dxa" w:w="60"/>
                    <w:left w:type="dxa" w:w="120"/>
                    <w:bottom w:type="dxa" w:w="30"/>
                    <w:right w:type="dxa" w:w="120"/>
                  </w:tcMar>
                </w:tcPr>
                <w:p>
                  <w:pPr>
                    <w:spacing w:before="120" w:after="120" w:line="288" w:lineRule="auto"/>
                    <w:ind w:left="0"/>
                    <w:jc w:val="center"/>
                  </w:pPr>
                  <w:r>
                    <w:drawing>
                      <wp:inline distT="0" distR="0" distB="0" distL="0">
                        <wp:extent cx="238125" cy="3524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238125" cy="352425"/>
                                </a:xfrm>
                                <a:prstGeom prst="rect">
                                  <a:avLst/>
                                </a:prstGeom>
                              </pic:spPr>
                            </pic:pic>
                          </a:graphicData>
                        </a:graphic>
                      </wp:inline>
                    </w:drawing>
                  </w:r>
                </w:p>
              </w:tc>
              <w:tc>
                <w:tcPr>
                  <w:tcW w:w="630" w:type="dxa"/>
                  <w:tcMar>
                    <w:top w:type="dxa" w:w="60"/>
                    <w:left w:type="dxa" w:w="120"/>
                    <w:bottom w:type="dxa" w:w="30"/>
                    <w:right w:type="dxa" w:w="120"/>
                  </w:tcMar>
                </w:tcPr>
                <w:p>
                  <w:pPr>
                    <w:spacing w:before="120" w:after="120" w:line="288" w:lineRule="auto"/>
                    <w:ind w:left="0"/>
                    <w:jc w:val="center"/>
                  </w:pPr>
                  <w:r>
                    <w:drawing>
                      <wp:inline distT="0" distR="0" distB="0" distL="0">
                        <wp:extent cx="247650" cy="3714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247650" cy="371475"/>
                                </a:xfrm>
                                <a:prstGeom prst="rect">
                                  <a:avLst/>
                                </a:prstGeom>
                              </pic:spPr>
                            </pic:pic>
                          </a:graphicData>
                        </a:graphic>
                      </wp:inline>
                    </w:drawing>
                  </w:r>
                </w:p>
                <w:p>
                  <w:pPr>
                    <w:spacing w:before="120" w:after="120" w:line="288" w:lineRule="auto"/>
                    <w:ind w:left="0"/>
                    <w:jc w:val="left"/>
                  </w:pPr>
                </w:p>
              </w:tc>
            </w:tr>
          </w:tbl>
          <w:p/>
        </w:tc>
        <w:tc>
          <w:tcPr>
            <w:tcW w:w="150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 w:id="1"/>
      <w:r>
        <w:rPr>
          <w:rFonts w:eastAsia="等线" w:ascii="Arial" w:cs="Arial" w:hAnsi="Arial"/>
          <w:b w:val="true"/>
          <w:sz w:val="32"/>
        </w:rPr>
        <w:t>二、基础必做内容</w:t>
      </w:r>
      <w:bookmarkEnd w:id="1"/>
    </w:p>
    <w:p>
      <w:pPr>
        <w:numPr>
          <w:numId w:val="1"/>
        </w:numPr>
        <w:spacing w:before="120" w:after="120" w:line="288" w:lineRule="auto"/>
        <w:ind w:left="0"/>
        <w:jc w:val="left"/>
      </w:pPr>
      <w:r>
        <w:rPr>
          <w:rFonts w:eastAsia="等线" w:ascii="Arial" w:cs="Arial" w:hAnsi="Arial"/>
          <w:b w:val="true"/>
          <w:sz w:val="22"/>
        </w:rPr>
        <w:t>多源数据融合模块</w:t>
      </w:r>
    </w:p>
    <w:p>
      <w:pPr>
        <w:numPr>
          <w:numId w:val="2"/>
        </w:numPr>
        <w:spacing w:before="120" w:after="120" w:line="288" w:lineRule="auto"/>
        <w:ind w:left="453"/>
        <w:jc w:val="left"/>
      </w:pPr>
      <w:r>
        <w:rPr>
          <w:rFonts w:eastAsia="等线" w:ascii="Arial" w:cs="Arial" w:hAnsi="Arial"/>
          <w:sz w:val="22"/>
        </w:rPr>
        <w:t>支持 JSON 实时流、CSV 历史数据、Excel 报表接入，完成数据清洗、时序对齐（误差≤1 分钟）、结构化存储，保证数据完整性≥90%。</w:t>
      </w:r>
    </w:p>
    <w:p>
      <w:pPr>
        <w:numPr>
          <w:numId w:val="3"/>
        </w:numPr>
        <w:spacing w:before="120" w:after="120" w:line="288" w:lineRule="auto"/>
        <w:ind w:left="0"/>
        <w:jc w:val="left"/>
      </w:pPr>
      <w:r>
        <w:rPr>
          <w:rFonts w:eastAsia="等线" w:ascii="Arial" w:cs="Arial" w:hAnsi="Arial"/>
          <w:b w:val="true"/>
          <w:sz w:val="22"/>
        </w:rPr>
        <w:t>VOCs 预测模块</w:t>
      </w:r>
    </w:p>
    <w:p>
      <w:pPr>
        <w:numPr>
          <w:numId w:val="4"/>
        </w:numPr>
        <w:spacing w:before="120" w:after="120" w:line="288" w:lineRule="auto"/>
        <w:ind w:left="453"/>
        <w:jc w:val="left"/>
      </w:pPr>
      <w:r>
        <w:rPr>
          <w:rFonts w:eastAsia="等线" w:ascii="Arial" w:cs="Arial" w:hAnsi="Arial"/>
          <w:sz w:val="22"/>
        </w:rPr>
        <w:t>基于时序模型（LSTM/Transformer），融合浓度、气象、设备工况数据，实现未来 6 小时浓度预测，准确率≥75%，单次响应≤2 秒。</w:t>
      </w:r>
    </w:p>
    <w:p>
      <w:pPr>
        <w:numPr>
          <w:numId w:val="5"/>
        </w:numPr>
        <w:spacing w:before="120" w:after="120" w:line="288" w:lineRule="auto"/>
        <w:ind w:left="0"/>
        <w:jc w:val="left"/>
      </w:pPr>
      <w:r>
        <w:rPr>
          <w:rFonts w:eastAsia="等线" w:ascii="Arial" w:cs="Arial" w:hAnsi="Arial"/>
          <w:b w:val="true"/>
          <w:sz w:val="22"/>
        </w:rPr>
        <w:t>可视化监控看板</w:t>
      </w:r>
    </w:p>
    <w:p>
      <w:pPr>
        <w:numPr>
          <w:numId w:val="6"/>
        </w:numPr>
        <w:spacing w:before="120" w:after="120" w:line="288" w:lineRule="auto"/>
        <w:ind w:left="453"/>
        <w:jc w:val="left"/>
      </w:pPr>
      <w:r>
        <w:rPr>
          <w:rFonts w:eastAsia="等线" w:ascii="Arial" w:cs="Arial" w:hAnsi="Arial"/>
          <w:sz w:val="22"/>
        </w:rPr>
        <w:t>开发 Web 前端，展示实时浓度、预测曲线、预警列表，支持交互查询与报告导出，页面加载≤5 秒，适配主流浏览器。</w:t>
      </w:r>
    </w:p>
    <w:p>
      <w:pPr>
        <w:numPr>
          <w:numId w:val="7"/>
        </w:numPr>
        <w:spacing w:before="120" w:after="120" w:line="288" w:lineRule="auto"/>
        <w:ind w:left="0"/>
        <w:jc w:val="left"/>
      </w:pPr>
      <w:r>
        <w:rPr>
          <w:rFonts w:eastAsia="等线" w:ascii="Arial" w:cs="Arial" w:hAnsi="Arial"/>
          <w:b w:val="true"/>
          <w:sz w:val="22"/>
        </w:rPr>
        <w:t>Docker 部署</w:t>
      </w:r>
    </w:p>
    <w:p>
      <w:pPr>
        <w:numPr>
          <w:numId w:val="8"/>
        </w:numPr>
        <w:spacing w:before="120" w:after="120" w:line="288" w:lineRule="auto"/>
        <w:ind w:left="453"/>
        <w:jc w:val="left"/>
      </w:pPr>
      <w:r>
        <w:rPr>
          <w:rFonts w:eastAsia="等线" w:ascii="Arial" w:cs="Arial" w:hAnsi="Arial"/>
          <w:sz w:val="22"/>
        </w:rPr>
        <w:t>实现容器化部署，步骤≤5 步，支持本地 / 云服务器运行。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三、核心创新点</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创新 1：双端协同处置体系（管理端 + 一线应急端）</w:t>
      </w:r>
      <w:bookmarkEnd w:id="3"/>
    </w:p>
    <w:p>
      <w:pPr>
        <w:numPr>
          <w:numId w:val="9"/>
        </w:numPr>
        <w:spacing w:before="120" w:after="120" w:line="288" w:lineRule="auto"/>
        <w:ind w:left="0"/>
        <w:jc w:val="left"/>
      </w:pPr>
      <w:r>
        <w:rPr>
          <w:rFonts w:eastAsia="等线" w:ascii="Arial" w:cs="Arial" w:hAnsi="Arial"/>
          <w:b w:val="true"/>
          <w:sz w:val="22"/>
        </w:rPr>
        <w:t>管理端（PC 大屏）</w:t>
      </w:r>
      <w:r>
        <w:rPr>
          <w:rFonts w:eastAsia="等线" w:ascii="Arial" w:cs="Arial" w:hAnsi="Arial"/>
          <w:sz w:val="22"/>
        </w:rPr>
        <w:t>：全局监控园区浓度热力、预测趋势，调度预警任务，生成治理复盘报表，满足环保管理团队决策需求。</w:t>
      </w:r>
    </w:p>
    <w:p>
      <w:pPr>
        <w:numPr>
          <w:numId w:val="10"/>
        </w:numPr>
        <w:spacing w:before="120" w:after="120" w:line="288" w:lineRule="auto"/>
        <w:ind w:left="0"/>
        <w:jc w:val="left"/>
      </w:pPr>
      <w:r>
        <w:rPr>
          <w:rFonts w:eastAsia="等线" w:ascii="Arial" w:cs="Arial" w:hAnsi="Arial"/>
          <w:b w:val="true"/>
          <w:sz w:val="22"/>
        </w:rPr>
        <w:t>一线应急端（轻量 Web / 移动端）</w:t>
      </w:r>
      <w:r>
        <w:rPr>
          <w:rFonts w:eastAsia="等线" w:ascii="Arial" w:cs="Arial" w:hAnsi="Arial"/>
          <w:sz w:val="22"/>
        </w:rPr>
        <w:t>：接收实时预警，查看超标点位详情，上传处置结果与现场照片，同步状态至管理端，实现 “指挥 - 执行” 高效联动。</w:t>
      </w:r>
    </w:p>
    <w:p>
      <w:pPr>
        <w:numPr>
          <w:numId w:val="11"/>
        </w:numPr>
        <w:spacing w:before="120" w:after="120" w:line="288" w:lineRule="auto"/>
        <w:ind w:left="0"/>
        <w:jc w:val="left"/>
      </w:pPr>
      <w:r>
        <w:rPr>
          <w:rFonts w:eastAsia="等线" w:ascii="Arial" w:cs="Arial" w:hAnsi="Arial"/>
          <w:b w:val="true"/>
          <w:sz w:val="22"/>
        </w:rPr>
        <w:t>赛题契合</w:t>
      </w:r>
      <w:r>
        <w:rPr>
          <w:rFonts w:eastAsia="等线" w:ascii="Arial" w:cs="Arial" w:hAnsi="Arial"/>
          <w:sz w:val="22"/>
        </w:rPr>
        <w:t>：扩展赛题 “可视化监控” 为业务闭环，提升项目实用性与工业价值。</w:t>
      </w:r>
    </w:p>
    <w:p>
      <w:pPr>
        <w:pStyle w:val="3"/>
        <w:spacing w:before="300" w:after="120" w:line="288" w:lineRule="auto"/>
        <w:ind w:left="0"/>
        <w:jc w:val="left"/>
        <w:outlineLvl w:val="2"/>
      </w:pPr>
      <w:bookmarkStart w:name="heading_4" w:id="4"/>
      <w:r>
        <w:rPr>
          <w:rFonts w:eastAsia="等线" w:ascii="Arial" w:cs="Arial" w:hAnsi="Arial"/>
          <w:b w:val="true"/>
          <w:sz w:val="30"/>
        </w:rPr>
        <w:t>创新 2：AI 治理智能体（数据分析 + 异常诊断 + 决策辅助）</w:t>
      </w:r>
      <w:bookmarkEnd w:id="4"/>
    </w:p>
    <w:p>
      <w:pPr>
        <w:numPr>
          <w:numId w:val="12"/>
        </w:numPr>
        <w:spacing w:before="120" w:after="120" w:line="288" w:lineRule="auto"/>
        <w:ind w:left="0"/>
        <w:jc w:val="left"/>
      </w:pPr>
      <w:r>
        <w:rPr>
          <w:rFonts w:eastAsia="等线" w:ascii="Arial" w:cs="Arial" w:hAnsi="Arial"/>
          <w:sz w:val="22"/>
        </w:rPr>
        <w:t>自动分析多源数据，识别浓度异常波动，溯源成因（设备负荷 / 气象 / 工况），生成标准化处置建议与专业报告。</w:t>
      </w:r>
    </w:p>
    <w:p>
      <w:pPr>
        <w:numPr>
          <w:numId w:val="13"/>
        </w:numPr>
        <w:spacing w:before="120" w:after="120" w:line="288" w:lineRule="auto"/>
        <w:ind w:left="0"/>
        <w:jc w:val="left"/>
      </w:pPr>
      <w:r>
        <w:rPr>
          <w:rFonts w:eastAsia="等线" w:ascii="Arial" w:cs="Arial" w:hAnsi="Arial"/>
          <w:sz w:val="22"/>
        </w:rPr>
        <w:t>替代人工 70% 以上分析工作量，实现 “数据→洞察→决策” 的 AI 驱动，体现智能计算核心优势。</w:t>
      </w:r>
    </w:p>
    <w:p>
      <w:pPr>
        <w:numPr>
          <w:numId w:val="14"/>
        </w:numPr>
        <w:spacing w:before="120" w:after="120" w:line="288" w:lineRule="auto"/>
        <w:ind w:left="0"/>
        <w:jc w:val="left"/>
      </w:pPr>
      <w:r>
        <w:rPr>
          <w:rFonts w:eastAsia="等线" w:ascii="Arial" w:cs="Arial" w:hAnsi="Arial"/>
          <w:b w:val="true"/>
          <w:sz w:val="22"/>
        </w:rPr>
        <w:t>赛题契合</w:t>
      </w:r>
      <w:r>
        <w:rPr>
          <w:rFonts w:eastAsia="等线" w:ascii="Arial" w:cs="Arial" w:hAnsi="Arial"/>
          <w:sz w:val="22"/>
        </w:rPr>
        <w:t>：强化赛题 “智能预测” 为 “智能决策”，提升技术深度与评审认可度。</w:t>
      </w:r>
    </w:p>
    <w:p>
      <w:pPr>
        <w:pStyle w:val="3"/>
        <w:spacing w:before="300" w:after="120" w:line="288" w:lineRule="auto"/>
        <w:ind w:left="0"/>
        <w:jc w:val="left"/>
        <w:outlineLvl w:val="2"/>
      </w:pPr>
      <w:bookmarkStart w:name="heading_5" w:id="5"/>
      <w:r>
        <w:rPr>
          <w:rFonts w:eastAsia="等线" w:ascii="Arial" w:cs="Arial" w:hAnsi="Arial"/>
          <w:b w:val="true"/>
          <w:sz w:val="30"/>
        </w:rPr>
        <w:t>创新 3：处置后持续跟踪闭环机制</w:t>
      </w:r>
      <w:bookmarkEnd w:id="5"/>
    </w:p>
    <w:p>
      <w:pPr>
        <w:numPr>
          <w:numId w:val="15"/>
        </w:numPr>
        <w:spacing w:before="120" w:after="120" w:line="288" w:lineRule="auto"/>
        <w:ind w:left="0"/>
        <w:jc w:val="left"/>
      </w:pPr>
      <w:r>
        <w:rPr>
          <w:rFonts w:eastAsia="等线" w:ascii="Arial" w:cs="Arial" w:hAnsi="Arial"/>
          <w:sz w:val="22"/>
        </w:rPr>
        <w:t>异常处置完成后，系统自动持续监测 24~72 小时：</w:t>
      </w:r>
    </w:p>
    <w:p>
      <w:pPr>
        <w:numPr>
          <w:numId w:val="16"/>
        </w:numPr>
        <w:spacing w:before="120" w:after="120" w:line="288" w:lineRule="auto"/>
        <w:ind w:left="453"/>
        <w:jc w:val="left"/>
      </w:pPr>
      <w:r>
        <w:rPr>
          <w:rFonts w:eastAsia="等线" w:ascii="Arial" w:cs="Arial" w:hAnsi="Arial"/>
          <w:sz w:val="22"/>
        </w:rPr>
        <w:t>浓度稳定回落至阈值以下→自动解除跟进；</w:t>
      </w:r>
    </w:p>
    <w:p>
      <w:pPr>
        <w:numPr>
          <w:numId w:val="17"/>
        </w:numPr>
        <w:spacing w:before="120" w:after="120" w:line="288" w:lineRule="auto"/>
        <w:ind w:left="453"/>
        <w:jc w:val="left"/>
      </w:pPr>
      <w:r>
        <w:rPr>
          <w:rFonts w:eastAsia="等线" w:ascii="Arial" w:cs="Arial" w:hAnsi="Arial"/>
          <w:sz w:val="22"/>
        </w:rPr>
        <w:t>再次反弹→升级预警并重新派单，形成 “预警 - 派单 - 处置 - 跟踪 - 解除” 完整安全闭环。</w:t>
      </w:r>
    </w:p>
    <w:p>
      <w:pPr>
        <w:spacing w:before="120" w:after="120" w:line="288" w:lineRule="auto"/>
        <w:ind w:left="0"/>
        <w:jc w:val="left"/>
      </w:pPr>
      <w:r>
        <w:rPr>
          <w:rFonts w:eastAsia="等线" w:ascii="Arial" w:cs="Arial" w:hAnsi="Arial"/>
          <w:sz w:val="22"/>
        </w:rPr>
        <w:t>新增</w:t>
      </w:r>
      <w:r>
        <w:rPr>
          <w:rFonts w:eastAsia="等线" w:ascii="Arial" w:cs="Arial" w:hAnsi="Arial"/>
          <w:b w:val="true"/>
          <w:sz w:val="22"/>
        </w:rPr>
        <w:t>持续跟踪专属可视化看板</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sz w:val="22"/>
        </w:rPr>
        <w:t>展示 “处置前浓度峰值→处置中浓度变化→处置后 24~72 小时浓度回落曲线” 对比图，直观呈现治理效果；</w:t>
      </w:r>
    </w:p>
    <w:p>
      <w:pPr>
        <w:numPr>
          <w:numId w:val="19"/>
        </w:numPr>
        <w:spacing w:before="120" w:after="120" w:line="288" w:lineRule="auto"/>
        <w:ind w:left="0"/>
        <w:jc w:val="left"/>
      </w:pPr>
      <w:r>
        <w:rPr>
          <w:rFonts w:eastAsia="等线" w:ascii="Arial" w:cs="Arial" w:hAnsi="Arial"/>
          <w:sz w:val="22"/>
        </w:rPr>
        <w:t>叠加 “安全阈值线”，用不同颜色标注 “达标区间 / 预警区间 / 超标区间”，支持一键导出对比报告；</w:t>
      </w:r>
    </w:p>
    <w:p>
      <w:pPr>
        <w:numPr>
          <w:numId w:val="20"/>
        </w:numPr>
        <w:spacing w:before="120" w:after="120" w:line="288" w:lineRule="auto"/>
        <w:ind w:left="0"/>
        <w:jc w:val="left"/>
      </w:pPr>
      <w:r>
        <w:rPr>
          <w:rFonts w:eastAsia="等线" w:ascii="Arial" w:cs="Arial" w:hAnsi="Arial"/>
          <w:sz w:val="22"/>
        </w:rPr>
        <w:t>对反弹案例，自动生成 “二次预警溯源分析图”，关联反弹时段的设备 / 气象数据，辅助复盘优化。</w:t>
      </w:r>
    </w:p>
    <w:p>
      <w:pPr>
        <w:numPr>
          <w:numId w:val="21"/>
        </w:numPr>
        <w:spacing w:before="120" w:after="120" w:line="288" w:lineRule="auto"/>
        <w:ind w:left="0"/>
        <w:jc w:val="left"/>
      </w:pPr>
      <w:r>
        <w:rPr>
          <w:rFonts w:eastAsia="等线" w:ascii="Arial" w:cs="Arial" w:hAnsi="Arial"/>
          <w:b w:val="true"/>
          <w:sz w:val="22"/>
        </w:rPr>
        <w:t>赛题契合</w:t>
      </w:r>
      <w:r>
        <w:rPr>
          <w:rFonts w:eastAsia="等线" w:ascii="Arial" w:cs="Arial" w:hAnsi="Arial"/>
          <w:sz w:val="22"/>
        </w:rPr>
        <w:t>：补全赛题缺失的 “治理闭环”，体现工业场景全流程管理能力。</w:t>
      </w:r>
    </w:p>
    <w:p>
      <w:pPr>
        <w:pStyle w:val="3"/>
        <w:spacing w:before="300" w:after="120" w:line="288" w:lineRule="auto"/>
        <w:ind w:left="0"/>
        <w:jc w:val="left"/>
        <w:outlineLvl w:val="2"/>
      </w:pPr>
      <w:bookmarkStart w:name="heading_6" w:id="6"/>
      <w:r>
        <w:rPr>
          <w:rFonts w:eastAsia="等线" w:ascii="Arial" w:cs="Arial" w:hAnsi="Arial"/>
          <w:b w:val="true"/>
          <w:sz w:val="30"/>
        </w:rPr>
        <w:t>创新 4：多因子加权时序预测模型</w:t>
      </w:r>
      <w:bookmarkEnd w:id="6"/>
    </w:p>
    <w:p>
      <w:pPr>
        <w:numPr>
          <w:numId w:val="22"/>
        </w:numPr>
        <w:spacing w:before="120" w:after="120" w:line="288" w:lineRule="auto"/>
        <w:ind w:left="0"/>
        <w:jc w:val="left"/>
      </w:pPr>
      <w:r>
        <w:rPr>
          <w:rFonts w:eastAsia="等线" w:ascii="Arial" w:cs="Arial" w:hAnsi="Arial"/>
          <w:sz w:val="22"/>
        </w:rPr>
        <w:t>融入温度、湿度、风速、设备负荷等特征，通过注意力机制动态分配权重，提升预测准确率至 80%+（超赛题 75% 要求），应对浓度突变场景更鲁棒。</w:t>
      </w:r>
    </w:p>
    <w:p>
      <w:pPr>
        <w:numPr>
          <w:numId w:val="23"/>
        </w:numPr>
        <w:spacing w:before="120" w:after="120" w:line="288" w:lineRule="auto"/>
        <w:ind w:left="0"/>
        <w:jc w:val="left"/>
      </w:pPr>
      <w:r>
        <w:rPr>
          <w:rFonts w:eastAsia="等线" w:ascii="Arial" w:cs="Arial" w:hAnsi="Arial"/>
          <w:b w:val="true"/>
          <w:sz w:val="22"/>
        </w:rPr>
        <w:t>赛题契合</w:t>
      </w:r>
      <w:r>
        <w:rPr>
          <w:rFonts w:eastAsia="等线" w:ascii="Arial" w:cs="Arial" w:hAnsi="Arial"/>
          <w:sz w:val="22"/>
        </w:rPr>
        <w:t>：优化赛题 “VOCs 预测” 性能，直接命中量化指标评分点。</w:t>
      </w:r>
    </w:p>
    <w:p>
      <w:pPr>
        <w:pStyle w:val="3"/>
        <w:spacing w:before="300" w:after="120" w:line="288" w:lineRule="auto"/>
        <w:ind w:left="0"/>
        <w:jc w:val="left"/>
        <w:outlineLvl w:val="2"/>
      </w:pPr>
      <w:bookmarkStart w:name="heading_7" w:id="7"/>
      <w:r>
        <w:rPr>
          <w:rFonts w:eastAsia="等线" w:ascii="Arial" w:cs="Arial" w:hAnsi="Arial"/>
          <w:b w:val="true"/>
          <w:sz w:val="30"/>
        </w:rPr>
        <w:t>创新 5：3D 数字孪生可视化看板</w:t>
      </w:r>
      <w:bookmarkEnd w:id="7"/>
    </w:p>
    <w:p>
      <w:pPr>
        <w:numPr>
          <w:numId w:val="24"/>
        </w:numPr>
        <w:spacing w:before="120" w:after="120" w:line="288" w:lineRule="auto"/>
        <w:ind w:left="0"/>
        <w:jc w:val="left"/>
      </w:pPr>
      <w:r>
        <w:rPr>
          <w:rFonts w:eastAsia="等线" w:ascii="Arial" w:cs="Arial" w:hAnsi="Arial"/>
          <w:sz w:val="22"/>
        </w:rPr>
        <w:t>基于 Three.js 构建化工园区 3D 模型，实时渲染浓度热力图、预警点位、预测趋势，比传统 2D 看板更直观，演示效果极具冲击力。</w:t>
      </w:r>
    </w:p>
    <w:p>
      <w:pPr>
        <w:numPr>
          <w:numId w:val="25"/>
        </w:numPr>
        <w:spacing w:before="120" w:after="120" w:line="288" w:lineRule="auto"/>
        <w:ind w:left="0"/>
        <w:jc w:val="left"/>
      </w:pPr>
      <w:r>
        <w:rPr>
          <w:rFonts w:eastAsia="等线" w:ascii="Arial" w:cs="Arial" w:hAnsi="Arial"/>
          <w:b w:val="true"/>
          <w:sz w:val="22"/>
        </w:rPr>
        <w:t>赛题契合</w:t>
      </w:r>
      <w:r>
        <w:rPr>
          <w:rFonts w:eastAsia="等线" w:ascii="Arial" w:cs="Arial" w:hAnsi="Arial"/>
          <w:sz w:val="22"/>
        </w:rPr>
        <w:t>：升级赛题 “可视化监控” 为沉浸式交互，提升用户体验与评审印象分。</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四、技术方案</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1. </w:t>
      </w:r>
      <w:r>
        <w:rPr>
          <w:rFonts w:eastAsia="等线" w:ascii="Arial" w:cs="Arial" w:hAnsi="Arial"/>
          <w:b w:val="true"/>
          <w:sz w:val="32"/>
        </w:rPr>
        <w:t>项目定位与建设目标</w:t>
      </w:r>
      <w:bookmarkEnd w:id="9"/>
    </w:p>
    <w:p>
      <w:pPr>
        <w:spacing w:before="120" w:after="120" w:line="288" w:lineRule="auto"/>
        <w:ind w:left="0"/>
        <w:jc w:val="left"/>
      </w:pPr>
      <w:r>
        <w:rPr>
          <w:rFonts w:eastAsia="等线" w:ascii="Arial" w:cs="Arial" w:hAnsi="Arial"/>
          <w:sz w:val="22"/>
        </w:rPr>
        <w:t xml:space="preserve">本方案面向 A26“面向化工园区的多源废气智能治理系统开发”赛题，聚焦其中最具工程落地价值的废气监测、检测建模与预警场景，目标是在命题方已提供数据集与样例工程的基础上，形成一套可直接用于竞赛答辩、系统开发与后续演示的完整技术解决方案。方案既遵循赛题对多源数据融合、VOCs 六小时预测、可视化监控和 Docker 部署的基础要求，也结合现有 </w:t>
      </w:r>
      <w:r>
        <w:rPr>
          <w:rFonts w:eastAsia="Consolas" w:ascii="Consolas" w:cs="Consolas" w:hAnsi="Consolas"/>
          <w:sz w:val="22"/>
          <w:shd w:fill="EFF0F1"/>
        </w:rPr>
        <w:t>VOCS</w:t>
      </w:r>
      <w:r>
        <w:rPr>
          <w:rFonts w:eastAsia="等线" w:ascii="Arial" w:cs="Arial" w:hAnsi="Arial"/>
          <w:sz w:val="22"/>
        </w:rPr>
        <w:t xml:space="preserve"> 工程的真实数据结构与接口能力，对监测、预测、预警、异常诊断和预警闭环进行工程化重构。</w:t>
      </w:r>
    </w:p>
    <w:p>
      <w:pPr>
        <w:spacing w:before="120" w:after="120" w:line="288" w:lineRule="auto"/>
        <w:ind w:left="0"/>
        <w:jc w:val="left"/>
      </w:pPr>
      <w:r>
        <w:rPr>
          <w:rFonts w:eastAsia="等线" w:ascii="Arial" w:cs="Arial" w:hAnsi="Arial"/>
          <w:sz w:val="22"/>
        </w:rPr>
        <w:t xml:space="preserve">结合当前目录下的 </w:t>
      </w:r>
      <w:r>
        <w:rPr>
          <w:rFonts w:eastAsia="Consolas" w:ascii="Consolas" w:cs="Consolas" w:hAnsi="Consolas"/>
          <w:sz w:val="22"/>
          <w:shd w:fill="EFF0F1"/>
        </w:rPr>
        <w:t>VOCS/src/data/vocs_dataset.csv</w:t>
      </w:r>
      <w:r>
        <w:rPr>
          <w:rFonts w:eastAsia="等线" w:ascii="Arial" w:cs="Arial" w:hAnsi="Arial"/>
          <w:sz w:val="22"/>
        </w:rPr>
        <w:t>、</w:t>
      </w:r>
      <w:r>
        <w:rPr>
          <w:rFonts w:eastAsia="Consolas" w:ascii="Consolas" w:cs="Consolas" w:hAnsi="Consolas"/>
          <w:sz w:val="22"/>
          <w:shd w:fill="EFF0F1"/>
        </w:rPr>
        <w:t>VOCS/src/data_fusion/sample_data/vocs_realtime.json</w:t>
      </w:r>
      <w:r>
        <w:rPr>
          <w:rFonts w:eastAsia="等线" w:ascii="Arial" w:cs="Arial" w:hAnsi="Arial"/>
          <w:sz w:val="22"/>
        </w:rPr>
        <w:t>、</w:t>
      </w:r>
      <w:r>
        <w:rPr>
          <w:rFonts w:eastAsia="Consolas" w:ascii="Consolas" w:cs="Consolas" w:hAnsi="Consolas"/>
          <w:sz w:val="22"/>
          <w:shd w:fill="EFF0F1"/>
        </w:rPr>
        <w:t>VOCS/src/data_fusion/sample_data/vocs_history.csv</w:t>
      </w:r>
      <w:r>
        <w:rPr>
          <w:rFonts w:eastAsia="等线" w:ascii="Arial" w:cs="Arial" w:hAnsi="Arial"/>
          <w:sz w:val="22"/>
        </w:rPr>
        <w:t xml:space="preserve"> 和 </w:t>
      </w:r>
      <w:r>
        <w:rPr>
          <w:rFonts w:eastAsia="Consolas" w:ascii="Consolas" w:cs="Consolas" w:hAnsi="Consolas"/>
          <w:sz w:val="22"/>
          <w:shd w:fill="EFF0F1"/>
        </w:rPr>
        <w:t>VOCS/src/data_fusion/sample_data/vocs_meteorology.xlsx</w:t>
      </w:r>
      <w:r>
        <w:rPr>
          <w:rFonts w:eastAsia="等线" w:ascii="Arial" w:cs="Arial" w:hAnsi="Arial"/>
          <w:sz w:val="22"/>
        </w:rPr>
        <w:t xml:space="preserve"> 可知，题目已经提供了覆盖实时流、历史表与气象补充表的多源数据基础，因此本项目不以自建硬件为前提，而是以“数据驱动的数字化废气监测系统”为主线，预留未来接入现场 CEMS、边缘传感器阵列和第三方环保平台的标准接口。这样既能贴合命题边界，也能将团队资源集中在模型准确率、系统稳定性和业务闭环三个最关键的评分面向。</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 </w:t>
      </w:r>
      <w:r>
        <w:rPr>
          <w:rFonts w:eastAsia="等线" w:ascii="Arial" w:cs="Arial" w:hAnsi="Arial"/>
          <w:b w:val="true"/>
          <w:sz w:val="32"/>
        </w:rPr>
        <w:t>数据基础与问题定义</w:t>
      </w:r>
      <w:bookmarkEnd w:id="10"/>
    </w:p>
    <w:p>
      <w:pPr>
        <w:spacing w:before="120" w:after="120" w:line="288" w:lineRule="auto"/>
        <w:ind w:left="0"/>
        <w:jc w:val="left"/>
      </w:pPr>
      <w:r>
        <w:rPr>
          <w:rFonts w:eastAsia="等线" w:ascii="Arial" w:cs="Arial" w:hAnsi="Arial"/>
          <w:sz w:val="22"/>
        </w:rPr>
        <w:t xml:space="preserve">现有主数据集 </w:t>
      </w:r>
      <w:r>
        <w:rPr>
          <w:rFonts w:eastAsia="Consolas" w:ascii="Consolas" w:cs="Consolas" w:hAnsi="Consolas"/>
          <w:sz w:val="22"/>
          <w:shd w:fill="EFF0F1"/>
        </w:rPr>
        <w:t>VOCS/src/data/vocs_dataset.csv</w:t>
      </w:r>
      <w:r>
        <w:rPr>
          <w:rFonts w:eastAsia="等线" w:ascii="Arial" w:cs="Arial" w:hAnsi="Arial"/>
          <w:sz w:val="22"/>
        </w:rPr>
        <w:t xml:space="preserve"> 共包含 60000 条记录，时间范围覆盖 2024 年 1 月 1 日至 2025 年 9 月 16 日，时间粒度为 15 分钟，字段总数为 26 列。字段结构可以划分为四类：第一类是环境侧变量，包括 </w:t>
      </w:r>
      <w:r>
        <w:rPr>
          <w:rFonts w:eastAsia="Consolas" w:ascii="Consolas" w:cs="Consolas" w:hAnsi="Consolas"/>
          <w:sz w:val="22"/>
          <w:shd w:fill="EFF0F1"/>
        </w:rPr>
        <w:t>ambient_temp</w:t>
      </w:r>
      <w:r>
        <w:rPr>
          <w:rFonts w:eastAsia="等线" w:ascii="Arial" w:cs="Arial" w:hAnsi="Arial"/>
          <w:sz w:val="22"/>
        </w:rPr>
        <w:t>、</w:t>
      </w:r>
      <w:r>
        <w:rPr>
          <w:rFonts w:eastAsia="Consolas" w:ascii="Consolas" w:cs="Consolas" w:hAnsi="Consolas"/>
          <w:sz w:val="22"/>
          <w:shd w:fill="EFF0F1"/>
        </w:rPr>
        <w:t>ambient_humidity</w:t>
      </w:r>
      <w:r>
        <w:rPr>
          <w:rFonts w:eastAsia="等线" w:ascii="Arial" w:cs="Arial" w:hAnsi="Arial"/>
          <w:sz w:val="22"/>
        </w:rPr>
        <w:t xml:space="preserve"> 和 </w:t>
      </w:r>
      <w:r>
        <w:rPr>
          <w:rFonts w:eastAsia="Consolas" w:ascii="Consolas" w:cs="Consolas" w:hAnsi="Consolas"/>
          <w:sz w:val="22"/>
          <w:shd w:fill="EFF0F1"/>
        </w:rPr>
        <w:t>ambient_pressure</w:t>
      </w:r>
      <w:r>
        <w:rPr>
          <w:rFonts w:eastAsia="等线" w:ascii="Arial" w:cs="Arial" w:hAnsi="Arial"/>
          <w:sz w:val="22"/>
        </w:rPr>
        <w:t xml:space="preserve">；第二类是前端工艺侧变量，包括 </w:t>
      </w:r>
      <w:r>
        <w:rPr>
          <w:rFonts w:eastAsia="Consolas" w:ascii="Consolas" w:cs="Consolas" w:hAnsi="Consolas"/>
          <w:sz w:val="22"/>
          <w:shd w:fill="EFF0F1"/>
        </w:rPr>
        <w:t>coating_flow</w:t>
      </w:r>
      <w:r>
        <w:rPr>
          <w:rFonts w:eastAsia="等线" w:ascii="Arial" w:cs="Arial" w:hAnsi="Arial"/>
          <w:sz w:val="22"/>
        </w:rPr>
        <w:t>、</w:t>
      </w:r>
      <w:r>
        <w:rPr>
          <w:rFonts w:eastAsia="Consolas" w:ascii="Consolas" w:cs="Consolas" w:hAnsi="Consolas"/>
          <w:sz w:val="22"/>
          <w:shd w:fill="EFF0F1"/>
        </w:rPr>
        <w:t>coating_conc</w:t>
      </w:r>
      <w:r>
        <w:rPr>
          <w:rFonts w:eastAsia="等线" w:ascii="Arial" w:cs="Arial" w:hAnsi="Arial"/>
          <w:sz w:val="22"/>
        </w:rPr>
        <w:t>、</w:t>
      </w:r>
      <w:r>
        <w:rPr>
          <w:rFonts w:eastAsia="Consolas" w:ascii="Consolas" w:cs="Consolas" w:hAnsi="Consolas"/>
          <w:sz w:val="22"/>
          <w:shd w:fill="EFF0F1"/>
        </w:rPr>
        <w:t>coating_temp</w:t>
      </w:r>
      <w:r>
        <w:rPr>
          <w:rFonts w:eastAsia="等线" w:ascii="Arial" w:cs="Arial" w:hAnsi="Arial"/>
          <w:sz w:val="22"/>
        </w:rPr>
        <w:t>、</w:t>
      </w:r>
      <w:r>
        <w:rPr>
          <w:rFonts w:eastAsia="Consolas" w:ascii="Consolas" w:cs="Consolas" w:hAnsi="Consolas"/>
          <w:sz w:val="22"/>
          <w:shd w:fill="EFF0F1"/>
        </w:rPr>
        <w:t>coating_pressure</w:t>
      </w:r>
      <w:r>
        <w:rPr>
          <w:rFonts w:eastAsia="等线" w:ascii="Arial" w:cs="Arial" w:hAnsi="Arial"/>
          <w:sz w:val="22"/>
        </w:rPr>
        <w:t xml:space="preserve">；第三类是转轮浓缩与焚烧处理链条变量，包括 </w:t>
      </w:r>
      <w:r>
        <w:rPr>
          <w:rFonts w:eastAsia="Consolas" w:ascii="Consolas" w:cs="Consolas" w:hAnsi="Consolas"/>
          <w:sz w:val="22"/>
          <w:shd w:fill="EFF0F1"/>
        </w:rPr>
        <w:t>rotor_speed</w:t>
      </w:r>
      <w:r>
        <w:rPr>
          <w:rFonts w:eastAsia="等线" w:ascii="Arial" w:cs="Arial" w:hAnsi="Arial"/>
          <w:sz w:val="22"/>
        </w:rPr>
        <w:t>、</w:t>
      </w:r>
      <w:r>
        <w:rPr>
          <w:rFonts w:eastAsia="Consolas" w:ascii="Consolas" w:cs="Consolas" w:hAnsi="Consolas"/>
          <w:sz w:val="22"/>
          <w:shd w:fill="EFF0F1"/>
        </w:rPr>
        <w:t>adsorption_fan_power</w:t>
      </w:r>
      <w:r>
        <w:rPr>
          <w:rFonts w:eastAsia="等线" w:ascii="Arial" w:cs="Arial" w:hAnsi="Arial"/>
          <w:sz w:val="22"/>
        </w:rPr>
        <w:t>、</w:t>
      </w:r>
      <w:r>
        <w:rPr>
          <w:rFonts w:eastAsia="Consolas" w:ascii="Consolas" w:cs="Consolas" w:hAnsi="Consolas"/>
          <w:sz w:val="22"/>
          <w:shd w:fill="EFF0F1"/>
        </w:rPr>
        <w:t>desorption_fan_power</w:t>
      </w:r>
      <w:r>
        <w:rPr>
          <w:rFonts w:eastAsia="等线" w:ascii="Arial" w:cs="Arial" w:hAnsi="Arial"/>
          <w:sz w:val="22"/>
        </w:rPr>
        <w:t>、</w:t>
      </w:r>
      <w:r>
        <w:rPr>
          <w:rFonts w:eastAsia="Consolas" w:ascii="Consolas" w:cs="Consolas" w:hAnsi="Consolas"/>
          <w:sz w:val="22"/>
          <w:shd w:fill="EFF0F1"/>
        </w:rPr>
        <w:t>desorption_temp</w:t>
      </w:r>
      <w:r>
        <w:rPr>
          <w:rFonts w:eastAsia="等线" w:ascii="Arial" w:cs="Arial" w:hAnsi="Arial"/>
          <w:sz w:val="22"/>
        </w:rPr>
        <w:t>、</w:t>
      </w:r>
      <w:r>
        <w:rPr>
          <w:rFonts w:eastAsia="Consolas" w:ascii="Consolas" w:cs="Consolas" w:hAnsi="Consolas"/>
          <w:sz w:val="22"/>
          <w:shd w:fill="EFF0F1"/>
        </w:rPr>
        <w:t>concentrated_flow</w:t>
      </w:r>
      <w:r>
        <w:rPr>
          <w:rFonts w:eastAsia="等线" w:ascii="Arial" w:cs="Arial" w:hAnsi="Arial"/>
          <w:sz w:val="22"/>
        </w:rPr>
        <w:t>、</w:t>
      </w:r>
      <w:r>
        <w:rPr>
          <w:rFonts w:eastAsia="Consolas" w:ascii="Consolas" w:cs="Consolas" w:hAnsi="Consolas"/>
          <w:sz w:val="22"/>
          <w:shd w:fill="EFF0F1"/>
        </w:rPr>
        <w:t>concentrated_conc</w:t>
      </w:r>
      <w:r>
        <w:rPr>
          <w:rFonts w:eastAsia="等线" w:ascii="Arial" w:cs="Arial" w:hAnsi="Arial"/>
          <w:sz w:val="22"/>
        </w:rPr>
        <w:t>、</w:t>
      </w:r>
      <w:r>
        <w:rPr>
          <w:rFonts w:eastAsia="Consolas" w:ascii="Consolas" w:cs="Consolas" w:hAnsi="Consolas"/>
          <w:sz w:val="22"/>
          <w:shd w:fill="EFF0F1"/>
        </w:rPr>
        <w:t>rto_in_flow</w:t>
      </w:r>
      <w:r>
        <w:rPr>
          <w:rFonts w:eastAsia="等线" w:ascii="Arial" w:cs="Arial" w:hAnsi="Arial"/>
          <w:sz w:val="22"/>
        </w:rPr>
        <w:t>、</w:t>
      </w:r>
      <w:r>
        <w:rPr>
          <w:rFonts w:eastAsia="Consolas" w:ascii="Consolas" w:cs="Consolas" w:hAnsi="Consolas"/>
          <w:sz w:val="22"/>
          <w:shd w:fill="EFF0F1"/>
        </w:rPr>
        <w:t>rto_in_conc</w:t>
      </w:r>
      <w:r>
        <w:rPr>
          <w:rFonts w:eastAsia="等线" w:ascii="Arial" w:cs="Arial" w:hAnsi="Arial"/>
          <w:sz w:val="22"/>
        </w:rPr>
        <w:t>、</w:t>
      </w:r>
      <w:r>
        <w:rPr>
          <w:rFonts w:eastAsia="Consolas" w:ascii="Consolas" w:cs="Consolas" w:hAnsi="Consolas"/>
          <w:sz w:val="22"/>
          <w:shd w:fill="EFF0F1"/>
        </w:rPr>
        <w:t>combustion_temp</w:t>
      </w:r>
      <w:r>
        <w:rPr>
          <w:rFonts w:eastAsia="等线" w:ascii="Arial" w:cs="Arial" w:hAnsi="Arial"/>
          <w:sz w:val="22"/>
        </w:rPr>
        <w:t xml:space="preserve"> 等；第四类是结果侧变量，其中 </w:t>
      </w:r>
      <w:r>
        <w:rPr>
          <w:rFonts w:eastAsia="Consolas" w:ascii="Consolas" w:cs="Consolas" w:hAnsi="Consolas"/>
          <w:sz w:val="22"/>
          <w:shd w:fill="EFF0F1"/>
        </w:rPr>
        <w:t>rto_out_conc</w:t>
      </w:r>
      <w:r>
        <w:rPr>
          <w:rFonts w:eastAsia="等线" w:ascii="Arial" w:cs="Arial" w:hAnsi="Arial"/>
          <w:sz w:val="22"/>
        </w:rPr>
        <w:t xml:space="preserve"> 是本方案的核心监测与预测对象，</w:t>
      </w:r>
      <w:r>
        <w:rPr>
          <w:rFonts w:eastAsia="Consolas" w:ascii="Consolas" w:cs="Consolas" w:hAnsi="Consolas"/>
          <w:sz w:val="22"/>
          <w:shd w:fill="EFF0F1"/>
        </w:rPr>
        <w:t>rto_out_temp</w:t>
      </w:r>
      <w:r>
        <w:rPr>
          <w:rFonts w:eastAsia="等线" w:ascii="Arial" w:cs="Arial" w:hAnsi="Arial"/>
          <w:sz w:val="22"/>
        </w:rPr>
        <w:t xml:space="preserve"> 则作为设备状态与处理效果辅助判据。</w:t>
      </w:r>
    </w:p>
    <w:p>
      <w:pPr>
        <w:spacing w:before="120" w:after="120" w:line="288" w:lineRule="auto"/>
        <w:ind w:left="0"/>
        <w:jc w:val="left"/>
      </w:pPr>
      <w:r>
        <w:rPr>
          <w:rFonts w:eastAsia="等线" w:ascii="Arial" w:cs="Arial" w:hAnsi="Arial"/>
          <w:sz w:val="22"/>
        </w:rPr>
        <w:t xml:space="preserve">从监测逻辑上看，A26 的本质不是单纯做浓度曲线展示，而是要把环境条件、工艺负荷、治理装置运行状态和排口结果联立起来，构建“输入扰动识别、处理中间态评估、末端排放预测与超标预警”的完整数字监测链条。现有代码中已经将 </w:t>
      </w:r>
      <w:r>
        <w:rPr>
          <w:rFonts w:eastAsia="Consolas" w:ascii="Consolas" w:cs="Consolas" w:hAnsi="Consolas"/>
          <w:sz w:val="22"/>
          <w:shd w:fill="EFF0F1"/>
        </w:rPr>
        <w:t>rto_out_conc</w:t>
      </w:r>
      <w:r>
        <w:rPr>
          <w:rFonts w:eastAsia="等线" w:ascii="Arial" w:cs="Arial" w:hAnsi="Arial"/>
          <w:sz w:val="22"/>
        </w:rPr>
        <w:t xml:space="preserve"> 作为目标变量，并采用 96 个时间步输入、24 个时间步输出的方式进行序列预测，这与 15 分钟采样粒度正好对应“过去 24 小时观测窗口”和“未来 6 小时预测窗口”，可直接作为赛题中 VOCs 六小时预测模块的工程基线。数据统计结果显示，</w:t>
      </w:r>
      <w:r>
        <w:rPr>
          <w:rFonts w:eastAsia="Consolas" w:ascii="Consolas" w:cs="Consolas" w:hAnsi="Consolas"/>
          <w:sz w:val="22"/>
          <w:shd w:fill="EFF0F1"/>
        </w:rPr>
        <w:t>rto_out_conc</w:t>
      </w:r>
      <w:r>
        <w:rPr>
          <w:rFonts w:eastAsia="等线" w:ascii="Arial" w:cs="Arial" w:hAnsi="Arial"/>
          <w:sz w:val="22"/>
        </w:rPr>
        <w:t xml:space="preserve"> 均值约为 30.48 mg/m³，最大值约为 103.52 mg/m³，超过 80 mg/m³ 的样本共 422 条，说明数据集中既包含稳定运行区间，也包含足以支撑预警建模的异常样本，这使得系统能够同时完成日常监测与风险预警两类任务。</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 </w:t>
      </w:r>
      <w:r>
        <w:rPr>
          <w:rFonts w:eastAsia="等线" w:ascii="Arial" w:cs="Arial" w:hAnsi="Arial"/>
          <w:b w:val="true"/>
          <w:sz w:val="32"/>
        </w:rPr>
        <w:t>总体技术路线</w:t>
      </w:r>
      <w:bookmarkEnd w:id="11"/>
    </w:p>
    <w:p>
      <w:pPr>
        <w:spacing w:before="120" w:after="120" w:line="288" w:lineRule="auto"/>
        <w:ind w:left="0"/>
        <w:jc w:val="left"/>
      </w:pPr>
      <w:r>
        <w:rPr>
          <w:rFonts w:eastAsia="等线" w:ascii="Arial" w:cs="Arial" w:hAnsi="Arial"/>
          <w:sz w:val="22"/>
        </w:rPr>
        <w:t>本方案采用“多源接入层、数据治理层、智能分析层、预警闭环层、可视化交互层”五层架构。多源接入层负责统一接收 JSON 实时流、CSV 历史样本和 Excel 气象补充数据，并通过统一字段映射、时间戳解析和单位标准化完成入湖；数据治理层负责缺失值修补、异常值识别、时序对齐、派生特征构建和结构化存储；智能分析层负责六小时 VOCs 预测、超标预警、异常诊断和监测可信度评估；预警闭环层负责告警确认、处置回填、效果跟踪与复盘归档；可视化交互层则分别向管理端和一线应急端提供实时监控、趋势分析和闭环处置能力。</w:t>
      </w:r>
    </w:p>
    <w:p>
      <w:pPr>
        <w:spacing w:before="120" w:after="120" w:line="288" w:lineRule="auto"/>
        <w:ind w:left="0"/>
        <w:jc w:val="left"/>
      </w:pPr>
      <w:r>
        <w:rPr>
          <w:rFonts w:eastAsia="等线" w:ascii="Arial" w:cs="Arial" w:hAnsi="Arial"/>
          <w:sz w:val="22"/>
        </w:rPr>
        <w:t>该总体架构的核心思想是把“废气监测”从传统单点读数展示升级为多变量耦合的连续检测与判别系统。已有研究表明，空气污染预测问题同时具有显著的时间依赖性、空间关联性与不确定性，单一浅层模型难以稳定捕捉突变与长期依赖，而基于 Transformer、图结构建模和混合式时序网络的方法在复杂空气质量预测任务上具有更好的表示能力和泛化能力[1][3]。与此同时，废气监测场景又不能脱离传感体系与边缘采集架构独立讨论，IoT 接入、现场校准、网络级联合标定和机器学习增强已被证明是空气质量检测系统的主要技术方向[4][6][8]。因此，本方案在工程上采用“稳定可落地的 LSTM/Seq2Seq 基线 + 可升级的 Transformer 多尺度建模 + 可解释的异常诊断模块”的组合路线，以兼顾可交付性与先进性。</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 </w:t>
      </w:r>
      <w:r>
        <w:rPr>
          <w:rFonts w:eastAsia="等线" w:ascii="Arial" w:cs="Arial" w:hAnsi="Arial"/>
          <w:b w:val="true"/>
          <w:sz w:val="32"/>
        </w:rPr>
        <w:t>多源数据接入与治理方案</w:t>
      </w:r>
      <w:bookmarkEnd w:id="12"/>
    </w:p>
    <w:p>
      <w:pPr>
        <w:spacing w:before="120" w:after="120" w:line="288" w:lineRule="auto"/>
        <w:ind w:left="0"/>
        <w:jc w:val="left"/>
      </w:pPr>
      <w:r>
        <w:rPr>
          <w:rFonts w:eastAsia="等线" w:ascii="Arial" w:cs="Arial" w:hAnsi="Arial"/>
          <w:sz w:val="22"/>
        </w:rPr>
        <w:t xml:space="preserve">在数据接入阶段，系统将实时数据、历史数据和补充数据统一抽象为园区废气监测标准消息模型。对于 JSON 实时流，服务端通过 FastAPI 接口接收生产侧在线数据，字段校验遵循 </w:t>
      </w:r>
      <w:r>
        <w:rPr>
          <w:rFonts w:eastAsia="Consolas" w:ascii="Consolas" w:cs="Consolas" w:hAnsi="Consolas"/>
          <w:sz w:val="22"/>
          <w:shd w:fill="EFF0F1"/>
        </w:rPr>
        <w:t>vocs_server.py</w:t>
      </w:r>
      <w:r>
        <w:rPr>
          <w:rFonts w:eastAsia="等线" w:ascii="Arial" w:cs="Arial" w:hAnsi="Arial"/>
          <w:sz w:val="22"/>
        </w:rPr>
        <w:t xml:space="preserve"> 中的 </w:t>
      </w:r>
      <w:r>
        <w:rPr>
          <w:rFonts w:eastAsia="Consolas" w:ascii="Consolas" w:cs="Consolas" w:hAnsi="Consolas"/>
          <w:sz w:val="22"/>
          <w:shd w:fill="EFF0F1"/>
        </w:rPr>
        <w:t>SensorData</w:t>
      </w:r>
      <w:r>
        <w:rPr>
          <w:rFonts w:eastAsia="等线" w:ascii="Arial" w:cs="Arial" w:hAnsi="Arial"/>
          <w:sz w:val="22"/>
        </w:rPr>
        <w:t xml:space="preserve"> 模型；对于 CSV 历史数据，系统按照时间序列批量导入并进行窗口切分；对于 Excel 气象或补充表，则通过字段映射规则合并为增强特征表。考虑到命题方给定数据与真实工业现场常存在采样时间不一致、字段命名不统一和少量缺测的问题，系统在导入时必须完成时间戳标准化、字段别名映射、量纲归一化和采样频率重整，确保全链路数据可被统一消费。</w:t>
      </w:r>
    </w:p>
    <w:p>
      <w:pPr>
        <w:spacing w:before="120" w:after="120" w:line="288" w:lineRule="auto"/>
        <w:ind w:left="0"/>
        <w:jc w:val="left"/>
      </w:pPr>
      <w:r>
        <w:rPr>
          <w:rFonts w:eastAsia="等线" w:ascii="Arial" w:cs="Arial" w:hAnsi="Arial"/>
          <w:sz w:val="22"/>
        </w:rPr>
        <w:t>在数据治理阶段，本方案建议以“先校验、再对齐、后增强”为原则建立标准处理流水线。第一步进行结构校验，剔除非法时间戳、空主键和越界值。第二步进行时序对齐，将实时流和历史表重采样到统一的 15 分钟基准网格，并对短时缺失采用线性插值或最近邻补齐，对长时缺失打上质量标签而不是盲目填充。第三步进行异常处理，对风机功率、燃烧温度、出口浓度等关键变量采用基于物理阈值和滑动窗口统计的双重校验机制，避免模型把传感器毛刺当作真实工况。第四步进行特征增强，在现有工程基础上继续保留时间周期特征、滚动均值、滚动标准差、滚动趋势、差分项与偏离均值项，这类特征能够有效提升模型对工况变化和超标前兆的敏感性。</w:t>
      </w:r>
    </w:p>
    <w:p>
      <w:pPr>
        <w:spacing w:before="120" w:after="120" w:line="288" w:lineRule="auto"/>
        <w:ind w:left="0"/>
        <w:jc w:val="left"/>
      </w:pPr>
      <w:r>
        <w:rPr>
          <w:rFonts w:eastAsia="等线" w:ascii="Arial" w:cs="Arial" w:hAnsi="Arial"/>
          <w:sz w:val="22"/>
        </w:rPr>
        <w:t>低成本空气质量传感器的研究表明，高时间分辨率数据能够显著增强局部污染事件识别能力，但现场传感数据在温湿度漂移、跨设备偏差、站点迁移和长期稳定性方面存在天然局限，因此必须通过环境补偿、机器学习校准和网络级联合标定来提升可用性[5][7]。这对 A26 的启示是，即使当前赛题以现成数据集为主，系统架构也必须预留“参考级数据 + 低成本感知数据 + 工艺状态数据”的融合能力。换言之，本项目现在做的是数字监测软件，但其数据层设计必须具备未来接入真实现场感知网络的扩展性。</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5. </w:t>
      </w:r>
      <w:r>
        <w:rPr>
          <w:rFonts w:eastAsia="等线" w:ascii="Arial" w:cs="Arial" w:hAnsi="Arial"/>
          <w:b w:val="true"/>
          <w:sz w:val="32"/>
        </w:rPr>
        <w:t>废气监测建模与关键指标设计</w:t>
      </w:r>
      <w:bookmarkEnd w:id="13"/>
    </w:p>
    <w:p>
      <w:pPr>
        <w:spacing w:before="120" w:after="120" w:line="288" w:lineRule="auto"/>
        <w:ind w:left="0"/>
        <w:jc w:val="left"/>
      </w:pPr>
      <w:r>
        <w:rPr>
          <w:rFonts w:eastAsia="等线" w:ascii="Arial" w:cs="Arial" w:hAnsi="Arial"/>
          <w:sz w:val="22"/>
        </w:rPr>
        <w:t xml:space="preserve">在监测对象定义上，本方案将 </w:t>
      </w:r>
      <w:r>
        <w:rPr>
          <w:rFonts w:eastAsia="Consolas" w:ascii="Consolas" w:cs="Consolas" w:hAnsi="Consolas"/>
          <w:sz w:val="22"/>
          <w:shd w:fill="EFF0F1"/>
        </w:rPr>
        <w:t>rto_out_conc</w:t>
      </w:r>
      <w:r>
        <w:rPr>
          <w:rFonts w:eastAsia="等线" w:ascii="Arial" w:cs="Arial" w:hAnsi="Arial"/>
          <w:sz w:val="22"/>
        </w:rPr>
        <w:t xml:space="preserve"> 作为主检测指标，这一指标直接对应末端排放状态，是判断系统是否存在超标风险、预测结果是否具备业务意义以及预警是否需要触发的核心变量。与此同时，</w:t>
      </w:r>
      <w:r>
        <w:rPr>
          <w:rFonts w:eastAsia="Consolas" w:ascii="Consolas" w:cs="Consolas" w:hAnsi="Consolas"/>
          <w:sz w:val="22"/>
          <w:shd w:fill="EFF0F1"/>
        </w:rPr>
        <w:t>rto_in_conc</w:t>
      </w:r>
      <w:r>
        <w:rPr>
          <w:rFonts w:eastAsia="等线" w:ascii="Arial" w:cs="Arial" w:hAnsi="Arial"/>
          <w:sz w:val="22"/>
        </w:rPr>
        <w:t>、</w:t>
      </w:r>
      <w:r>
        <w:rPr>
          <w:rFonts w:eastAsia="Consolas" w:ascii="Consolas" w:cs="Consolas" w:hAnsi="Consolas"/>
          <w:sz w:val="22"/>
          <w:shd w:fill="EFF0F1"/>
        </w:rPr>
        <w:t>concentrated_conc</w:t>
      </w:r>
      <w:r>
        <w:rPr>
          <w:rFonts w:eastAsia="等线" w:ascii="Arial" w:cs="Arial" w:hAnsi="Arial"/>
          <w:sz w:val="22"/>
        </w:rPr>
        <w:t>、</w:t>
      </w:r>
      <w:r>
        <w:rPr>
          <w:rFonts w:eastAsia="Consolas" w:ascii="Consolas" w:cs="Consolas" w:hAnsi="Consolas"/>
          <w:sz w:val="22"/>
          <w:shd w:fill="EFF0F1"/>
        </w:rPr>
        <w:t>coating_conc</w:t>
      </w:r>
      <w:r>
        <w:rPr>
          <w:rFonts w:eastAsia="等线" w:ascii="Arial" w:cs="Arial" w:hAnsi="Arial"/>
          <w:sz w:val="22"/>
        </w:rPr>
        <w:t>、</w:t>
      </w:r>
      <w:r>
        <w:rPr>
          <w:rFonts w:eastAsia="Consolas" w:ascii="Consolas" w:cs="Consolas" w:hAnsi="Consolas"/>
          <w:sz w:val="22"/>
          <w:shd w:fill="EFF0F1"/>
        </w:rPr>
        <w:t>combustion_temp</w:t>
      </w:r>
      <w:r>
        <w:rPr>
          <w:rFonts w:eastAsia="等线" w:ascii="Arial" w:cs="Arial" w:hAnsi="Arial"/>
          <w:sz w:val="22"/>
        </w:rPr>
        <w:t>、</w:t>
      </w:r>
      <w:r>
        <w:rPr>
          <w:rFonts w:eastAsia="Consolas" w:ascii="Consolas" w:cs="Consolas" w:hAnsi="Consolas"/>
          <w:sz w:val="22"/>
          <w:shd w:fill="EFF0F1"/>
        </w:rPr>
        <w:t>burner_gas_flow</w:t>
      </w:r>
      <w:r>
        <w:rPr>
          <w:rFonts w:eastAsia="等线" w:ascii="Arial" w:cs="Arial" w:hAnsi="Arial"/>
          <w:sz w:val="22"/>
        </w:rPr>
        <w:t>、</w:t>
      </w:r>
      <w:r>
        <w:rPr>
          <w:rFonts w:eastAsia="Consolas" w:ascii="Consolas" w:cs="Consolas" w:hAnsi="Consolas"/>
          <w:sz w:val="22"/>
          <w:shd w:fill="EFF0F1"/>
        </w:rPr>
        <w:t>rotor_speed</w:t>
      </w:r>
      <w:r>
        <w:rPr>
          <w:rFonts w:eastAsia="等线" w:ascii="Arial" w:cs="Arial" w:hAnsi="Arial"/>
          <w:sz w:val="22"/>
        </w:rPr>
        <w:t xml:space="preserve"> 等变量被定义为过程解释指标，用于刻画污染物在“前端产生、处理中传递、末端排放”这一链路中的传播关系。其中，</w:t>
      </w:r>
      <w:r>
        <w:rPr>
          <w:rFonts w:eastAsia="Consolas" w:ascii="Consolas" w:cs="Consolas" w:hAnsi="Consolas"/>
          <w:sz w:val="22"/>
          <w:shd w:fill="EFF0F1"/>
        </w:rPr>
        <w:t>coating_conc</w:t>
      </w:r>
      <w:r>
        <w:rPr>
          <w:rFonts w:eastAsia="等线" w:ascii="Arial" w:cs="Arial" w:hAnsi="Arial"/>
          <w:sz w:val="22"/>
        </w:rPr>
        <w:t xml:space="preserve"> 和 </w:t>
      </w:r>
      <w:r>
        <w:rPr>
          <w:rFonts w:eastAsia="Consolas" w:ascii="Consolas" w:cs="Consolas" w:hAnsi="Consolas"/>
          <w:sz w:val="22"/>
          <w:shd w:fill="EFF0F1"/>
        </w:rPr>
        <w:t>coating_flow</w:t>
      </w:r>
      <w:r>
        <w:rPr>
          <w:rFonts w:eastAsia="等线" w:ascii="Arial" w:cs="Arial" w:hAnsi="Arial"/>
          <w:sz w:val="22"/>
        </w:rPr>
        <w:t xml:space="preserve"> 反映前端工艺负荷变化，决定废气输入侧的扰动强度；</w:t>
      </w:r>
      <w:r>
        <w:rPr>
          <w:rFonts w:eastAsia="Consolas" w:ascii="Consolas" w:cs="Consolas" w:hAnsi="Consolas"/>
          <w:sz w:val="22"/>
          <w:shd w:fill="EFF0F1"/>
        </w:rPr>
        <w:t>concentrated_conc</w:t>
      </w:r>
      <w:r>
        <w:rPr>
          <w:rFonts w:eastAsia="等线" w:ascii="Arial" w:cs="Arial" w:hAnsi="Arial"/>
          <w:sz w:val="22"/>
        </w:rPr>
        <w:t>、</w:t>
      </w:r>
      <w:r>
        <w:rPr>
          <w:rFonts w:eastAsia="Consolas" w:ascii="Consolas" w:cs="Consolas" w:hAnsi="Consolas"/>
          <w:sz w:val="22"/>
          <w:shd w:fill="EFF0F1"/>
        </w:rPr>
        <w:t>concentrated_flow</w:t>
      </w:r>
      <w:r>
        <w:rPr>
          <w:rFonts w:eastAsia="等线" w:ascii="Arial" w:cs="Arial" w:hAnsi="Arial"/>
          <w:sz w:val="22"/>
        </w:rPr>
        <w:t>、</w:t>
      </w:r>
      <w:r>
        <w:rPr>
          <w:rFonts w:eastAsia="Consolas" w:ascii="Consolas" w:cs="Consolas" w:hAnsi="Consolas"/>
          <w:sz w:val="22"/>
          <w:shd w:fill="EFF0F1"/>
        </w:rPr>
        <w:t>rotor_speed</w:t>
      </w:r>
      <w:r>
        <w:rPr>
          <w:rFonts w:eastAsia="等线" w:ascii="Arial" w:cs="Arial" w:hAnsi="Arial"/>
          <w:sz w:val="22"/>
        </w:rPr>
        <w:t xml:space="preserve"> 等变量反映浓缩转轮阶段的传质与负荷状态；</w:t>
      </w:r>
      <w:r>
        <w:rPr>
          <w:rFonts w:eastAsia="Consolas" w:ascii="Consolas" w:cs="Consolas" w:hAnsi="Consolas"/>
          <w:sz w:val="22"/>
          <w:shd w:fill="EFF0F1"/>
        </w:rPr>
        <w:t>rto_in_conc</w:t>
      </w:r>
      <w:r>
        <w:rPr>
          <w:rFonts w:eastAsia="等线" w:ascii="Arial" w:cs="Arial" w:hAnsi="Arial"/>
          <w:sz w:val="22"/>
        </w:rPr>
        <w:t>、</w:t>
      </w:r>
      <w:r>
        <w:rPr>
          <w:rFonts w:eastAsia="Consolas" w:ascii="Consolas" w:cs="Consolas" w:hAnsi="Consolas"/>
          <w:sz w:val="22"/>
          <w:shd w:fill="EFF0F1"/>
        </w:rPr>
        <w:t>combustion_temp</w:t>
      </w:r>
      <w:r>
        <w:rPr>
          <w:rFonts w:eastAsia="等线" w:ascii="Arial" w:cs="Arial" w:hAnsi="Arial"/>
          <w:sz w:val="22"/>
        </w:rPr>
        <w:t>、</w:t>
      </w:r>
      <w:r>
        <w:rPr>
          <w:rFonts w:eastAsia="Consolas" w:ascii="Consolas" w:cs="Consolas" w:hAnsi="Consolas"/>
          <w:sz w:val="22"/>
          <w:shd w:fill="EFF0F1"/>
        </w:rPr>
        <w:t>burner_gas_flow</w:t>
      </w:r>
      <w:r>
        <w:rPr>
          <w:rFonts w:eastAsia="等线" w:ascii="Arial" w:cs="Arial" w:hAnsi="Arial"/>
          <w:sz w:val="22"/>
        </w:rPr>
        <w:t xml:space="preserve"> 等变量则进一步描述焚烧段是否处于有效处理区间。环境温度、湿度和压力被定义为外部扰动指标，是因为这类变量虽然不直接决定污染物生成，但会影响传感器稳定性、气体扩散条件以及部分工艺参数的响应特征。这样的监测对象划分符合废气处理工艺链的基本逻辑，即前端负荷变化决定输入扰动，中段设备状态影响处理效果，末端出口浓度体现最终排放状态。基于这种定义方式，系统不再局限于回答“当前是否超标”这一静态问题，而是进一步回答“当前风险由哪些变量共同驱动”“哪一段工况变化最值得优先关注”以及“哪些先兆会在未来 1 至 6 小时内放大为超标风险”这三个更具业务价值的问题。</w:t>
      </w:r>
    </w:p>
    <w:p>
      <w:pPr>
        <w:spacing w:before="120" w:after="120" w:line="288" w:lineRule="auto"/>
        <w:ind w:left="0"/>
        <w:jc w:val="left"/>
      </w:pPr>
      <w:r>
        <w:rPr>
          <w:rFonts w:eastAsia="等线" w:ascii="Arial" w:cs="Arial" w:hAnsi="Arial"/>
          <w:sz w:val="22"/>
        </w:rPr>
        <w:t>在监测指标体系上，本方案建议将数据完整性、实时响应、预测能力和预警有效性作为四类核心指标，并通过多指标联合评价来避免系统性能被单一数字片面代表。数据完整性用于考核导入后可用记录占比、关键字段缺失率和多源对齐成功率，目标不低于 90%，其意义不只是满足赛题要求，更是确保后续模型训练和在线推理建立在可信数据基础之上。实时响应用于考核新数据进入系统后从接收到入库、特征更新、预测计算到页面展示的总耗时，目标控制在 2 秒级，因为对于在线监测平台而言，预测再准确，如果更新滞后，也无法形成有效预警。预测能力采用六小时多步预测评价，建议同时统计 MAE、RMSE、R²、趋势方向准确率和超标识别准确率，其中 MAE 与 RMSE 用于衡量数值误差水平，R² 用于衡量整体拟合能力，趋势方向准确率用于评估模型对浓度上升或下降趋势的判断能力，超标识别准确率则直接对应预警场景的实用价值。预警有效性不应只看是否发出了告警，而应通过超标命中率、误报率、平均提前预警时长和处置闭环率综合度量。只有当系统能够在尽量少误报的前提下尽早发现风险，并推动后续确认与处置流程完成时，才能说明这套监测模型真正对齐了工业场景需求。换言之，本方案强调的是“数据质量、实时性、预测精度、预警可用性”四个维度的整体最优，而不是在某一维度上片面追求高分。</w:t>
      </w:r>
    </w:p>
    <w:p>
      <w:pPr>
        <w:spacing w:before="120" w:after="120" w:line="288" w:lineRule="auto"/>
        <w:ind w:left="0"/>
        <w:jc w:val="left"/>
      </w:pPr>
      <w:r>
        <w:rPr>
          <w:rFonts w:eastAsia="等线" w:ascii="Arial" w:cs="Arial" w:hAnsi="Arial"/>
          <w:sz w:val="22"/>
        </w:rPr>
        <w:t xml:space="preserve">已有前沿研究表明，空气质量预测在短期与中长期尺度上往往受不同模式驱动，混合式模型通常比单一结构更稳定，尤其在非平稳、强噪声和多变量耦合场景中更具优势。AirFormer 通过分层时空 Transformer 在大范围监测站点数据上实现了 72 小时预测误差下降，说明自注意力机制在建模复杂时空依赖方面具有明显潜力[1]；TDGTN 通过引入时差图结构强化了时间依赖关系建模，说明图结构与时序建模结合可以更好捕捉相邻时刻和不同状态之间的关联变化[2]；EMD-Transformer-BiLSTM 则证明了对非平稳、高波动序列先分解后建模的有效性，说明在存在明显波动成分和扰动噪声的情况下，分解型混合结构往往能够取得比直接端到端拟合更稳健的结果[3]。基于这些研究结论，本项目在竞赛实现中应采用“工业可交付基线模型 + 可增强升级路线”的双层策略。答辩版本以当前 </w:t>
      </w:r>
      <w:r>
        <w:rPr>
          <w:rFonts w:eastAsia="Consolas" w:ascii="Consolas" w:cs="Consolas" w:hAnsi="Consolas"/>
          <w:sz w:val="22"/>
          <w:shd w:fill="EFF0F1"/>
        </w:rPr>
        <w:t>VOCS</w:t>
      </w:r>
      <w:r>
        <w:rPr>
          <w:rFonts w:eastAsia="等线" w:ascii="Arial" w:cs="Arial" w:hAnsi="Arial"/>
          <w:sz w:val="22"/>
        </w:rPr>
        <w:t xml:space="preserve"> 工程中的改进型 Seq2Seq 注意力模型为主，原因在于该模型已经完成了与现有数据结构的深度绑定，具备明确的 96 步输入、24 步输出窗口设定，已经实现时间周期特征、滚动统计特征、超标样本加权损失和带位置偏置的注意力结构，并且已有训练日志与模型权重支撑，能够保证工程完成度、推理稳定性和答辩演示的可控性。增强版本则在不破坏当前主流程的前提下，继续引入分解模块、图时序结构或 Transformer 编码器，用于提升模型对异常波动、长周期依赖和复杂工况切换的拟合能力。这样设计的好处在于，项目既不会因为盲目追求前沿模型而牺牲工程落地性，也不会停留在传统 LSTM 基线上失去技术深度，而是形成“当前版本可稳定交付、后续版本可持续增强”的清晰技术演进路线。</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6. </w:t>
      </w:r>
      <w:r>
        <w:rPr>
          <w:rFonts w:eastAsia="等线" w:ascii="Arial" w:cs="Arial" w:hAnsi="Arial"/>
          <w:b w:val="true"/>
          <w:sz w:val="32"/>
        </w:rPr>
        <w:t>VOCs 六小时预测与预警方案</w:t>
      </w:r>
      <w:bookmarkEnd w:id="14"/>
    </w:p>
    <w:p>
      <w:pPr>
        <w:spacing w:before="120" w:after="120" w:line="288" w:lineRule="auto"/>
        <w:ind w:left="0"/>
        <w:jc w:val="left"/>
      </w:pPr>
      <w:r>
        <w:rPr>
          <w:rFonts w:eastAsia="等线" w:ascii="Arial" w:cs="Arial" w:hAnsi="Arial"/>
          <w:sz w:val="22"/>
        </w:rPr>
        <w:t xml:space="preserve">基于当前数据粒度和现有工程实现，本方案建议将模型输入窗口固定为 96 个时间步，将输出窗口固定为 24 个时间步，分别对应过去 24 小时和未来 6 小时。模型主干采用编码器—解码器式时序网络，在编码端接收多维工况特征与历史目标值，在解码端逐步生成未来 24 个时刻的 </w:t>
      </w:r>
      <w:r>
        <w:rPr>
          <w:rFonts w:eastAsia="Consolas" w:ascii="Consolas" w:cs="Consolas" w:hAnsi="Consolas"/>
          <w:sz w:val="22"/>
          <w:shd w:fill="EFF0F1"/>
        </w:rPr>
        <w:t>rto_out_conc</w:t>
      </w:r>
      <w:r>
        <w:rPr>
          <w:rFonts w:eastAsia="等线" w:ascii="Arial" w:cs="Arial" w:hAnsi="Arial"/>
          <w:sz w:val="22"/>
        </w:rPr>
        <w:t xml:space="preserve"> 预测值。现有 </w:t>
      </w:r>
      <w:r>
        <w:rPr>
          <w:rFonts w:eastAsia="Consolas" w:ascii="Consolas" w:cs="Consolas" w:hAnsi="Consolas"/>
          <w:sz w:val="22"/>
          <w:shd w:fill="EFF0F1"/>
        </w:rPr>
        <w:t>VOCS/src/vocs_model.py</w:t>
      </w:r>
      <w:r>
        <w:rPr>
          <w:rFonts w:eastAsia="等线" w:ascii="Arial" w:cs="Arial" w:hAnsi="Arial"/>
          <w:sz w:val="22"/>
        </w:rPr>
        <w:t xml:space="preserve"> 已实现时间周期特征、滚动统计特征、超标样本加权损失和带位置偏置的注意力机制，这一结构与赛题目标高度一致，建议保留为一版落地方案，并在此基础上继续加入异常片段重采样、工况状态分段训练和阈值敏感损失函数，从而提升超标前预测能力。</w:t>
      </w:r>
    </w:p>
    <w:p>
      <w:pPr>
        <w:spacing w:before="120" w:after="120" w:line="288" w:lineRule="auto"/>
        <w:ind w:left="0"/>
        <w:jc w:val="left"/>
      </w:pPr>
      <w:r>
        <w:rPr>
          <w:rFonts w:eastAsia="等线" w:ascii="Arial" w:cs="Arial" w:hAnsi="Arial"/>
          <w:sz w:val="22"/>
        </w:rPr>
        <w:t>预测模块在业务上不能只输出一条未来曲线，而必须同步输出风险解释信息。为此，系统在生成未来 24 点预测后，继续计算最大预测值、首次越阈时刻、风险持续时长和置信区间，并给出导致风险抬升的主导特征集合，例如“入口浓度上升 + 焚烧温度下降 + 环境湿度抬升”这类可解释结论。对于超阈风险，系统采用三级预警机制：当预测峰值逼近阈值时触发关注预警，当未来窗口内存在明确超阈点位时触发处置预警，当峰值远超阈值并伴随持续上升趋势时触发严重预警。这样设计的好处在于，系统不再被动等待排口数据已经超标后才发出告警，而是通过预测模块提前介入，争取处置时间。</w:t>
      </w:r>
    </w:p>
    <w:p>
      <w:pPr>
        <w:spacing w:before="120" w:after="120" w:line="288" w:lineRule="auto"/>
        <w:ind w:left="0"/>
        <w:jc w:val="left"/>
      </w:pPr>
      <w:r>
        <w:rPr>
          <w:rFonts w:eastAsia="等线" w:ascii="Arial" w:cs="Arial" w:hAnsi="Arial"/>
          <w:sz w:val="22"/>
        </w:rPr>
        <w:t xml:space="preserve">从现有代码看，服务端已经设置了 80 mg/m³ 的预警阈值，并在预测结果中保留 </w:t>
      </w:r>
      <w:r>
        <w:rPr>
          <w:rFonts w:eastAsia="Consolas" w:ascii="Consolas" w:cs="Consolas" w:hAnsi="Consolas"/>
          <w:sz w:val="22"/>
          <w:shd w:fill="EFF0F1"/>
        </w:rPr>
        <w:t>alert_triggered</w:t>
      </w:r>
      <w:r>
        <w:rPr>
          <w:rFonts w:eastAsia="等线" w:ascii="Arial" w:cs="Arial" w:hAnsi="Arial"/>
          <w:sz w:val="22"/>
        </w:rPr>
        <w:t>、</w:t>
      </w:r>
      <w:r>
        <w:rPr>
          <w:rFonts w:eastAsia="Consolas" w:ascii="Consolas" w:cs="Consolas" w:hAnsi="Consolas"/>
          <w:sz w:val="22"/>
          <w:shd w:fill="EFF0F1"/>
        </w:rPr>
        <w:t>alert_message</w:t>
      </w:r>
      <w:r>
        <w:rPr>
          <w:rFonts w:eastAsia="等线" w:ascii="Arial" w:cs="Arial" w:hAnsi="Arial"/>
          <w:sz w:val="22"/>
        </w:rPr>
        <w:t xml:space="preserve"> 和 </w:t>
      </w:r>
      <w:r>
        <w:rPr>
          <w:rFonts w:eastAsia="Consolas" w:ascii="Consolas" w:cs="Consolas" w:hAnsi="Consolas"/>
          <w:sz w:val="22"/>
          <w:shd w:fill="EFF0F1"/>
        </w:rPr>
        <w:t>prediction_type</w:t>
      </w:r>
      <w:r>
        <w:rPr>
          <w:rFonts w:eastAsia="等线" w:ascii="Arial" w:cs="Arial" w:hAnsi="Arial"/>
          <w:sz w:val="22"/>
        </w:rPr>
        <w:t xml:space="preserve"> 等字段，这为赛题演示提供了直接基础。方案建议在此基础上进一步增加动态阈值与工况阈值双规则。静态阈值用于满足演示与竞赛口径统一，动态阈值则根据设备运行阶段、换线状态或特定生产班次自适应收紧阈值，从而减少低风险阶段误报和高风险阶段漏报。对于评审展示，可以重点演示“当前值未超标，但系统提前 2 至 4 小时发出超标趋势告警”的场景，这将明显增强项目的智能感。</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7. </w:t>
      </w:r>
      <w:r>
        <w:rPr>
          <w:rFonts w:eastAsia="等线" w:ascii="Arial" w:cs="Arial" w:hAnsi="Arial"/>
          <w:b w:val="true"/>
          <w:sz w:val="32"/>
        </w:rPr>
        <w:t>异常诊断与预警闭环方案</w:t>
      </w:r>
      <w:bookmarkEnd w:id="15"/>
    </w:p>
    <w:p>
      <w:pPr>
        <w:spacing w:before="120" w:after="120" w:line="288" w:lineRule="auto"/>
        <w:ind w:left="0"/>
        <w:jc w:val="left"/>
      </w:pPr>
      <w:r>
        <w:rPr>
          <w:rFonts w:eastAsia="等线" w:ascii="Arial" w:cs="Arial" w:hAnsi="Arial"/>
          <w:sz w:val="22"/>
        </w:rPr>
        <w:t>化工园区废气监测的真正难点不在于看到超标，而在于判断告警是否可信、异常由哪些监测因素共同触发，以及应优先检查哪一类工况。因此，本方案把异常诊断作为与预测模块并列的关键能力。系统在发现超标或高风险预警后，将自动回溯预警发生前 24 小时内的关键变量轨迹，计算入口浓度、浓缩负荷、焚烧温度、燃气消耗、风机功率和环境条件对末端浓度抬升的相对贡献顺序，并形成面向业务人员的自然语言诊断结论。对于多次重复发生的异常，系统还会自动识别“共性工况画像”，为后续模型调参与阈值优化提供依据。</w:t>
      </w:r>
    </w:p>
    <w:p>
      <w:pPr>
        <w:spacing w:before="120" w:after="120" w:line="288" w:lineRule="auto"/>
        <w:ind w:left="0"/>
        <w:jc w:val="left"/>
      </w:pPr>
      <w:r>
        <w:rPr>
          <w:rFonts w:eastAsia="等线" w:ascii="Arial" w:cs="Arial" w:hAnsi="Arial"/>
          <w:sz w:val="22"/>
        </w:rPr>
        <w:t>文献研究表明，空气质量监测网络要实现可靠的异常识别与跨场景应用，关键不只在于传感器布点数量，更在于现场校准、网络校准、环境补偿和机器学习增强模型的协同设计[5][7]。这意味着 A26 的异常诊断不能脱离数据质量管理单独建设，而应把“监测可信度评估”和“异常成因分析”放在同一条技术链路中。据此，本方案将异常诊断模块设计为“两层结构”。第一层是工程实时诊断，面向单次告警，快速识别与当前超标最相关的工艺变量和环境变量。第二层是统计复盘诊断，面向周期性分析，通过聚类、贡献度统计和异常模板库归纳高风险工况类型，例如“高入口浓度型”“焚烧温度不足型”“湿度扰动型”“风机负荷异常型”等。这样既能满足实时判别，又能支持后续模型优化。</w:t>
      </w:r>
    </w:p>
    <w:p>
      <w:pPr>
        <w:spacing w:before="120" w:after="120" w:line="288" w:lineRule="auto"/>
        <w:ind w:left="0"/>
        <w:jc w:val="left"/>
      </w:pPr>
      <w:r>
        <w:rPr>
          <w:rFonts w:eastAsia="等线" w:ascii="Arial" w:cs="Arial" w:hAnsi="Arial"/>
          <w:sz w:val="22"/>
        </w:rPr>
        <w:t>预警闭环方面，系统在告警生成后自动创建处置任务，派发给管理端或一线应急端。处置人员完成检查后回填处置动作、设备状态、现场图片和人工备注，系统继续跟踪后续 24 至 72 小时的浓度回落曲线，判断是否真正完成风险解除。如果浓度在短时下降后再次反弹，系统将触发二次预警并关联为同一事件链路，避免“表面恢复、实则反复”的假闭环。该机制能够把传统监测系统从“显示数据”升级为“检测判别加预警闭环”的实用平台，也是竞赛答辩中最容易形成技术说服力的部分。</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8. </w:t>
      </w:r>
      <w:r>
        <w:rPr>
          <w:rFonts w:eastAsia="等线" w:ascii="Arial" w:cs="Arial" w:hAnsi="Arial"/>
          <w:b w:val="true"/>
          <w:sz w:val="32"/>
        </w:rPr>
        <w:t>可视化与交互方案</w:t>
      </w:r>
      <w:bookmarkEnd w:id="16"/>
    </w:p>
    <w:p>
      <w:pPr>
        <w:spacing w:before="120" w:after="120" w:line="288" w:lineRule="auto"/>
        <w:ind w:left="0"/>
        <w:jc w:val="left"/>
      </w:pPr>
      <w:r>
        <w:rPr>
          <w:rFonts w:eastAsia="等线" w:ascii="Arial" w:cs="Arial" w:hAnsi="Arial"/>
          <w:sz w:val="22"/>
        </w:rPr>
        <w:t>可视化层建议采用“管理端大屏 + 一线轻量端”的双端协同架构。管理端面向园区管理者和答辩场景，重点展示实时浓度总览、未来 6 小时预测曲线、预警列表、关键工艺指标联动图、历史回溯和治理闭环进度，并支持按时间、设备状态和风险等级进行交互筛选。一线轻量端则聚焦于接收预警、查看当前异常详情、执行确认和上传处置结果，以减少现场人员操作负担。</w:t>
      </w:r>
    </w:p>
    <w:p>
      <w:pPr>
        <w:spacing w:before="120" w:after="120" w:line="288" w:lineRule="auto"/>
        <w:ind w:left="0"/>
        <w:jc w:val="left"/>
      </w:pPr>
      <w:r>
        <w:rPr>
          <w:rFonts w:eastAsia="等线" w:ascii="Arial" w:cs="Arial" w:hAnsi="Arial"/>
          <w:sz w:val="22"/>
        </w:rPr>
        <w:t>在图形设计上，建议保留二维曲线与热力卡片作为主展示方式，同时按你们原技术方案思路预留 3D 园区数字孪生的增强模式。对竞赛答辩而言，二维界面能够保证信息完整和逻辑清晰，3D 模式则可作为亮点模块用于增强展示冲击力。重点不是炫技，而是让评委直观看到“实时监测值、未来预测值、告警阈值、处置结果和回落效果”是如何被统一串联到一个页面里的。</w:t>
      </w:r>
    </w:p>
    <w:p>
      <w:pPr>
        <w:spacing w:before="120" w:after="120" w:line="288" w:lineRule="auto"/>
        <w:ind w:left="0"/>
        <w:jc w:val="left"/>
      </w:pPr>
      <w:r>
        <w:rPr>
          <w:rFonts w:eastAsia="等线" w:ascii="Arial" w:cs="Arial" w:hAnsi="Arial"/>
          <w:sz w:val="22"/>
        </w:rPr>
        <w:t xml:space="preserve">现有 </w:t>
      </w:r>
      <w:r>
        <w:rPr>
          <w:rFonts w:eastAsia="Consolas" w:ascii="Consolas" w:cs="Consolas" w:hAnsi="Consolas"/>
          <w:sz w:val="22"/>
          <w:shd w:fill="EFF0F1"/>
        </w:rPr>
        <w:t>VOCS</w:t>
      </w:r>
      <w:r>
        <w:rPr>
          <w:rFonts w:eastAsia="等线" w:ascii="Arial" w:cs="Arial" w:hAnsi="Arial"/>
          <w:sz w:val="22"/>
        </w:rPr>
        <w:t xml:space="preserve"> 目录已经包含 </w:t>
      </w:r>
      <w:r>
        <w:rPr>
          <w:rFonts w:eastAsia="Consolas" w:ascii="Consolas" w:cs="Consolas" w:hAnsi="Consolas"/>
          <w:sz w:val="22"/>
          <w:shd w:fill="EFF0F1"/>
        </w:rPr>
        <w:t>FastAPI + PyTorch</w:t>
      </w:r>
      <w:r>
        <w:rPr>
          <w:rFonts w:eastAsia="等线" w:ascii="Arial" w:cs="Arial" w:hAnsi="Arial"/>
          <w:sz w:val="22"/>
        </w:rPr>
        <w:t xml:space="preserve"> 后端、</w:t>
      </w:r>
      <w:r>
        <w:rPr>
          <w:rFonts w:eastAsia="Consolas" w:ascii="Consolas" w:cs="Consolas" w:hAnsi="Consolas"/>
          <w:sz w:val="22"/>
          <w:shd w:fill="EFF0F1"/>
        </w:rPr>
        <w:t>nginx</w:t>
      </w:r>
      <w:r>
        <w:rPr>
          <w:rFonts w:eastAsia="等线" w:ascii="Arial" w:cs="Arial" w:hAnsi="Arial"/>
          <w:sz w:val="22"/>
        </w:rPr>
        <w:t xml:space="preserve"> 和前端工程 </w:t>
      </w:r>
      <w:r>
        <w:rPr>
          <w:rFonts w:eastAsia="Consolas" w:ascii="Consolas" w:cs="Consolas" w:hAnsi="Consolas"/>
          <w:sz w:val="22"/>
          <w:shd w:fill="EFF0F1"/>
        </w:rPr>
        <w:t>vocs-project</w:t>
      </w:r>
      <w:r>
        <w:rPr>
          <w:rFonts w:eastAsia="等线" w:ascii="Arial" w:cs="Arial" w:hAnsi="Arial"/>
          <w:sz w:val="22"/>
        </w:rPr>
        <w:t xml:space="preserve">，说明项目原型具备较完整的可交互基础。本方案建议在现有页面上重点强化四类视图。第一类是工艺链视图，把涂布、浓缩、RTO 焚烧和排口结果用流程化方式串起来。第二类是趋势联动视图，让 </w:t>
      </w:r>
      <w:r>
        <w:rPr>
          <w:rFonts w:eastAsia="Consolas" w:ascii="Consolas" w:cs="Consolas" w:hAnsi="Consolas"/>
          <w:sz w:val="22"/>
          <w:shd w:fill="EFF0F1"/>
        </w:rPr>
        <w:t>coating_conc</w:t>
      </w:r>
      <w:r>
        <w:rPr>
          <w:rFonts w:eastAsia="等线" w:ascii="Arial" w:cs="Arial" w:hAnsi="Arial"/>
          <w:sz w:val="22"/>
        </w:rPr>
        <w:t>、</w:t>
      </w:r>
      <w:r>
        <w:rPr>
          <w:rFonts w:eastAsia="Consolas" w:ascii="Consolas" w:cs="Consolas" w:hAnsi="Consolas"/>
          <w:sz w:val="22"/>
          <w:shd w:fill="EFF0F1"/>
        </w:rPr>
        <w:t>rto_in_conc</w:t>
      </w:r>
      <w:r>
        <w:rPr>
          <w:rFonts w:eastAsia="等线" w:ascii="Arial" w:cs="Arial" w:hAnsi="Arial"/>
          <w:sz w:val="22"/>
        </w:rPr>
        <w:t>、</w:t>
      </w:r>
      <w:r>
        <w:rPr>
          <w:rFonts w:eastAsia="Consolas" w:ascii="Consolas" w:cs="Consolas" w:hAnsi="Consolas"/>
          <w:sz w:val="22"/>
          <w:shd w:fill="EFF0F1"/>
        </w:rPr>
        <w:t>combustion_temp</w:t>
      </w:r>
      <w:r>
        <w:rPr>
          <w:rFonts w:eastAsia="等线" w:ascii="Arial" w:cs="Arial" w:hAnsi="Arial"/>
          <w:sz w:val="22"/>
        </w:rPr>
        <w:t xml:space="preserve"> 与 </w:t>
      </w:r>
      <w:r>
        <w:rPr>
          <w:rFonts w:eastAsia="Consolas" w:ascii="Consolas" w:cs="Consolas" w:hAnsi="Consolas"/>
          <w:sz w:val="22"/>
          <w:shd w:fill="EFF0F1"/>
        </w:rPr>
        <w:t>rto_out_conc</w:t>
      </w:r>
      <w:r>
        <w:rPr>
          <w:rFonts w:eastAsia="等线" w:ascii="Arial" w:cs="Arial" w:hAnsi="Arial"/>
          <w:sz w:val="22"/>
        </w:rPr>
        <w:t xml:space="preserve"> 同屏对照，突出异常传播逻辑。第三类是预测预警视图，以未来 24 点预测曲线为核心叠加阈值线和风险标签。第四类是处置复盘视图，展示预警发生、人工处置和浓度回落之间的全过程证据链。</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9. </w:t>
      </w:r>
      <w:r>
        <w:rPr>
          <w:rFonts w:eastAsia="等线" w:ascii="Arial" w:cs="Arial" w:hAnsi="Arial"/>
          <w:b w:val="true"/>
          <w:sz w:val="32"/>
        </w:rPr>
        <w:t>系统实现与部署方案</w:t>
      </w:r>
      <w:bookmarkEnd w:id="17"/>
    </w:p>
    <w:p>
      <w:pPr>
        <w:spacing w:before="120" w:after="120" w:line="288" w:lineRule="auto"/>
        <w:ind w:left="0"/>
        <w:jc w:val="left"/>
      </w:pPr>
      <w:r>
        <w:rPr>
          <w:rFonts w:eastAsia="等线" w:ascii="Arial" w:cs="Arial" w:hAnsi="Arial"/>
          <w:sz w:val="22"/>
        </w:rPr>
        <w:t xml:space="preserve">后端服务建议延续现有 FastAPI 方案，负责数据接入、模型推理、告警管理、历史查询和流式推送；模型推理采用 PyTorch 加载训练好的 </w:t>
      </w:r>
      <w:r>
        <w:rPr>
          <w:rFonts w:eastAsia="Consolas" w:ascii="Consolas" w:cs="Consolas" w:hAnsi="Consolas"/>
          <w:sz w:val="22"/>
          <w:shd w:fill="EFF0F1"/>
        </w:rPr>
        <w:t>vocs_seq2seq_v2_best.pth</w:t>
      </w:r>
      <w:r>
        <w:rPr>
          <w:rFonts w:eastAsia="等线" w:ascii="Arial" w:cs="Arial" w:hAnsi="Arial"/>
          <w:sz w:val="22"/>
        </w:rPr>
        <w:t xml:space="preserve">；前端采用现有 Vite 工程继续开发，并通过 Nginx 进行静态资源分发与反向代理；数据存储可在当前样例阶段使用 CSV 与 SQLite 维持轻量部署，在正式成品阶段切换为 PostgreSQL 或 TimescaleDB，以支撑更高并发和更强时序查询能力。部署方式上可沿用当前 </w:t>
      </w:r>
      <w:r>
        <w:rPr>
          <w:rFonts w:eastAsia="Consolas" w:ascii="Consolas" w:cs="Consolas" w:hAnsi="Consolas"/>
          <w:sz w:val="22"/>
          <w:shd w:fill="EFF0F1"/>
        </w:rPr>
        <w:t>Dockerfile</w:t>
      </w:r>
      <w:r>
        <w:rPr>
          <w:rFonts w:eastAsia="等线" w:ascii="Arial" w:cs="Arial" w:hAnsi="Arial"/>
          <w:sz w:val="22"/>
        </w:rPr>
        <w:t xml:space="preserve"> 与 </w:t>
      </w:r>
      <w:r>
        <w:rPr>
          <w:rFonts w:eastAsia="Consolas" w:ascii="Consolas" w:cs="Consolas" w:hAnsi="Consolas"/>
          <w:sz w:val="22"/>
          <w:shd w:fill="EFF0F1"/>
        </w:rPr>
        <w:t>docker-compose.yml</w:t>
      </w:r>
      <w:r>
        <w:rPr>
          <w:rFonts w:eastAsia="等线" w:ascii="Arial" w:cs="Arial" w:hAnsi="Arial"/>
          <w:sz w:val="22"/>
        </w:rPr>
        <w:t>，保证在本地演示机和云服务器环境下均能一键启动。</w:t>
      </w:r>
    </w:p>
    <w:p>
      <w:pPr>
        <w:spacing w:before="120" w:after="120" w:line="288" w:lineRule="auto"/>
        <w:ind w:left="0"/>
        <w:jc w:val="left"/>
      </w:pPr>
      <w:r>
        <w:rPr>
          <w:rFonts w:eastAsia="等线" w:ascii="Arial" w:cs="Arial" w:hAnsi="Arial"/>
          <w:sz w:val="22"/>
        </w:rPr>
        <w:t>从工程稳定性考虑，系统需要增加四项关键保障能力。其一是模型与数据版本管理，每次训练输出都应固化模型文件、Scaler、训练日志和评估报告，确保答辩时可追溯。其二是接口幂等与容错，对重复上传、乱序时间戳和临时断流进行容错处理。其三是推理降级机制，当模型未加载或输入窗口不足时自动降级为统计型 warmup 预测，避免前端空白。其四是日志与监控，对接口延迟、数据接收量、告警数量和模型调用次数进行持续记录，为演示与排障提供支撑。</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10. </w:t>
      </w:r>
      <w:r>
        <w:rPr>
          <w:rFonts w:eastAsia="等线" w:ascii="Arial" w:cs="Arial" w:hAnsi="Arial"/>
          <w:b w:val="true"/>
          <w:sz w:val="32"/>
        </w:rPr>
        <w:t>项目创新点与竞赛表达重点</w:t>
      </w:r>
      <w:bookmarkEnd w:id="18"/>
    </w:p>
    <w:p>
      <w:pPr>
        <w:spacing w:before="120" w:after="120" w:line="288" w:lineRule="auto"/>
        <w:ind w:left="0"/>
        <w:jc w:val="left"/>
      </w:pPr>
      <w:r>
        <w:rPr>
          <w:rFonts w:eastAsia="等线" w:ascii="Arial" w:cs="Arial" w:hAnsi="Arial"/>
          <w:sz w:val="22"/>
        </w:rPr>
        <w:t>本方案的创新不在于单独提出某个新模型，而在于把“数据接入、监测校准、时序预测、风险预警、异常诊断、可视化复盘”整合为完整的工业废气检测方案。第一，方案直接基于赛题给定数据集和现有工程落地，不依赖额外硬件，具备高可实现性。第二，方案将六小时 VOCs 预测与工艺解释结合，避免只输出黑盒数值。第三，方案将监测可信度评估、机器学习校准和网络化检测思路融入系统设计，使方案不只停留在单模型预测，而是具备更完整的检测技术路径。第四，方案在结构上兼容未来接入现场多点传感器阵列与 CEMS 系统，为后续产业化扩展保留空间。第五，方案的技术叙事与文献证据一致，即空气质量预测模型、现场校准、网络级标定与机器学习增强共同构成新一代环境监测系统的主要方向[1][4][7]。</w:t>
      </w:r>
    </w:p>
    <w:p>
      <w:pPr>
        <w:spacing w:before="120" w:after="120" w:line="288" w:lineRule="auto"/>
        <w:ind w:left="0"/>
        <w:jc w:val="left"/>
      </w:pPr>
      <w:r>
        <w:rPr>
          <w:rFonts w:eastAsia="等线" w:ascii="Arial" w:cs="Arial" w:hAnsi="Arial"/>
          <w:sz w:val="22"/>
        </w:rPr>
        <w:t>对于答辩表达，建议将项目核心价值概括为一句话：本系统不是简单地“看到废气数据”，而是能够“基于多源监测数据完成空气质量检测建模、提前 6 小时预测废气风险、诊断异常成因并驱动预警闭环”的多源废气智能监测平台。只要这个逻辑在演示中被完整展示，A26 的项目价值、技术深度与工程落地性就会形成统一闭环。</w:t>
      </w:r>
    </w:p>
    <w:p>
      <w:pPr>
        <w:pStyle w:val="2"/>
        <w:spacing w:before="320" w:after="120" w:line="288" w:lineRule="auto"/>
        <w:ind w:left="0"/>
        <w:jc w:val="left"/>
        <w:outlineLvl w:val="1"/>
      </w:pPr>
      <w:bookmarkStart w:name="heading_19" w:id="19"/>
      <w:r>
        <w:rPr>
          <w:rFonts w:eastAsia="等线" w:ascii="Arial" w:cs="Arial" w:hAnsi="Arial"/>
          <w:b w:val="true"/>
          <w:sz w:val="32"/>
        </w:rPr>
        <w:t>参考文献</w:t>
      </w:r>
      <w:bookmarkEnd w:id="19"/>
    </w:p>
    <w:p>
      <w:pPr>
        <w:spacing w:before="120" w:after="120" w:line="288" w:lineRule="auto"/>
        <w:ind w:left="0"/>
        <w:jc w:val="left"/>
      </w:pPr>
      <w:r>
        <w:rPr>
          <w:rFonts w:eastAsia="等线" w:ascii="Arial" w:cs="Arial" w:hAnsi="Arial"/>
          <w:sz w:val="22"/>
        </w:rPr>
        <w:t xml:space="preserve">[1] Liang, Y., Xia, Y., Ke, S., Wang, Y., Wen, Q., Zhang, J., Zheng, Y., Zimmermann, R. AirFormer: Predicting Nationwide Air Quality in China with Transformers. AAAI 2023. </w:t>
      </w:r>
      <w:hyperlink r:id="rId10">
        <w:r>
          <w:rPr>
            <w:rFonts w:eastAsia="等线" w:ascii="Arial" w:cs="Arial" w:hAnsi="Arial"/>
            <w:color w:val="3370ff"/>
            <w:sz w:val="22"/>
          </w:rPr>
          <w:t>https://ojs.aaai.org/index.php/AAAI/article/view/26676</w:t>
        </w:r>
      </w:hyperlink>
    </w:p>
    <w:p>
      <w:pPr>
        <w:spacing w:before="120" w:after="120" w:line="288" w:lineRule="auto"/>
        <w:ind w:left="0"/>
        <w:jc w:val="left"/>
      </w:pPr>
      <w:r>
        <w:rPr>
          <w:rFonts w:eastAsia="等线" w:ascii="Arial" w:cs="Arial" w:hAnsi="Arial"/>
          <w:sz w:val="22"/>
        </w:rPr>
        <w:t xml:space="preserve">[2] Zhang, Z., Zhang, S., Zhao, X., Chen, L., Yao, J. Temporal Difference-Based Graph Transformer Networks For Air Quality PM2.5 Prediction: A Case Study in China. Frontiers in Environmental Science, 2022. </w:t>
      </w:r>
      <w:hyperlink r:id="rId11">
        <w:r>
          <w:rPr>
            <w:rFonts w:eastAsia="等线" w:ascii="Arial" w:cs="Arial" w:hAnsi="Arial"/>
            <w:color w:val="3370ff"/>
            <w:sz w:val="22"/>
          </w:rPr>
          <w:t>https://www.frontiersin.org/articles/10.3389/fenvs.2022.924986/full</w:t>
        </w:r>
      </w:hyperlink>
    </w:p>
    <w:p>
      <w:pPr>
        <w:spacing w:before="120" w:after="120" w:line="288" w:lineRule="auto"/>
        <w:ind w:left="0"/>
        <w:jc w:val="left"/>
      </w:pPr>
      <w:r>
        <w:rPr>
          <w:rFonts w:eastAsia="等线" w:ascii="Arial" w:cs="Arial" w:hAnsi="Arial"/>
          <w:sz w:val="22"/>
        </w:rPr>
        <w:t xml:space="preserve">[3] Dong, J., Zhang, Y., Hu, J. Short-term air quality prediction based on EMD-transformer-BiLSTM. Scientific Reports, 2024. </w:t>
      </w:r>
      <w:hyperlink r:id="rId12">
        <w:r>
          <w:rPr>
            <w:rFonts w:eastAsia="等线" w:ascii="Arial" w:cs="Arial" w:hAnsi="Arial"/>
            <w:color w:val="3370ff"/>
            <w:sz w:val="22"/>
          </w:rPr>
          <w:t>https://www.nature.com/articles/s41598-024-67626-1</w:t>
        </w:r>
      </w:hyperlink>
    </w:p>
    <w:p>
      <w:pPr>
        <w:spacing w:before="120" w:after="120" w:line="288" w:lineRule="auto"/>
        <w:ind w:left="0"/>
        <w:jc w:val="left"/>
      </w:pPr>
      <w:r>
        <w:rPr>
          <w:rFonts w:eastAsia="等线" w:ascii="Arial" w:cs="Arial" w:hAnsi="Arial"/>
          <w:sz w:val="22"/>
        </w:rPr>
        <w:t xml:space="preserve">[4] Popescu, S. M., Mansoor, S., Wani, O. A., Kumar, S. S., Sharma, V., Sharma, A., Arya, V. M., Kirkham, M. B., Hou, D., Bolan, N., Chung, Y. S. Artificial intelligence and IoT driven technologies for environmental pollution monitoring and management. Frontiers in Environmental Science, 2024. </w:t>
      </w:r>
      <w:hyperlink r:id="rId13">
        <w:r>
          <w:rPr>
            <w:rFonts w:eastAsia="等线" w:ascii="Arial" w:cs="Arial" w:hAnsi="Arial"/>
            <w:color w:val="3370ff"/>
            <w:sz w:val="22"/>
          </w:rPr>
          <w:t>https://www.frontiersin.org/articles/10.3389/fenvs.2024.1336088/full</w:t>
        </w:r>
      </w:hyperlink>
    </w:p>
    <w:p>
      <w:pPr>
        <w:spacing w:before="120" w:after="120" w:line="288" w:lineRule="auto"/>
        <w:ind w:left="0"/>
        <w:jc w:val="left"/>
      </w:pPr>
      <w:r>
        <w:rPr>
          <w:rFonts w:eastAsia="等线" w:ascii="Arial" w:cs="Arial" w:hAnsi="Arial"/>
          <w:sz w:val="22"/>
        </w:rPr>
        <w:t xml:space="preserve">[5] Schmitz, S., Towers, S., Villena, G., Caseiro, A., Wegener, R., Klemp, D., Langer, I., Meier, F., von Schneidemesser, E. Unravelling a black box: an open-source methodology for the field calibration of small air quality sensors. Atmospheric Measurement Techniques, 2021. </w:t>
      </w:r>
      <w:hyperlink r:id="rId14">
        <w:r>
          <w:rPr>
            <w:rFonts w:eastAsia="等线" w:ascii="Arial" w:cs="Arial" w:hAnsi="Arial"/>
            <w:color w:val="3370ff"/>
            <w:sz w:val="22"/>
          </w:rPr>
          <w:t>https://amt.copernicus.org/articles/14/7221/2021/</w:t>
        </w:r>
      </w:hyperlink>
    </w:p>
    <w:p>
      <w:pPr>
        <w:spacing w:before="120" w:after="120" w:line="288" w:lineRule="auto"/>
        <w:ind w:left="0"/>
        <w:jc w:val="left"/>
      </w:pPr>
      <w:r>
        <w:rPr>
          <w:rFonts w:eastAsia="等线" w:ascii="Arial" w:cs="Arial" w:hAnsi="Arial"/>
          <w:sz w:val="22"/>
        </w:rPr>
        <w:t xml:space="preserve">[6] deSouza, P., Kahn, R., Stockman, T., Obermann, W., Crawford, B., Wang, A., Crooks, J., Li, J., Kinney, P. Calibrating networks of low-cost air quality sensors. Atmospheric Measurement Techniques, 2022. </w:t>
      </w:r>
      <w:hyperlink r:id="rId15">
        <w:r>
          <w:rPr>
            <w:rFonts w:eastAsia="等线" w:ascii="Arial" w:cs="Arial" w:hAnsi="Arial"/>
            <w:color w:val="3370ff"/>
            <w:sz w:val="22"/>
          </w:rPr>
          <w:t>https://amt.copernicus.org/articles/15/6309/2022/</w:t>
        </w:r>
      </w:hyperlink>
    </w:p>
    <w:p>
      <w:pPr>
        <w:spacing w:before="120" w:after="120" w:line="288" w:lineRule="auto"/>
        <w:ind w:left="0"/>
        <w:jc w:val="left"/>
      </w:pPr>
      <w:r>
        <w:rPr>
          <w:rFonts w:eastAsia="等线" w:ascii="Arial" w:cs="Arial" w:hAnsi="Arial"/>
          <w:sz w:val="22"/>
        </w:rPr>
        <w:t xml:space="preserve">[7] Bush, T., Papaioannou, N., Leach, F., Pope, F. D., Singh, A., Thomas, G. N., Stacey, B., Bartington, S. Machine learning techniques to improve the field performance of low-cost air quality sensors. Atmospheric Measurement Techniques, 2022. </w:t>
      </w:r>
      <w:hyperlink r:id="rId16">
        <w:r>
          <w:rPr>
            <w:rFonts w:eastAsia="等线" w:ascii="Arial" w:cs="Arial" w:hAnsi="Arial"/>
            <w:color w:val="3370ff"/>
            <w:sz w:val="22"/>
          </w:rPr>
          <w:t>https://amt.copernicus.org/articles/15/3261/2022/</w:t>
        </w:r>
      </w:hyperlink>
    </w:p>
    <w:p>
      <w:pPr>
        <w:spacing w:before="120" w:after="120" w:line="288" w:lineRule="auto"/>
        <w:ind w:left="0"/>
        <w:jc w:val="left"/>
      </w:pPr>
      <w:r>
        <w:rPr>
          <w:rFonts w:eastAsia="等线" w:ascii="Arial" w:cs="Arial" w:hAnsi="Arial"/>
          <w:sz w:val="22"/>
        </w:rPr>
        <w:t xml:space="preserve">[8] Si, M., Xiong, Y., Du, S., Du, K. Evaluation and calibration of a low-cost particle sensor in ambient conditions using machine-learning methods. Atmospheric Measurement Techniques, 2020. </w:t>
      </w:r>
      <w:hyperlink r:id="rId17">
        <w:r>
          <w:rPr>
            <w:rFonts w:eastAsia="等线" w:ascii="Arial" w:cs="Arial" w:hAnsi="Arial"/>
            <w:color w:val="3370ff"/>
            <w:sz w:val="22"/>
          </w:rPr>
          <w:t>https://amt.copernicus.org/articles/13/1693/2020/</w:t>
        </w:r>
      </w:hyperlink>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7233">
    <w:lvl>
      <w:start w:val="1"/>
      <w:numFmt w:val="decimal"/>
      <w:suff w:val="tab"/>
      <w:lvlText w:val="%1."/>
      <w:rPr>
        <w:color w:val="3370ff"/>
      </w:rPr>
    </w:lvl>
  </w:abstractNum>
  <w:abstractNum w:abstractNumId="397234">
    <w:lvl>
      <w:numFmt w:val="bullet"/>
      <w:suff w:val="tab"/>
      <w:lvlText w:val="￮"/>
      <w:rPr>
        <w:color w:val="3370ff"/>
      </w:rPr>
    </w:lvl>
  </w:abstractNum>
  <w:abstractNum w:abstractNumId="397235">
    <w:lvl>
      <w:start w:val="2"/>
      <w:numFmt w:val="decimal"/>
      <w:suff w:val="tab"/>
      <w:lvlText w:val="%1."/>
      <w:rPr>
        <w:color w:val="3370ff"/>
      </w:rPr>
    </w:lvl>
  </w:abstractNum>
  <w:abstractNum w:abstractNumId="397236">
    <w:lvl>
      <w:numFmt w:val="bullet"/>
      <w:suff w:val="tab"/>
      <w:lvlText w:val="￮"/>
      <w:rPr>
        <w:color w:val="3370ff"/>
      </w:rPr>
    </w:lvl>
  </w:abstractNum>
  <w:abstractNum w:abstractNumId="397237">
    <w:lvl>
      <w:start w:val="3"/>
      <w:numFmt w:val="decimal"/>
      <w:suff w:val="tab"/>
      <w:lvlText w:val="%1."/>
      <w:rPr>
        <w:color w:val="3370ff"/>
      </w:rPr>
    </w:lvl>
  </w:abstractNum>
  <w:abstractNum w:abstractNumId="397238">
    <w:lvl>
      <w:numFmt w:val="bullet"/>
      <w:suff w:val="tab"/>
      <w:lvlText w:val="￮"/>
      <w:rPr>
        <w:color w:val="3370ff"/>
      </w:rPr>
    </w:lvl>
  </w:abstractNum>
  <w:abstractNum w:abstractNumId="397239">
    <w:lvl>
      <w:start w:val="4"/>
      <w:numFmt w:val="decimal"/>
      <w:suff w:val="tab"/>
      <w:lvlText w:val="%1."/>
      <w:rPr>
        <w:color w:val="3370ff"/>
      </w:rPr>
    </w:lvl>
  </w:abstractNum>
  <w:abstractNum w:abstractNumId="397240">
    <w:lvl>
      <w:numFmt w:val="bullet"/>
      <w:suff w:val="tab"/>
      <w:lvlText w:val="￮"/>
      <w:rPr>
        <w:color w:val="3370ff"/>
      </w:rPr>
    </w:lvl>
  </w:abstractNum>
  <w:abstractNum w:abstractNumId="397241">
    <w:lvl>
      <w:numFmt w:val="bullet"/>
      <w:suff w:val="tab"/>
      <w:lvlText w:val="•"/>
      <w:rPr>
        <w:color w:val="3370ff"/>
      </w:rPr>
    </w:lvl>
  </w:abstractNum>
  <w:abstractNum w:abstractNumId="397242">
    <w:lvl>
      <w:numFmt w:val="bullet"/>
      <w:suff w:val="tab"/>
      <w:lvlText w:val="•"/>
      <w:rPr>
        <w:color w:val="3370ff"/>
      </w:rPr>
    </w:lvl>
  </w:abstractNum>
  <w:abstractNum w:abstractNumId="397243">
    <w:lvl>
      <w:numFmt w:val="bullet"/>
      <w:suff w:val="tab"/>
      <w:lvlText w:val="•"/>
      <w:rPr>
        <w:color w:val="3370ff"/>
      </w:rPr>
    </w:lvl>
  </w:abstractNum>
  <w:abstractNum w:abstractNumId="397244">
    <w:lvl>
      <w:numFmt w:val="bullet"/>
      <w:suff w:val="tab"/>
      <w:lvlText w:val="•"/>
      <w:rPr>
        <w:color w:val="3370ff"/>
      </w:rPr>
    </w:lvl>
  </w:abstractNum>
  <w:abstractNum w:abstractNumId="397245">
    <w:lvl>
      <w:numFmt w:val="bullet"/>
      <w:suff w:val="tab"/>
      <w:lvlText w:val="•"/>
      <w:rPr>
        <w:color w:val="3370ff"/>
      </w:rPr>
    </w:lvl>
  </w:abstractNum>
  <w:abstractNum w:abstractNumId="397246">
    <w:lvl>
      <w:numFmt w:val="bullet"/>
      <w:suff w:val="tab"/>
      <w:lvlText w:val="•"/>
      <w:rPr>
        <w:color w:val="3370ff"/>
      </w:rPr>
    </w:lvl>
  </w:abstractNum>
  <w:abstractNum w:abstractNumId="397247">
    <w:lvl>
      <w:numFmt w:val="bullet"/>
      <w:suff w:val="tab"/>
      <w:lvlText w:val="•"/>
      <w:rPr>
        <w:color w:val="3370ff"/>
      </w:rPr>
    </w:lvl>
  </w:abstractNum>
  <w:abstractNum w:abstractNumId="397248">
    <w:lvl>
      <w:start w:val="1"/>
      <w:numFmt w:val="lowerLetter"/>
      <w:suff w:val="tab"/>
      <w:lvlText w:val="%1."/>
      <w:rPr>
        <w:color w:val="3370ff"/>
      </w:rPr>
    </w:lvl>
  </w:abstractNum>
  <w:abstractNum w:abstractNumId="397249">
    <w:lvl>
      <w:start w:val="2"/>
      <w:numFmt w:val="lowerLetter"/>
      <w:suff w:val="tab"/>
      <w:lvlText w:val="%1."/>
      <w:rPr>
        <w:color w:val="3370ff"/>
      </w:rPr>
    </w:lvl>
  </w:abstractNum>
  <w:abstractNum w:abstractNumId="397250">
    <w:lvl>
      <w:numFmt w:val="bullet"/>
      <w:suff w:val="tab"/>
      <w:lvlText w:val="•"/>
      <w:rPr>
        <w:color w:val="3370ff"/>
      </w:rPr>
    </w:lvl>
  </w:abstractNum>
  <w:abstractNum w:abstractNumId="397251">
    <w:lvl>
      <w:numFmt w:val="bullet"/>
      <w:suff w:val="tab"/>
      <w:lvlText w:val="•"/>
      <w:rPr>
        <w:color w:val="3370ff"/>
      </w:rPr>
    </w:lvl>
  </w:abstractNum>
  <w:abstractNum w:abstractNumId="397252">
    <w:lvl>
      <w:numFmt w:val="bullet"/>
      <w:suff w:val="tab"/>
      <w:lvlText w:val="•"/>
      <w:rPr>
        <w:color w:val="3370ff"/>
      </w:rPr>
    </w:lvl>
  </w:abstractNum>
  <w:abstractNum w:abstractNumId="397253">
    <w:lvl>
      <w:numFmt w:val="bullet"/>
      <w:suff w:val="tab"/>
      <w:lvlText w:val="•"/>
      <w:rPr>
        <w:color w:val="3370ff"/>
      </w:rPr>
    </w:lvl>
  </w:abstractNum>
  <w:abstractNum w:abstractNumId="397254">
    <w:lvl>
      <w:numFmt w:val="bullet"/>
      <w:suff w:val="tab"/>
      <w:lvlText w:val="•"/>
      <w:rPr>
        <w:color w:val="3370ff"/>
      </w:rPr>
    </w:lvl>
  </w:abstractNum>
  <w:abstractNum w:abstractNumId="397255">
    <w:lvl>
      <w:numFmt w:val="bullet"/>
      <w:suff w:val="tab"/>
      <w:lvlText w:val="•"/>
      <w:rPr>
        <w:color w:val="3370ff"/>
      </w:rPr>
    </w:lvl>
  </w:abstractNum>
  <w:abstractNum w:abstractNumId="397256">
    <w:lvl>
      <w:numFmt w:val="bullet"/>
      <w:suff w:val="tab"/>
      <w:lvlText w:val="•"/>
      <w:rPr>
        <w:color w:val="3370ff"/>
      </w:rPr>
    </w:lvl>
  </w:abstractNum>
  <w:abstractNum w:abstractNumId="397257">
    <w:lvl>
      <w:numFmt w:val="bullet"/>
      <w:suff w:val="tab"/>
      <w:lvlText w:val="•"/>
      <w:rPr>
        <w:color w:val="3370ff"/>
      </w:rPr>
    </w:lvl>
  </w:abstractNum>
  <w:num w:numId="1">
    <w:abstractNumId w:val="397233"/>
  </w:num>
  <w:num w:numId="2">
    <w:abstractNumId w:val="397234"/>
  </w:num>
  <w:num w:numId="3">
    <w:abstractNumId w:val="397235"/>
  </w:num>
  <w:num w:numId="4">
    <w:abstractNumId w:val="397236"/>
  </w:num>
  <w:num w:numId="5">
    <w:abstractNumId w:val="397237"/>
  </w:num>
  <w:num w:numId="6">
    <w:abstractNumId w:val="397238"/>
  </w:num>
  <w:num w:numId="7">
    <w:abstractNumId w:val="397239"/>
  </w:num>
  <w:num w:numId="8">
    <w:abstractNumId w:val="397240"/>
  </w:num>
  <w:num w:numId="9">
    <w:abstractNumId w:val="397241"/>
  </w:num>
  <w:num w:numId="10">
    <w:abstractNumId w:val="397242"/>
  </w:num>
  <w:num w:numId="11">
    <w:abstractNumId w:val="397243"/>
  </w:num>
  <w:num w:numId="12">
    <w:abstractNumId w:val="397244"/>
  </w:num>
  <w:num w:numId="13">
    <w:abstractNumId w:val="397245"/>
  </w:num>
  <w:num w:numId="14">
    <w:abstractNumId w:val="397246"/>
  </w:num>
  <w:num w:numId="15">
    <w:abstractNumId w:val="397247"/>
  </w:num>
  <w:num w:numId="16">
    <w:abstractNumId w:val="397248"/>
  </w:num>
  <w:num w:numId="17">
    <w:abstractNumId w:val="397249"/>
  </w:num>
  <w:num w:numId="18">
    <w:abstractNumId w:val="397250"/>
  </w:num>
  <w:num w:numId="19">
    <w:abstractNumId w:val="397251"/>
  </w:num>
  <w:num w:numId="20">
    <w:abstractNumId w:val="397252"/>
  </w:num>
  <w:num w:numId="21">
    <w:abstractNumId w:val="397253"/>
  </w:num>
  <w:num w:numId="22">
    <w:abstractNumId w:val="397254"/>
  </w:num>
  <w:num w:numId="23">
    <w:abstractNumId w:val="397255"/>
  </w:num>
  <w:num w:numId="24">
    <w:abstractNumId w:val="397256"/>
  </w:num>
  <w:num w:numId="25">
    <w:abstractNumId w:val="3972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ojs.aaai.org/index.php/AAAI/article/view/26676" TargetMode="External" Type="http://schemas.openxmlformats.org/officeDocument/2006/relationships/hyperlink"/><Relationship Id="rId11" Target="https://www.frontiersin.org/articles/10.3389/fenvs.2022.924986/full" TargetMode="External" Type="http://schemas.openxmlformats.org/officeDocument/2006/relationships/hyperlink"/><Relationship Id="rId12" Target="https://www.nature.com/articles/s41598-024-67626-1" TargetMode="External" Type="http://schemas.openxmlformats.org/officeDocument/2006/relationships/hyperlink"/><Relationship Id="rId13" Target="https://www.frontiersin.org/articles/10.3389/fenvs.2024.1336088/full" TargetMode="External" Type="http://schemas.openxmlformats.org/officeDocument/2006/relationships/hyperlink"/><Relationship Id="rId14" Target="https://amt.copernicus.org/articles/14/7221/2021/" TargetMode="External" Type="http://schemas.openxmlformats.org/officeDocument/2006/relationships/hyperlink"/><Relationship Id="rId15" Target="https://amt.copernicus.org/articles/15/6309/2022/" TargetMode="External" Type="http://schemas.openxmlformats.org/officeDocument/2006/relationships/hyperlink"/><Relationship Id="rId16" Target="https://amt.copernicus.org/articles/15/3261/2022/" TargetMode="External" Type="http://schemas.openxmlformats.org/officeDocument/2006/relationships/hyperlink"/><Relationship Id="rId17" Target="https://amt.copernicus.org/articles/13/1693/2020/" TargetMode="External" Type="http://schemas.openxmlformats.org/officeDocument/2006/relationships/hyperlink"/><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2026-03-21T08:28:40Z</dcterms:created>
  <dc:creator>Apache POI</dc:creator>
</cp:coreProperties>
</file>