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F7E6D">
      <w:pPr>
        <w:pStyle w:val="4"/>
        <w:spacing w:line="260" w:lineRule="auto"/>
        <w:ind w:left="0" w:leftChars="0" w:firstLine="0" w:firstLineChars="0"/>
      </w:pPr>
    </w:p>
    <w:p w14:paraId="7F494CEC">
      <w:pPr>
        <w:pStyle w:val="4"/>
        <w:spacing w:line="260" w:lineRule="auto"/>
      </w:pPr>
    </w:p>
    <w:p w14:paraId="61034E97">
      <w:pPr>
        <w:pStyle w:val="4"/>
        <w:spacing w:line="260" w:lineRule="auto"/>
      </w:pPr>
    </w:p>
    <w:p w14:paraId="1A559B9A">
      <w:pPr>
        <w:pStyle w:val="4"/>
        <w:spacing w:line="260" w:lineRule="auto"/>
      </w:pPr>
    </w:p>
    <w:p w14:paraId="10C398F3">
      <w:pPr>
        <w:pStyle w:val="4"/>
        <w:spacing w:line="261" w:lineRule="auto"/>
      </w:pPr>
    </w:p>
    <w:p w14:paraId="06CB00A7">
      <w:pPr>
        <w:pStyle w:val="4"/>
        <w:spacing w:line="261" w:lineRule="auto"/>
      </w:pPr>
    </w:p>
    <w:p w14:paraId="3828FCF0">
      <w:pPr>
        <w:pStyle w:val="4"/>
        <w:spacing w:line="261" w:lineRule="auto"/>
      </w:pPr>
    </w:p>
    <w:p w14:paraId="0B1F7ABF">
      <w:pPr>
        <w:spacing w:line="5520" w:lineRule="exact"/>
        <w:ind w:firstLine="1270"/>
      </w:pPr>
      <w:r>
        <w:rPr>
          <w:position w:val="-110"/>
        </w:rPr>
        <w:drawing>
          <wp:inline distT="0" distB="0" distL="0" distR="0">
            <wp:extent cx="4038600" cy="35045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4038600" cy="3505199"/>
                    </a:xfrm>
                    <a:prstGeom prst="rect">
                      <a:avLst/>
                    </a:prstGeom>
                  </pic:spPr>
                </pic:pic>
              </a:graphicData>
            </a:graphic>
          </wp:inline>
        </w:drawing>
      </w:r>
    </w:p>
    <w:p w14:paraId="4E4F1E29">
      <w:pPr>
        <w:pStyle w:val="4"/>
        <w:spacing w:line="364" w:lineRule="auto"/>
      </w:pPr>
    </w:p>
    <w:p w14:paraId="26EE7548">
      <w:pPr>
        <w:spacing w:before="139" w:line="415" w:lineRule="auto"/>
        <w:ind w:left="0" w:leftChars="0" w:right="1395" w:firstLine="0" w:firstLineChars="0"/>
        <w:outlineLvl w:val="0"/>
        <w:rPr>
          <w:rFonts w:ascii="楷体" w:hAnsi="楷体" w:eastAsia="楷体" w:cs="楷体"/>
          <w:sz w:val="43"/>
          <w:szCs w:val="43"/>
        </w:rPr>
      </w:pPr>
      <w:bookmarkStart w:id="0" w:name="_Toc6453"/>
      <w:r>
        <w:rPr>
          <w:rFonts w:ascii="楷体" w:hAnsi="楷体" w:eastAsia="楷体" w:cs="楷体"/>
          <w:b/>
          <w:bCs/>
          <w:spacing w:val="1"/>
          <w:sz w:val="43"/>
          <w:szCs w:val="43"/>
        </w:rPr>
        <w:t>【A03】井盖隐患智能识别</w:t>
      </w:r>
      <w:r>
        <w:rPr>
          <w:rFonts w:ascii="楷体" w:hAnsi="楷体" w:eastAsia="楷体" w:cs="楷体"/>
          <w:b/>
          <w:bCs/>
          <w:spacing w:val="3"/>
          <w:sz w:val="43"/>
          <w:szCs w:val="43"/>
        </w:rPr>
        <w:t>项目详细方案</w:t>
      </w:r>
      <w:bookmarkEnd w:id="0"/>
    </w:p>
    <w:p w14:paraId="3BC09B00">
      <w:pPr>
        <w:pStyle w:val="4"/>
        <w:spacing w:line="269" w:lineRule="auto"/>
      </w:pPr>
    </w:p>
    <w:p w14:paraId="003CBAA4">
      <w:pPr>
        <w:pStyle w:val="4"/>
        <w:spacing w:line="269" w:lineRule="auto"/>
      </w:pPr>
    </w:p>
    <w:p w14:paraId="316B2BA4">
      <w:pPr>
        <w:pStyle w:val="4"/>
        <w:spacing w:line="269" w:lineRule="auto"/>
      </w:pPr>
    </w:p>
    <w:p w14:paraId="20EBF355">
      <w:pPr>
        <w:pStyle w:val="4"/>
        <w:spacing w:line="270" w:lineRule="auto"/>
      </w:pPr>
    </w:p>
    <w:p w14:paraId="33C14D02">
      <w:pPr>
        <w:spacing w:before="117" w:line="238" w:lineRule="auto"/>
        <w:ind w:left="3832"/>
        <w:rPr>
          <w:rFonts w:ascii="楷体" w:hAnsi="楷体" w:eastAsia="楷体" w:cs="楷体"/>
          <w:sz w:val="36"/>
          <w:szCs w:val="36"/>
        </w:rPr>
      </w:pPr>
      <w:r>
        <w:rPr>
          <w:rFonts w:ascii="楷体" w:hAnsi="楷体" w:eastAsia="楷体" w:cs="楷体"/>
          <w:spacing w:val="-2"/>
          <w:sz w:val="36"/>
          <w:szCs w:val="36"/>
        </w:rPr>
        <w:t>2402054</w:t>
      </w:r>
    </w:p>
    <w:p w14:paraId="7747E26A">
      <w:pPr>
        <w:pStyle w:val="4"/>
        <w:spacing w:line="383" w:lineRule="auto"/>
      </w:pPr>
    </w:p>
    <w:p w14:paraId="45C81F2F">
      <w:pPr>
        <w:spacing w:before="117" w:line="217" w:lineRule="auto"/>
        <w:ind w:left="3403"/>
        <w:rPr>
          <w:rFonts w:ascii="楷体" w:hAnsi="楷体" w:eastAsia="楷体" w:cs="楷体"/>
          <w:snapToGrid w:val="0"/>
          <w:color w:val="000000"/>
          <w:kern w:val="0"/>
          <w:sz w:val="21"/>
          <w:szCs w:val="24"/>
          <w:lang w:val="en-US" w:eastAsia="en-US" w:bidi="ar-SA"/>
        </w:rPr>
        <w:sectPr>
          <w:headerReference r:id="rId5" w:type="default"/>
          <w:footerReference r:id="rId6" w:type="default"/>
          <w:pgSz w:w="11907" w:h="16839"/>
          <w:pgMar w:top="1540" w:right="1102" w:bottom="400" w:left="1673" w:header="851" w:footer="0" w:gutter="0"/>
          <w:cols w:space="720" w:num="1"/>
        </w:sectPr>
      </w:pPr>
      <w:r>
        <w:rPr>
          <w:rFonts w:ascii="楷体" w:hAnsi="楷体" w:eastAsia="楷体" w:cs="楷体"/>
          <w:spacing w:val="-5"/>
          <w:sz w:val="36"/>
          <w:szCs w:val="36"/>
        </w:rPr>
        <w:t>北部第一井</w:t>
      </w:r>
    </w:p>
    <w:sdt>
      <w:sdtPr>
        <w:rPr>
          <w:rFonts w:ascii="宋体" w:hAnsi="宋体" w:eastAsia="宋体" w:cs="Arial"/>
          <w:snapToGrid w:val="0"/>
          <w:color w:val="000000"/>
          <w:kern w:val="0"/>
          <w:sz w:val="21"/>
          <w:szCs w:val="21"/>
          <w:lang w:val="en-US" w:eastAsia="en-US" w:bidi="ar-SA"/>
        </w:rPr>
        <w:id w:val="147459962"/>
        <w15:color w:val="DBDBDB"/>
        <w:docPartObj>
          <w:docPartGallery w:val="Table of Contents"/>
          <w:docPartUnique/>
        </w:docPartObj>
      </w:sdtPr>
      <w:sdtEndPr>
        <w:rPr>
          <w:rFonts w:ascii="楷体" w:hAnsi="楷体" w:eastAsia="楷体" w:cs="楷体"/>
          <w:snapToGrid w:val="0"/>
          <w:color w:val="000000"/>
          <w:kern w:val="0"/>
          <w:sz w:val="21"/>
          <w:szCs w:val="24"/>
          <w:lang w:val="en-US" w:eastAsia="en-US" w:bidi="ar-SA"/>
        </w:rPr>
      </w:sdtEndPr>
      <w:sdtContent>
        <w:p w14:paraId="6C7894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98A3FF0">
          <w:pPr>
            <w:pStyle w:val="7"/>
            <w:tabs>
              <w:tab w:val="right" w:leader="dot" w:pos="9132"/>
            </w:tabs>
          </w:pPr>
          <w:r>
            <w:rPr>
              <w:rFonts w:ascii="楷体" w:hAnsi="楷体" w:eastAsia="楷体" w:cs="楷体"/>
              <w:snapToGrid w:val="0"/>
              <w:color w:val="000000"/>
              <w:kern w:val="0"/>
              <w:sz w:val="21"/>
              <w:szCs w:val="24"/>
              <w:lang w:val="en-US" w:eastAsia="en-US" w:bidi="ar-SA"/>
            </w:rPr>
            <w:fldChar w:fldCharType="begin"/>
          </w:r>
          <w:r>
            <w:rPr>
              <w:rFonts w:ascii="楷体" w:hAnsi="楷体" w:eastAsia="楷体" w:cs="楷体"/>
              <w:snapToGrid w:val="0"/>
              <w:color w:val="000000"/>
              <w:kern w:val="0"/>
              <w:sz w:val="21"/>
              <w:szCs w:val="24"/>
              <w:lang w:val="en-US" w:eastAsia="en-US" w:bidi="ar-SA"/>
            </w:rPr>
            <w:instrText xml:space="preserve">TOC \o "1-2" \h \u </w:instrText>
          </w:r>
          <w:r>
            <w:rPr>
              <w:rFonts w:ascii="楷体" w:hAnsi="楷体" w:eastAsia="楷体" w:cs="楷体"/>
              <w:snapToGrid w:val="0"/>
              <w:color w:val="000000"/>
              <w:kern w:val="0"/>
              <w:sz w:val="21"/>
              <w:szCs w:val="24"/>
              <w:lang w:val="en-US" w:eastAsia="en-US" w:bidi="ar-SA"/>
            </w:rPr>
            <w:fldChar w:fldCharType="separate"/>
          </w: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_Toc6453 </w:instrText>
          </w:r>
          <w:r>
            <w:rPr>
              <w:rFonts w:ascii="楷体" w:hAnsi="楷体" w:eastAsia="楷体" w:cs="楷体"/>
              <w:snapToGrid w:val="0"/>
              <w:kern w:val="0"/>
              <w:szCs w:val="24"/>
              <w:lang w:val="en-US" w:eastAsia="en-US" w:bidi="ar-SA"/>
            </w:rPr>
            <w:fldChar w:fldCharType="separate"/>
          </w:r>
          <w:r>
            <w:rPr>
              <w:rFonts w:ascii="楷体" w:hAnsi="楷体" w:eastAsia="楷体" w:cs="楷体"/>
              <w:bCs/>
              <w:spacing w:val="1"/>
              <w:szCs w:val="43"/>
            </w:rPr>
            <w:t>【A03】井盖隐患智能识别</w:t>
          </w:r>
          <w:r>
            <w:rPr>
              <w:rFonts w:ascii="楷体" w:hAnsi="楷体" w:eastAsia="楷体" w:cs="楷体"/>
              <w:bCs/>
              <w:spacing w:val="3"/>
              <w:szCs w:val="43"/>
            </w:rPr>
            <w:t>项目详细方案</w:t>
          </w:r>
          <w:r>
            <w:tab/>
          </w:r>
          <w:r>
            <w:fldChar w:fldCharType="begin"/>
          </w:r>
          <w:r>
            <w:instrText xml:space="preserve"> PAGEREF _Toc6453 \h </w:instrText>
          </w:r>
          <w:r>
            <w:fldChar w:fldCharType="separate"/>
          </w:r>
          <w:r>
            <w:t>1</w:t>
          </w:r>
          <w:r>
            <w:fldChar w:fldCharType="end"/>
          </w:r>
          <w:r>
            <w:rPr>
              <w:rFonts w:ascii="楷体" w:hAnsi="楷体" w:eastAsia="楷体" w:cs="楷体"/>
              <w:snapToGrid w:val="0"/>
              <w:color w:val="000000"/>
              <w:kern w:val="0"/>
              <w:szCs w:val="24"/>
              <w:lang w:val="en-US" w:eastAsia="en-US" w:bidi="ar-SA"/>
            </w:rPr>
            <w:fldChar w:fldCharType="end"/>
          </w:r>
        </w:p>
        <w:p w14:paraId="42BF1395">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_Toc6890 </w:instrText>
          </w:r>
          <w:r>
            <w:rPr>
              <w:rFonts w:ascii="楷体" w:hAnsi="楷体" w:eastAsia="楷体" w:cs="楷体"/>
              <w:snapToGrid w:val="0"/>
              <w:kern w:val="0"/>
              <w:szCs w:val="24"/>
              <w:lang w:val="en-US" w:eastAsia="en-US" w:bidi="ar-SA"/>
            </w:rPr>
            <w:fldChar w:fldCharType="separate"/>
          </w:r>
          <w:r>
            <w:rPr>
              <w:rFonts w:hint="default"/>
            </w:rPr>
            <w:t xml:space="preserve">1. </w:t>
          </w:r>
          <w:r>
            <w:rPr>
              <w:rFonts w:hint="eastAsia"/>
              <w:lang w:val="en-US" w:eastAsia="zh-CN"/>
            </w:rPr>
            <w:t>项目背景</w:t>
          </w:r>
          <w:r>
            <w:tab/>
          </w:r>
          <w:r>
            <w:fldChar w:fldCharType="begin"/>
          </w:r>
          <w:r>
            <w:instrText xml:space="preserve"> PAGEREF _Toc6890 \h </w:instrText>
          </w:r>
          <w:r>
            <w:fldChar w:fldCharType="separate"/>
          </w:r>
          <w:r>
            <w:t>1</w:t>
          </w:r>
          <w:r>
            <w:fldChar w:fldCharType="end"/>
          </w:r>
          <w:r>
            <w:rPr>
              <w:rFonts w:ascii="楷体" w:hAnsi="楷体" w:eastAsia="楷体" w:cs="楷体"/>
              <w:snapToGrid w:val="0"/>
              <w:color w:val="000000"/>
              <w:kern w:val="0"/>
              <w:szCs w:val="24"/>
              <w:lang w:val="en-US" w:eastAsia="en-US" w:bidi="ar-SA"/>
            </w:rPr>
            <w:fldChar w:fldCharType="end"/>
          </w:r>
        </w:p>
        <w:p w14:paraId="5B9193B6">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_Toc8940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2. </w:t>
          </w:r>
          <w:r>
            <w:rPr>
              <w:rFonts w:hint="eastAsia"/>
              <w:lang w:val="en-US" w:eastAsia="zh-CN"/>
            </w:rPr>
            <w:t>需求分析</w:t>
          </w:r>
          <w:r>
            <w:tab/>
          </w:r>
          <w:r>
            <w:fldChar w:fldCharType="begin"/>
          </w:r>
          <w:r>
            <w:instrText xml:space="preserve"> PAGEREF _Toc8940 \h </w:instrText>
          </w:r>
          <w:r>
            <w:fldChar w:fldCharType="separate"/>
          </w:r>
          <w:r>
            <w:t>2</w:t>
          </w:r>
          <w:r>
            <w:fldChar w:fldCharType="end"/>
          </w:r>
          <w:r>
            <w:rPr>
              <w:rFonts w:ascii="楷体" w:hAnsi="楷体" w:eastAsia="楷体" w:cs="楷体"/>
              <w:snapToGrid w:val="0"/>
              <w:color w:val="000000"/>
              <w:kern w:val="0"/>
              <w:szCs w:val="24"/>
              <w:lang w:val="en-US" w:eastAsia="en-US" w:bidi="ar-SA"/>
            </w:rPr>
            <w:fldChar w:fldCharType="end"/>
          </w:r>
        </w:p>
        <w:p w14:paraId="69A1CA57">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_Toc11444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3. </w:t>
          </w:r>
          <w:r>
            <w:rPr>
              <w:rFonts w:hint="eastAsia"/>
              <w:lang w:val="en-US" w:eastAsia="zh-CN"/>
            </w:rPr>
            <w:t>系统设计</w:t>
          </w:r>
          <w:r>
            <w:tab/>
          </w:r>
          <w:r>
            <w:fldChar w:fldCharType="begin"/>
          </w:r>
          <w:r>
            <w:instrText xml:space="preserve"> PAGEREF _Toc11444 \h </w:instrText>
          </w:r>
          <w:r>
            <w:fldChar w:fldCharType="separate"/>
          </w:r>
          <w:r>
            <w:t>3</w:t>
          </w:r>
          <w:r>
            <w:fldChar w:fldCharType="end"/>
          </w:r>
          <w:r>
            <w:rPr>
              <w:rFonts w:ascii="楷体" w:hAnsi="楷体" w:eastAsia="楷体" w:cs="楷体"/>
              <w:snapToGrid w:val="0"/>
              <w:color w:val="000000"/>
              <w:kern w:val="0"/>
              <w:szCs w:val="24"/>
              <w:lang w:val="en-US" w:eastAsia="en-US" w:bidi="ar-SA"/>
            </w:rPr>
            <w:fldChar w:fldCharType="end"/>
          </w:r>
        </w:p>
        <w:p w14:paraId="3565F3D5">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_Toc3680 </w:instrText>
          </w:r>
          <w:r>
            <w:rPr>
              <w:rFonts w:ascii="楷体" w:hAnsi="楷体" w:eastAsia="楷体" w:cs="楷体"/>
              <w:snapToGrid w:val="0"/>
              <w:kern w:val="0"/>
              <w:szCs w:val="24"/>
              <w:lang w:val="en-US" w:eastAsia="en-US" w:bidi="ar-SA"/>
            </w:rPr>
            <w:fldChar w:fldCharType="separate"/>
          </w:r>
          <w:r>
            <w:rPr>
              <w:rFonts w:hint="eastAsia"/>
              <w:lang w:val="en-US" w:eastAsia="zh-CN"/>
            </w:rPr>
            <w:t>3.1 系统架构</w:t>
          </w:r>
          <w:r>
            <w:tab/>
          </w:r>
          <w:r>
            <w:fldChar w:fldCharType="begin"/>
          </w:r>
          <w:r>
            <w:instrText xml:space="preserve"> PAGEREF _Toc3680 \h </w:instrText>
          </w:r>
          <w:r>
            <w:fldChar w:fldCharType="separate"/>
          </w:r>
          <w:r>
            <w:t>3</w:t>
          </w:r>
          <w:r>
            <w:fldChar w:fldCharType="end"/>
          </w:r>
          <w:r>
            <w:rPr>
              <w:rFonts w:ascii="楷体" w:hAnsi="楷体" w:eastAsia="楷体" w:cs="楷体"/>
              <w:snapToGrid w:val="0"/>
              <w:color w:val="000000"/>
              <w:kern w:val="0"/>
              <w:szCs w:val="24"/>
              <w:lang w:val="en-US" w:eastAsia="en-US" w:bidi="ar-SA"/>
            </w:rPr>
            <w:fldChar w:fldCharType="end"/>
          </w:r>
        </w:p>
        <w:p w14:paraId="7169CC15">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_Toc32509 </w:instrText>
          </w:r>
          <w:r>
            <w:rPr>
              <w:rFonts w:ascii="楷体" w:hAnsi="楷体" w:eastAsia="楷体" w:cs="楷体"/>
              <w:snapToGrid w:val="0"/>
              <w:kern w:val="0"/>
              <w:szCs w:val="24"/>
              <w:lang w:val="en-US" w:eastAsia="en-US" w:bidi="ar-SA"/>
            </w:rPr>
            <w:fldChar w:fldCharType="separate"/>
          </w:r>
          <w:r>
            <w:rPr>
              <w:rFonts w:hint="eastAsia"/>
              <w:lang w:val="en-US" w:eastAsia="zh-CN"/>
            </w:rPr>
            <w:t>3.2 功能模块设计</w:t>
          </w:r>
          <w:r>
            <w:tab/>
          </w:r>
          <w:r>
            <w:fldChar w:fldCharType="begin"/>
          </w:r>
          <w:r>
            <w:instrText xml:space="preserve"> PAGEREF _Toc32509 \h </w:instrText>
          </w:r>
          <w:r>
            <w:fldChar w:fldCharType="separate"/>
          </w:r>
          <w:r>
            <w:t>4</w:t>
          </w:r>
          <w:r>
            <w:fldChar w:fldCharType="end"/>
          </w:r>
          <w:r>
            <w:rPr>
              <w:rFonts w:ascii="楷体" w:hAnsi="楷体" w:eastAsia="楷体" w:cs="楷体"/>
              <w:snapToGrid w:val="0"/>
              <w:color w:val="000000"/>
              <w:kern w:val="0"/>
              <w:szCs w:val="24"/>
              <w:lang w:val="en-US" w:eastAsia="en-US" w:bidi="ar-SA"/>
            </w:rPr>
            <w:fldChar w:fldCharType="end"/>
          </w:r>
        </w:p>
        <w:p w14:paraId="30C9AD6F">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_Toc29747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4. </w:t>
          </w:r>
          <w:r>
            <w:rPr>
              <w:rFonts w:hint="eastAsia"/>
              <w:lang w:val="en-US" w:eastAsia="zh-CN"/>
            </w:rPr>
            <w:t>技术路线</w:t>
          </w:r>
          <w:r>
            <w:tab/>
          </w:r>
          <w:r>
            <w:fldChar w:fldCharType="begin"/>
          </w:r>
          <w:r>
            <w:instrText xml:space="preserve"> PAGEREF _Toc29747 \h </w:instrText>
          </w:r>
          <w:r>
            <w:fldChar w:fldCharType="separate"/>
          </w:r>
          <w:r>
            <w:t>6</w:t>
          </w:r>
          <w:r>
            <w:fldChar w:fldCharType="end"/>
          </w:r>
          <w:r>
            <w:rPr>
              <w:rFonts w:ascii="楷体" w:hAnsi="楷体" w:eastAsia="楷体" w:cs="楷体"/>
              <w:snapToGrid w:val="0"/>
              <w:color w:val="000000"/>
              <w:kern w:val="0"/>
              <w:szCs w:val="24"/>
              <w:lang w:val="en-US" w:eastAsia="en-US" w:bidi="ar-SA"/>
            </w:rPr>
            <w:fldChar w:fldCharType="end"/>
          </w:r>
        </w:p>
        <w:p w14:paraId="787A714C">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_Toc26525 </w:instrText>
          </w:r>
          <w:r>
            <w:rPr>
              <w:rFonts w:ascii="楷体" w:hAnsi="楷体" w:eastAsia="楷体" w:cs="楷体"/>
              <w:snapToGrid w:val="0"/>
              <w:kern w:val="0"/>
              <w:szCs w:val="24"/>
              <w:lang w:val="en-US" w:eastAsia="en-US" w:bidi="ar-SA"/>
            </w:rPr>
            <w:fldChar w:fldCharType="separate"/>
          </w:r>
          <w:r>
            <w:rPr>
              <w:rFonts w:hint="eastAsia"/>
              <w:lang w:val="en-US" w:eastAsia="zh-CN"/>
            </w:rPr>
            <w:t xml:space="preserve">4.1 </w:t>
          </w:r>
          <w:r>
            <w:t>基于Seq2Seq+Attention+ Gate的 VOCs 浓度时序预测技术</w:t>
          </w:r>
          <w:r>
            <w:tab/>
          </w:r>
          <w:r>
            <w:fldChar w:fldCharType="begin"/>
          </w:r>
          <w:r>
            <w:instrText xml:space="preserve"> PAGEREF _Toc26525 \h </w:instrText>
          </w:r>
          <w:r>
            <w:fldChar w:fldCharType="separate"/>
          </w:r>
          <w:r>
            <w:t>6</w:t>
          </w:r>
          <w:r>
            <w:fldChar w:fldCharType="end"/>
          </w:r>
          <w:r>
            <w:rPr>
              <w:rFonts w:ascii="楷体" w:hAnsi="楷体" w:eastAsia="楷体" w:cs="楷体"/>
              <w:snapToGrid w:val="0"/>
              <w:color w:val="000000"/>
              <w:kern w:val="0"/>
              <w:szCs w:val="24"/>
              <w:lang w:val="en-US" w:eastAsia="en-US" w:bidi="ar-SA"/>
            </w:rPr>
            <w:fldChar w:fldCharType="end"/>
          </w:r>
        </w:p>
        <w:p w14:paraId="457DAD95">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_Toc23470 </w:instrText>
          </w:r>
          <w:r>
            <w:rPr>
              <w:rFonts w:ascii="楷体" w:hAnsi="楷体" w:eastAsia="楷体" w:cs="楷体"/>
              <w:snapToGrid w:val="0"/>
              <w:kern w:val="0"/>
              <w:szCs w:val="24"/>
              <w:lang w:val="en-US" w:eastAsia="en-US" w:bidi="ar-SA"/>
            </w:rPr>
            <w:fldChar w:fldCharType="separate"/>
          </w:r>
          <w:r>
            <w:rPr>
              <w:rFonts w:hint="eastAsia"/>
              <w:lang w:val="en-US" w:eastAsia="zh-CN"/>
            </w:rPr>
            <w:t xml:space="preserve">4.2 </w:t>
          </w:r>
          <w:r>
            <w:t>基于BGE</w:t>
          </w:r>
          <w:r>
            <w:rPr>
              <w:rFonts w:hint="eastAsia"/>
              <w:lang w:val="en-US" w:eastAsia="zh-CN"/>
            </w:rPr>
            <w:t>-large-zh向量</w:t>
          </w:r>
          <w:r>
            <w:t>模型与</w:t>
          </w:r>
          <w:r>
            <w:rPr>
              <w:rFonts w:hint="eastAsia"/>
              <w:lang w:val="en-US" w:eastAsia="zh-CN"/>
            </w:rPr>
            <w:t>多源标准库</w:t>
          </w:r>
          <w:r>
            <w:t>的</w:t>
          </w:r>
          <w:r>
            <w:rPr>
              <w:rFonts w:hint="eastAsia"/>
              <w:lang w:val="en-US" w:eastAsia="zh-CN"/>
            </w:rPr>
            <w:t>RAG</w:t>
          </w:r>
          <w:r>
            <w:t>智能决策技术</w:t>
          </w:r>
          <w:r>
            <w:tab/>
          </w:r>
          <w:r>
            <w:fldChar w:fldCharType="begin"/>
          </w:r>
          <w:r>
            <w:instrText xml:space="preserve"> PAGEREF _Toc23470 \h </w:instrText>
          </w:r>
          <w:r>
            <w:fldChar w:fldCharType="separate"/>
          </w:r>
          <w:r>
            <w:t>7</w:t>
          </w:r>
          <w:r>
            <w:fldChar w:fldCharType="end"/>
          </w:r>
          <w:r>
            <w:rPr>
              <w:rFonts w:ascii="楷体" w:hAnsi="楷体" w:eastAsia="楷体" w:cs="楷体"/>
              <w:snapToGrid w:val="0"/>
              <w:color w:val="000000"/>
              <w:kern w:val="0"/>
              <w:szCs w:val="24"/>
              <w:lang w:val="en-US" w:eastAsia="en-US" w:bidi="ar-SA"/>
            </w:rPr>
            <w:fldChar w:fldCharType="end"/>
          </w:r>
        </w:p>
        <w:p w14:paraId="03CF3844">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_Toc32320 </w:instrText>
          </w:r>
          <w:r>
            <w:rPr>
              <w:rFonts w:ascii="楷体" w:hAnsi="楷体" w:eastAsia="楷体" w:cs="楷体"/>
              <w:snapToGrid w:val="0"/>
              <w:kern w:val="0"/>
              <w:szCs w:val="24"/>
              <w:lang w:val="en-US" w:eastAsia="en-US" w:bidi="ar-SA"/>
            </w:rPr>
            <w:fldChar w:fldCharType="separate"/>
          </w:r>
          <w:r>
            <w:t>4.3 基于 WebGL 与数字孪生的全要素感知技术</w:t>
          </w:r>
          <w:r>
            <w:tab/>
          </w:r>
          <w:r>
            <w:fldChar w:fldCharType="begin"/>
          </w:r>
          <w:r>
            <w:instrText xml:space="preserve"> PAGEREF _Toc32320 \h </w:instrText>
          </w:r>
          <w:r>
            <w:fldChar w:fldCharType="separate"/>
          </w:r>
          <w:r>
            <w:t>8</w:t>
          </w:r>
          <w:r>
            <w:fldChar w:fldCharType="end"/>
          </w:r>
          <w:r>
            <w:rPr>
              <w:rFonts w:ascii="楷体" w:hAnsi="楷体" w:eastAsia="楷体" w:cs="楷体"/>
              <w:snapToGrid w:val="0"/>
              <w:color w:val="000000"/>
              <w:kern w:val="0"/>
              <w:szCs w:val="24"/>
              <w:lang w:val="en-US" w:eastAsia="en-US" w:bidi="ar-SA"/>
            </w:rPr>
            <w:fldChar w:fldCharType="end"/>
          </w:r>
        </w:p>
        <w:p w14:paraId="4EE8120A">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_Toc7469 </w:instrText>
          </w:r>
          <w:r>
            <w:rPr>
              <w:rFonts w:ascii="楷体" w:hAnsi="楷体" w:eastAsia="楷体" w:cs="楷体"/>
              <w:snapToGrid w:val="0"/>
              <w:kern w:val="0"/>
              <w:szCs w:val="24"/>
              <w:lang w:val="en-US" w:eastAsia="en-US" w:bidi="ar-SA"/>
            </w:rPr>
            <w:fldChar w:fldCharType="separate"/>
          </w:r>
          <w:r>
            <w:rPr>
              <w:rFonts w:hint="eastAsia"/>
              <w:lang w:val="en-US" w:eastAsia="zh-CN"/>
            </w:rPr>
            <w:t xml:space="preserve">4.4 </w:t>
          </w:r>
          <w:r>
            <w:t>基于容器化与异步框架的高性能部署技术</w:t>
          </w:r>
          <w:r>
            <w:tab/>
          </w:r>
          <w:r>
            <w:fldChar w:fldCharType="begin"/>
          </w:r>
          <w:r>
            <w:instrText xml:space="preserve"> PAGEREF _Toc7469 \h </w:instrText>
          </w:r>
          <w:r>
            <w:fldChar w:fldCharType="separate"/>
          </w:r>
          <w:r>
            <w:t>8</w:t>
          </w:r>
          <w:r>
            <w:fldChar w:fldCharType="end"/>
          </w:r>
          <w:r>
            <w:rPr>
              <w:rFonts w:ascii="楷体" w:hAnsi="楷体" w:eastAsia="楷体" w:cs="楷体"/>
              <w:snapToGrid w:val="0"/>
              <w:color w:val="000000"/>
              <w:kern w:val="0"/>
              <w:szCs w:val="24"/>
              <w:lang w:val="en-US" w:eastAsia="en-US" w:bidi="ar-SA"/>
            </w:rPr>
            <w:fldChar w:fldCharType="end"/>
          </w:r>
        </w:p>
        <w:p w14:paraId="34F07975">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_Toc25514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5. </w:t>
          </w:r>
          <w:r>
            <w:rPr>
              <w:rFonts w:hint="eastAsia"/>
              <w:lang w:val="en-US" w:eastAsia="zh-CN"/>
            </w:rPr>
            <w:t>实施计划</w:t>
          </w:r>
          <w:r>
            <w:tab/>
          </w:r>
          <w:r>
            <w:fldChar w:fldCharType="begin"/>
          </w:r>
          <w:r>
            <w:instrText xml:space="preserve"> PAGEREF _Toc25514 \h </w:instrText>
          </w:r>
          <w:r>
            <w:fldChar w:fldCharType="separate"/>
          </w:r>
          <w:r>
            <w:t>8</w:t>
          </w:r>
          <w:r>
            <w:fldChar w:fldCharType="end"/>
          </w:r>
          <w:r>
            <w:rPr>
              <w:rFonts w:ascii="楷体" w:hAnsi="楷体" w:eastAsia="楷体" w:cs="楷体"/>
              <w:snapToGrid w:val="0"/>
              <w:color w:val="000000"/>
              <w:kern w:val="0"/>
              <w:szCs w:val="24"/>
              <w:lang w:val="en-US" w:eastAsia="en-US" w:bidi="ar-SA"/>
            </w:rPr>
            <w:fldChar w:fldCharType="end"/>
          </w:r>
        </w:p>
        <w:p w14:paraId="171931D8">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_Toc16599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6. </w:t>
          </w:r>
          <w:r>
            <w:rPr>
              <w:rFonts w:hint="eastAsia"/>
              <w:lang w:val="en-US" w:eastAsia="zh-CN"/>
            </w:rPr>
            <w:t>详细设计</w:t>
          </w:r>
          <w:r>
            <w:tab/>
          </w:r>
          <w:r>
            <w:fldChar w:fldCharType="begin"/>
          </w:r>
          <w:r>
            <w:instrText xml:space="preserve"> PAGEREF _Toc16599 \h </w:instrText>
          </w:r>
          <w:r>
            <w:fldChar w:fldCharType="separate"/>
          </w:r>
          <w:r>
            <w:t>9</w:t>
          </w:r>
          <w:r>
            <w:fldChar w:fldCharType="end"/>
          </w:r>
          <w:r>
            <w:rPr>
              <w:rFonts w:ascii="楷体" w:hAnsi="楷体" w:eastAsia="楷体" w:cs="楷体"/>
              <w:snapToGrid w:val="0"/>
              <w:color w:val="000000"/>
              <w:kern w:val="0"/>
              <w:szCs w:val="24"/>
              <w:lang w:val="en-US" w:eastAsia="en-US" w:bidi="ar-SA"/>
            </w:rPr>
            <w:fldChar w:fldCharType="end"/>
          </w:r>
        </w:p>
        <w:p w14:paraId="1FAEE94B">
          <w:pPr>
            <w:pStyle w:val="7"/>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_Toc2067 </w:instrText>
          </w:r>
          <w:r>
            <w:rPr>
              <w:rFonts w:ascii="楷体" w:hAnsi="楷体" w:eastAsia="楷体" w:cs="楷体"/>
              <w:snapToGrid w:val="0"/>
              <w:kern w:val="0"/>
              <w:szCs w:val="24"/>
              <w:lang w:val="en-US" w:eastAsia="en-US" w:bidi="ar-SA"/>
            </w:rPr>
            <w:fldChar w:fldCharType="separate"/>
          </w:r>
          <w:r>
            <w:rPr>
              <w:rFonts w:hint="default"/>
              <w:lang w:val="en-US" w:eastAsia="zh-CN"/>
            </w:rPr>
            <w:t xml:space="preserve">7. </w:t>
          </w:r>
          <w:r>
            <w:rPr>
              <w:rFonts w:hint="eastAsia"/>
              <w:lang w:val="en-US" w:eastAsia="zh-CN"/>
            </w:rPr>
            <w:t>系统安全设计</w:t>
          </w:r>
          <w:r>
            <w:tab/>
          </w:r>
          <w:r>
            <w:fldChar w:fldCharType="begin"/>
          </w:r>
          <w:r>
            <w:instrText xml:space="preserve"> PAGEREF _Toc2067 \h </w:instrText>
          </w:r>
          <w:r>
            <w:fldChar w:fldCharType="separate"/>
          </w:r>
          <w:r>
            <w:t>9</w:t>
          </w:r>
          <w:r>
            <w:fldChar w:fldCharType="end"/>
          </w:r>
          <w:r>
            <w:rPr>
              <w:rFonts w:ascii="楷体" w:hAnsi="楷体" w:eastAsia="楷体" w:cs="楷体"/>
              <w:snapToGrid w:val="0"/>
              <w:color w:val="000000"/>
              <w:kern w:val="0"/>
              <w:szCs w:val="24"/>
              <w:lang w:val="en-US" w:eastAsia="en-US" w:bidi="ar-SA"/>
            </w:rPr>
            <w:fldChar w:fldCharType="end"/>
          </w:r>
        </w:p>
        <w:p w14:paraId="19146406">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_Toc1031 </w:instrText>
          </w:r>
          <w:r>
            <w:rPr>
              <w:rFonts w:ascii="楷体" w:hAnsi="楷体" w:eastAsia="楷体" w:cs="楷体"/>
              <w:snapToGrid w:val="0"/>
              <w:kern w:val="0"/>
              <w:szCs w:val="24"/>
              <w:lang w:val="en-US" w:eastAsia="en-US" w:bidi="ar-SA"/>
            </w:rPr>
            <w:fldChar w:fldCharType="separate"/>
          </w:r>
          <w:r>
            <w:rPr>
              <w:rFonts w:hint="default"/>
            </w:rPr>
            <w:t xml:space="preserve">1.1. </w:t>
          </w:r>
          <w:r>
            <w:t>数据库与数据资产安全</w:t>
          </w:r>
          <w:r>
            <w:tab/>
          </w:r>
          <w:r>
            <w:fldChar w:fldCharType="begin"/>
          </w:r>
          <w:r>
            <w:instrText xml:space="preserve"> PAGEREF _Toc1031 \h </w:instrText>
          </w:r>
          <w:r>
            <w:fldChar w:fldCharType="separate"/>
          </w:r>
          <w:r>
            <w:t>9</w:t>
          </w:r>
          <w:r>
            <w:fldChar w:fldCharType="end"/>
          </w:r>
          <w:r>
            <w:rPr>
              <w:rFonts w:ascii="楷体" w:hAnsi="楷体" w:eastAsia="楷体" w:cs="楷体"/>
              <w:snapToGrid w:val="0"/>
              <w:color w:val="000000"/>
              <w:kern w:val="0"/>
              <w:szCs w:val="24"/>
              <w:lang w:val="en-US" w:eastAsia="en-US" w:bidi="ar-SA"/>
            </w:rPr>
            <w:fldChar w:fldCharType="end"/>
          </w:r>
        </w:p>
        <w:p w14:paraId="1F9E14BA">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_Toc4451 </w:instrText>
          </w:r>
          <w:r>
            <w:rPr>
              <w:rFonts w:ascii="楷体" w:hAnsi="楷体" w:eastAsia="楷体" w:cs="楷体"/>
              <w:snapToGrid w:val="0"/>
              <w:kern w:val="0"/>
              <w:szCs w:val="24"/>
              <w:lang w:val="en-US" w:eastAsia="en-US" w:bidi="ar-SA"/>
            </w:rPr>
            <w:fldChar w:fldCharType="separate"/>
          </w:r>
          <w:r>
            <w:rPr>
              <w:rFonts w:hint="default"/>
            </w:rPr>
            <w:t xml:space="preserve">1.2. </w:t>
          </w:r>
          <w:r>
            <w:t>用户身份认证与权限管理</w:t>
          </w:r>
          <w:r>
            <w:tab/>
          </w:r>
          <w:r>
            <w:fldChar w:fldCharType="begin"/>
          </w:r>
          <w:r>
            <w:instrText xml:space="preserve"> PAGEREF _Toc4451 \h </w:instrText>
          </w:r>
          <w:r>
            <w:fldChar w:fldCharType="separate"/>
          </w:r>
          <w:r>
            <w:t>9</w:t>
          </w:r>
          <w:r>
            <w:fldChar w:fldCharType="end"/>
          </w:r>
          <w:r>
            <w:rPr>
              <w:rFonts w:ascii="楷体" w:hAnsi="楷体" w:eastAsia="楷体" w:cs="楷体"/>
              <w:snapToGrid w:val="0"/>
              <w:color w:val="000000"/>
              <w:kern w:val="0"/>
              <w:szCs w:val="24"/>
              <w:lang w:val="en-US" w:eastAsia="en-US" w:bidi="ar-SA"/>
            </w:rPr>
            <w:fldChar w:fldCharType="end"/>
          </w:r>
        </w:p>
        <w:p w14:paraId="7DA99669">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_Toc17174 </w:instrText>
          </w:r>
          <w:r>
            <w:rPr>
              <w:rFonts w:ascii="楷体" w:hAnsi="楷体" w:eastAsia="楷体" w:cs="楷体"/>
              <w:snapToGrid w:val="0"/>
              <w:kern w:val="0"/>
              <w:szCs w:val="24"/>
              <w:lang w:val="en-US" w:eastAsia="en-US" w:bidi="ar-SA"/>
            </w:rPr>
            <w:fldChar w:fldCharType="separate"/>
          </w:r>
          <w:r>
            <w:t>6.3 网络通信与传输链路安全</w:t>
          </w:r>
          <w:r>
            <w:tab/>
          </w:r>
          <w:r>
            <w:fldChar w:fldCharType="begin"/>
          </w:r>
          <w:r>
            <w:instrText xml:space="preserve"> PAGEREF _Toc17174 \h </w:instrText>
          </w:r>
          <w:r>
            <w:fldChar w:fldCharType="separate"/>
          </w:r>
          <w:r>
            <w:t>10</w:t>
          </w:r>
          <w:r>
            <w:fldChar w:fldCharType="end"/>
          </w:r>
          <w:r>
            <w:rPr>
              <w:rFonts w:ascii="楷体" w:hAnsi="楷体" w:eastAsia="楷体" w:cs="楷体"/>
              <w:snapToGrid w:val="0"/>
              <w:color w:val="000000"/>
              <w:kern w:val="0"/>
              <w:szCs w:val="24"/>
              <w:lang w:val="en-US" w:eastAsia="en-US" w:bidi="ar-SA"/>
            </w:rPr>
            <w:fldChar w:fldCharType="end"/>
          </w:r>
        </w:p>
        <w:p w14:paraId="185FF464">
          <w:pPr>
            <w:pStyle w:val="8"/>
            <w:tabs>
              <w:tab w:val="right" w:leader="dot" w:pos="9132"/>
            </w:tabs>
          </w:pPr>
          <w:r>
            <w:rPr>
              <w:rFonts w:ascii="楷体" w:hAnsi="楷体" w:eastAsia="楷体" w:cs="楷体"/>
              <w:snapToGrid w:val="0"/>
              <w:color w:val="000000"/>
              <w:kern w:val="0"/>
              <w:szCs w:val="24"/>
              <w:lang w:val="en-US" w:eastAsia="en-US" w:bidi="ar-SA"/>
            </w:rPr>
            <w:fldChar w:fldCharType="begin"/>
          </w:r>
          <w:r>
            <w:rPr>
              <w:rFonts w:ascii="楷体" w:hAnsi="楷体" w:eastAsia="楷体" w:cs="楷体"/>
              <w:snapToGrid w:val="0"/>
              <w:kern w:val="0"/>
              <w:szCs w:val="24"/>
              <w:lang w:val="en-US" w:eastAsia="en-US" w:bidi="ar-SA"/>
            </w:rPr>
            <w:instrText xml:space="preserve"> HYPERLINK \l _Toc18521 </w:instrText>
          </w:r>
          <w:r>
            <w:rPr>
              <w:rFonts w:ascii="楷体" w:hAnsi="楷体" w:eastAsia="楷体" w:cs="楷体"/>
              <w:snapToGrid w:val="0"/>
              <w:kern w:val="0"/>
              <w:szCs w:val="24"/>
              <w:lang w:val="en-US" w:eastAsia="en-US" w:bidi="ar-SA"/>
            </w:rPr>
            <w:fldChar w:fldCharType="separate"/>
          </w:r>
          <w:r>
            <w:t>6.4 应用层防护与稳健性设计</w:t>
          </w:r>
          <w:r>
            <w:tab/>
          </w:r>
          <w:r>
            <w:fldChar w:fldCharType="begin"/>
          </w:r>
          <w:r>
            <w:instrText xml:space="preserve"> PAGEREF _Toc18521 \h </w:instrText>
          </w:r>
          <w:r>
            <w:fldChar w:fldCharType="separate"/>
          </w:r>
          <w:r>
            <w:t>10</w:t>
          </w:r>
          <w:r>
            <w:fldChar w:fldCharType="end"/>
          </w:r>
          <w:r>
            <w:rPr>
              <w:rFonts w:ascii="楷体" w:hAnsi="楷体" w:eastAsia="楷体" w:cs="楷体"/>
              <w:snapToGrid w:val="0"/>
              <w:color w:val="000000"/>
              <w:kern w:val="0"/>
              <w:szCs w:val="24"/>
              <w:lang w:val="en-US" w:eastAsia="en-US" w:bidi="ar-SA"/>
            </w:rPr>
            <w:fldChar w:fldCharType="end"/>
          </w:r>
        </w:p>
        <w:p w14:paraId="4C5302AB">
          <w:pPr>
            <w:spacing w:line="219" w:lineRule="auto"/>
            <w:rPr>
              <w:rFonts w:ascii="楷体" w:hAnsi="楷体" w:eastAsia="楷体" w:cs="楷体"/>
              <w:snapToGrid w:val="0"/>
              <w:color w:val="000000"/>
              <w:kern w:val="0"/>
              <w:sz w:val="21"/>
              <w:szCs w:val="24"/>
              <w:lang w:val="en-US" w:eastAsia="en-US" w:bidi="ar-SA"/>
            </w:rPr>
            <w:sectPr>
              <w:pgSz w:w="11907" w:h="16839"/>
              <w:pgMar w:top="1540" w:right="1102" w:bottom="400" w:left="1673" w:header="851" w:footer="0" w:gutter="0"/>
              <w:cols w:space="720" w:num="1"/>
            </w:sectPr>
          </w:pPr>
          <w:r>
            <w:rPr>
              <w:rFonts w:ascii="楷体" w:hAnsi="楷体" w:eastAsia="楷体" w:cs="楷体"/>
              <w:snapToGrid w:val="0"/>
              <w:color w:val="000000"/>
              <w:kern w:val="0"/>
              <w:szCs w:val="24"/>
              <w:lang w:val="en-US" w:eastAsia="en-US" w:bidi="ar-SA"/>
            </w:rPr>
            <w:fldChar w:fldCharType="end"/>
          </w:r>
        </w:p>
      </w:sdtContent>
    </w:sdt>
    <w:p w14:paraId="73DCD362">
      <w:pPr>
        <w:spacing w:line="219" w:lineRule="auto"/>
        <w:rPr>
          <w:rFonts w:ascii="楷体" w:hAnsi="楷体" w:eastAsia="楷体" w:cs="楷体"/>
          <w:snapToGrid w:val="0"/>
          <w:color w:val="000000"/>
          <w:kern w:val="0"/>
          <w:sz w:val="21"/>
          <w:szCs w:val="24"/>
          <w:lang w:val="en-US" w:eastAsia="en-US" w:bidi="ar-SA"/>
        </w:rPr>
        <w:sectPr>
          <w:pgSz w:w="11907" w:h="16839"/>
          <w:pgMar w:top="1540" w:right="1102" w:bottom="400" w:left="1673" w:header="851" w:footer="0" w:gutter="0"/>
          <w:cols w:space="720" w:num="1"/>
        </w:sectPr>
      </w:pPr>
      <w:bookmarkStart w:id="18" w:name="_GoBack"/>
      <w:bookmarkEnd w:id="18"/>
    </w:p>
    <w:p w14:paraId="10B398D3">
      <w:pPr>
        <w:pStyle w:val="2"/>
        <w:numPr>
          <w:ilvl w:val="0"/>
          <w:numId w:val="1"/>
        </w:numPr>
        <w:bidi w:val="0"/>
        <w:ind w:left="425" w:leftChars="0" w:hanging="425" w:firstLineChars="0"/>
      </w:pPr>
      <w:bookmarkStart w:id="1" w:name="_Toc6890"/>
      <w:r>
        <w:rPr>
          <w:rFonts w:hint="eastAsia"/>
          <w:lang w:val="en-US" w:eastAsia="zh-CN"/>
        </w:rPr>
        <w:t>项目背景</w:t>
      </w:r>
      <w:bookmarkEnd w:id="1"/>
    </w:p>
    <w:p w14:paraId="4EBD548A">
      <w:pPr>
        <w:bidi w:val="0"/>
      </w:pPr>
      <w:r>
        <w:rPr>
          <w:rFonts w:hint="default"/>
        </w:rPr>
        <w:t>在当前全球气候变化加剧与我国“双碳”战略目标深度推进的大背景下，化工园区的绿色转型已成为工业高质量发展的核心命题。化工产业作为国民经济的支柱，其生产过程中产生的挥发性有机化合物（VOCs）具有成分复杂、排放源点多面广以及浓度波动剧烈等显著特征，不仅对周边大气环境造成持续压力，更直接关联到企业的环保合规性与园区的运营安全 。随着国家《“十四五”生态环境保护规划》及《工业园区废气综合治理技术指南》等一系列高标准政策的密集出台，传统的“被动响应式”治理模式已无法满足现阶段精细化管理的要求，化工园区亟需依托信息技术构建一套全流程、智能化的废气治理体系 。</w:t>
      </w:r>
    </w:p>
    <w:p w14:paraId="6C964964">
      <w:pPr>
        <w:bidi w:val="0"/>
        <w:rPr>
          <w:rFonts w:hint="default"/>
        </w:rPr>
      </w:pPr>
      <w:r>
        <w:rPr>
          <w:rFonts w:hint="default"/>
        </w:rPr>
        <w:t>从行业</w:t>
      </w:r>
      <w:r>
        <w:rPr>
          <w:rFonts w:hint="eastAsia"/>
          <w:lang w:val="en-US" w:eastAsia="zh-CN"/>
        </w:rPr>
        <w:t>现状看</w:t>
      </w:r>
      <w:r>
        <w:rPr>
          <w:rFonts w:hint="default"/>
        </w:rPr>
        <w:t>，当前化工园区在废气监控领域正面临着前所未有的“数据困局”。据统计，单个中等规模化工园区废气监测点位</w:t>
      </w:r>
      <w:r>
        <w:rPr>
          <w:rFonts w:hint="default"/>
          <w:b/>
          <w:bCs/>
        </w:rPr>
        <w:t>往往超过50个，数据格式涵盖10余种</w:t>
      </w:r>
      <w:r>
        <w:rPr>
          <w:rFonts w:hint="default"/>
        </w:rPr>
        <w:t>，这种多源异构的数据环境导致了严重的“数据孤岛”现象 。由于缺乏有效的数据融合与协同分析机制，不同监测设备、运行系统产生的数据格式不统一，难以协同分析，导致园区管理层往往处于“过程黑箱”状态 。这种数据割裂现状使得管理端无法实时、准确地掌握废气排放的动态分布，预警机制存在显著滞后性，不仅增加了环保合规风险，更使得环保运营成本在低效的调控中居高不下 。</w:t>
      </w:r>
    </w:p>
    <w:p w14:paraId="6F8D6A13">
      <w:pPr>
        <w:bidi w:val="0"/>
        <w:ind w:firstLine="420"/>
        <w:rPr>
          <w:rFonts w:hint="default" w:ascii="Arial" w:hAnsi="Arial"/>
        </w:rPr>
      </w:pPr>
      <w:r>
        <w:rPr>
          <w:rFonts w:hint="default" w:ascii="Arial" w:hAnsi="Arial"/>
        </w:rPr>
        <w:t>化工园区废气浓度的波动并非随机发生，而是与复杂的气象条件及多变的生产工况呈现出极强的非线性关联特征 。环境中的温度、湿度、风速及风向等气象因子，与设备的运行负荷、生产时段等工况数据共同交织，决定了废气排放的时序性与关联性特征 。</w:t>
      </w:r>
      <w:r>
        <w:rPr>
          <w:rFonts w:hint="default" w:ascii="Arial" w:hAnsi="Arial"/>
          <w:b/>
          <w:bCs/>
        </w:rPr>
        <w:t>但现有管控模式仍过度依赖人工经验判断，缺少对 VOCs 等关键指标的前瞻性预测能力，无法提前识别未来 6 小时内的超标风险，难以在浓度接近 80mg/m³ 限值前做出预警与干预。</w:t>
      </w:r>
      <w:r>
        <w:rPr>
          <w:rFonts w:hint="default" w:ascii="Arial" w:hAnsi="Arial"/>
        </w:rPr>
        <w:t>这种预测能力与预判机制的缺失，使园区环保管理长期处于被动应对状态，无法真正实现精准防控与科学调度。</w:t>
      </w:r>
    </w:p>
    <w:p w14:paraId="6BAB619F">
      <w:pPr>
        <w:bidi w:val="0"/>
        <w:ind w:firstLine="420"/>
        <w:rPr>
          <w:rFonts w:hint="default" w:ascii="Arial" w:hAnsi="Arial"/>
        </w:rPr>
      </w:pPr>
      <w:r>
        <w:rPr>
          <w:rFonts w:hint="default" w:ascii="Arial" w:hAnsi="Arial"/>
        </w:rPr>
        <w:t>更为关键的是，</w:t>
      </w:r>
      <w:r>
        <w:rPr>
          <w:rFonts w:hint="default" w:ascii="Arial" w:hAnsi="Arial"/>
          <w:b/>
          <w:bCs/>
        </w:rPr>
        <w:t>现有废气监控体系普遍存在管理链条断裂、信息触达不畅的问题。</w:t>
      </w:r>
      <w:r>
        <w:rPr>
          <w:rFonts w:hint="default" w:ascii="Arial" w:hAnsi="Arial"/>
        </w:rPr>
        <w:t>传统监控多依赖中控室固定终端，预警信息难以快速传递到现场，管理端与一线处置端缺乏高效联动机制。当系统监测到异常或预测到风险时，指令传达不及时、处置反馈不顺畅，导致预警、处置、跟踪环节相互割裂，环保监管 “最后一公里” 难以打通。因此，构建一套集“Web端全局监控”与“移动端即时响应”于一体的双端协同智能治理系统，打破数据孤岛与管理断层，已成为推动园区绿色低碳转型、实现废气治理全流程透明化与智能化的必然选择 。</w:t>
      </w:r>
      <w:r>
        <w:rPr>
          <w:rFonts w:hint="default" w:ascii="Arial" w:hAnsi="Arial"/>
        </w:rPr>
        <w:br w:type="page"/>
      </w:r>
    </w:p>
    <w:p w14:paraId="669F933A">
      <w:pPr>
        <w:pStyle w:val="2"/>
        <w:numPr>
          <w:ilvl w:val="0"/>
          <w:numId w:val="1"/>
        </w:numPr>
        <w:bidi w:val="0"/>
        <w:ind w:left="425" w:leftChars="0" w:hanging="425" w:firstLineChars="0"/>
        <w:rPr>
          <w:rFonts w:hint="eastAsia"/>
          <w:lang w:val="en-US" w:eastAsia="zh-CN"/>
        </w:rPr>
      </w:pPr>
      <w:bookmarkStart w:id="2" w:name="_Toc8940"/>
      <w:r>
        <w:rPr>
          <w:rFonts w:hint="eastAsia"/>
          <w:lang w:val="en-US" w:eastAsia="zh-CN"/>
        </w:rPr>
        <w:t>需求分析</w:t>
      </w:r>
      <w:bookmarkEnd w:id="2"/>
    </w:p>
    <w:p w14:paraId="333ABE51">
      <w:pPr>
        <w:bidi w:val="0"/>
      </w:pPr>
      <w:r>
        <w:rPr>
          <w:lang w:val="en-US" w:eastAsia="zh-CN"/>
        </w:rPr>
        <w:t>结合化工园区废气治理实际场景、环保监管政策要求以及现有管控模式的突出短板，</w:t>
      </w:r>
      <w:r>
        <w:rPr>
          <w:b/>
          <w:bCs/>
          <w:lang w:val="en-US" w:eastAsia="zh-CN"/>
        </w:rPr>
        <w:t>本项目从业务需求、功能需求、性能需求与用户需求四个维度开展系统性分析</w:t>
      </w:r>
      <w:r>
        <w:rPr>
          <w:lang w:val="en-US" w:eastAsia="zh-CN"/>
        </w:rPr>
        <w:t>。在政策趋严、监管趋紧、环保运营成本持续上升的现实条件下，园区环保管理部门与一线运维人员亟需一套可实现数据统一、预测精准、预警及时、处置闭环的智能化系统，以替代传统依赖人工巡检、经验判断与被动处置的落后模式，推动废气治理真正从事后补救向事前预判、从分散管控向协同治理、从人工驱动向数据智能驱动转型。</w:t>
      </w:r>
    </w:p>
    <w:p w14:paraId="74B1D1A4">
      <w:pPr>
        <w:bidi w:val="0"/>
      </w:pPr>
      <w:r>
        <w:rPr>
          <w:lang w:val="en-US" w:eastAsia="zh-CN"/>
        </w:rPr>
        <w:t>在业务层面，系统需要实现多源监测数据的统一接入、标准化治理与高效融合，解决当前监测设备、业务系统之间数据异构、互通不足的问题，实现废气浓度、设备工况、气象参数等信息的集中管理与可信共享，同时满足环保监管对数据可追溯、可核查、可统计的刚性要求。针对 VOCs 浓度波动快、影响因素复杂、超标风险隐蔽等特点，</w:t>
      </w:r>
      <w:r>
        <w:rPr>
          <w:b/>
          <w:bCs/>
          <w:lang w:val="en-US" w:eastAsia="zh-CN"/>
        </w:rPr>
        <w:t>系统需具备稳定可靠的前瞻性预测能力</w:t>
      </w:r>
      <w:r>
        <w:rPr>
          <w:lang w:val="en-US" w:eastAsia="zh-CN"/>
        </w:rPr>
        <w:t>，基于实时与历史数据精准研判未来浓度变化趋势，在接近安全限值前发出有效预警，为工艺调整、应急处置预留充足时间，从源头降低违规排放与环境安全风险。</w:t>
      </w:r>
    </w:p>
    <w:p w14:paraId="6936521C">
      <w:pPr>
        <w:bidi w:val="0"/>
      </w:pPr>
      <w:r>
        <w:rPr>
          <w:lang w:val="en-US" w:eastAsia="zh-CN"/>
        </w:rPr>
        <w:t>在功能层面，</w:t>
      </w:r>
      <w:r>
        <w:rPr>
          <w:b/>
          <w:bCs/>
          <w:lang w:val="en-US" w:eastAsia="zh-CN"/>
        </w:rPr>
        <w:t>系统需覆盖废气治理全流程核心能力</w:t>
      </w:r>
      <w:r>
        <w:rPr>
          <w:lang w:val="en-US" w:eastAsia="zh-CN"/>
        </w:rPr>
        <w:t>，具备多源数据接入清洗、时序对齐、特征工程、VOCs 浓度智能预测、异常识别、风险预警、工单派发、处置反馈等关键支撑。为提升治理决策的专业性与可落地性，系统需引入RAG 检索增强生成技术，对接环保标准库、历史处置案例与设备运行知识库，在识别异常与预测风险时自动输出可解释的成因分析、合规依据与标准化处置建议，让预警不只提示风险，更能直接指导处置。同时，</w:t>
      </w:r>
      <w:r>
        <w:rPr>
          <w:b/>
          <w:bCs/>
          <w:lang w:val="en-US" w:eastAsia="zh-CN"/>
        </w:rPr>
        <w:t>系统需打造三维可视化数字孪生能力</w:t>
      </w:r>
      <w:r>
        <w:rPr>
          <w:lang w:val="en-US" w:eastAsia="zh-CN"/>
        </w:rPr>
        <w:t>，基于园区实景构建 3D 可视化看板，直观呈现监测点位、浓度热力、预警分布与趋势变化，为管理端提供全局态势感知能力。为彻底打通管理与执行的信息断层，系统必须采用管理端与一线应急端双端协同架构，管理端侧重全局监控、调度指挥、统计复盘与三维态势展示，一线应急端侧重预警接收、工单处理、现场信息回传与状态同步，实现预警、派发、处置、跟踪全流程在线贯通，真正解决监管指令传递滞后、现场处置响应不及时的痛点。</w:t>
      </w:r>
    </w:p>
    <w:p w14:paraId="3A6A2C49">
      <w:pPr>
        <w:bidi w:val="0"/>
        <w:rPr>
          <w:rFonts w:hint="eastAsia"/>
          <w:lang w:val="en-US" w:eastAsia="zh-CN"/>
        </w:rPr>
      </w:pPr>
      <w:r>
        <w:rPr>
          <w:lang w:val="en-US" w:eastAsia="zh-CN"/>
        </w:rPr>
        <w:t>在性能层面，</w:t>
      </w:r>
      <w:r>
        <w:rPr>
          <w:b/>
          <w:bCs/>
          <w:lang w:val="en-US" w:eastAsia="zh-CN"/>
        </w:rPr>
        <w:t>系统需满足工业场景稳定运行要求</w:t>
      </w:r>
      <w:r>
        <w:rPr>
          <w:lang w:val="en-US" w:eastAsia="zh-CN"/>
        </w:rPr>
        <w:t>，保障数据接入实时性、处理准确性与预测响应效率，关键指标达到实际应用标准，界面加载与操作交互流畅，同时支持轻量化容器化部署，可在本地服务器与云端环境快速落地，降低运维成本。在用户层面，系统面向园区环保管理人员、一线应急处置人员等不同角色提供适配功能，兼顾专业性与易用性，大幅减少人工分析、现场核对与重复录入工作量，全面提升化工园区废气治理的智能化、精细化与闭环化水平，为园区绿色低碳转型提供可靠支撑。</w:t>
      </w:r>
    </w:p>
    <w:p w14:paraId="60A29D36">
      <w:pPr>
        <w:pStyle w:val="2"/>
        <w:numPr>
          <w:ilvl w:val="0"/>
          <w:numId w:val="1"/>
        </w:numPr>
        <w:bidi w:val="0"/>
        <w:ind w:left="425" w:leftChars="0" w:hanging="425" w:firstLineChars="0"/>
        <w:rPr>
          <w:rFonts w:hint="eastAsia"/>
          <w:lang w:val="en-US" w:eastAsia="zh-CN"/>
        </w:rPr>
      </w:pPr>
      <w:bookmarkStart w:id="3" w:name="_Toc11444"/>
      <w:r>
        <w:rPr>
          <w:rFonts w:hint="eastAsia"/>
          <w:lang w:val="en-US" w:eastAsia="zh-CN"/>
        </w:rPr>
        <w:t>系统设计</w:t>
      </w:r>
      <w:bookmarkEnd w:id="3"/>
    </w:p>
    <w:p w14:paraId="037B9554">
      <w:pPr>
        <w:pStyle w:val="3"/>
        <w:bidi w:val="0"/>
        <w:rPr>
          <w:rFonts w:hint="default"/>
          <w:lang w:val="en-US" w:eastAsia="zh-CN"/>
        </w:rPr>
      </w:pPr>
      <w:bookmarkStart w:id="4" w:name="_Toc3680"/>
      <w:r>
        <w:rPr>
          <w:rFonts w:hint="eastAsia"/>
          <w:lang w:val="en-US" w:eastAsia="zh-CN"/>
        </w:rPr>
        <w:t>3.1 系统架构</w:t>
      </w:r>
      <w:bookmarkEnd w:id="4"/>
    </w:p>
    <w:p w14:paraId="7B5F7254">
      <w:pPr>
        <w:rPr>
          <w:rFonts w:hint="default"/>
          <w:lang w:val="en-US" w:eastAsia="zh-CN"/>
        </w:rPr>
      </w:pPr>
      <w:r>
        <w:rPr>
          <w:rFonts w:hint="default"/>
          <w:lang w:val="en-US" w:eastAsia="zh-CN"/>
        </w:rPr>
        <w:t>本项目围绕化工园区 VOCs 废气治理的全流程业务需求，采用分层解耦、容器化部署的模块化架构设计，</w:t>
      </w:r>
      <w:r>
        <w:rPr>
          <w:rFonts w:hint="default"/>
          <w:b/>
          <w:bCs/>
          <w:lang w:val="en-US" w:eastAsia="zh-CN"/>
        </w:rPr>
        <w:t>自下而上划分为容器化部署底座、数据接入层、数据处理层、智能预测层、业务服务层与可视化展示层六大层级</w:t>
      </w:r>
      <w:r>
        <w:rPr>
          <w:rFonts w:hint="default"/>
          <w:lang w:val="en-US" w:eastAsia="zh-CN"/>
        </w:rPr>
        <w:t>，各层级职责清晰、低耦合高内聚，数据流转高效顺畅，形成了从多源数据采集、标准化治理、智能分析决策，到业务闭环处置、全域态势可视化呈现的完整技术链路，为系统的高可用性、可扩展性与工业场景适配性提供了坚实保障。</w:t>
      </w:r>
    </w:p>
    <w:p w14:paraId="66171502">
      <w:pPr>
        <w:rPr>
          <w:rFonts w:hint="default"/>
          <w:lang w:val="en-US" w:eastAsia="zh-CN"/>
        </w:rPr>
      </w:pPr>
      <w:r>
        <w:rPr>
          <w:rFonts w:hint="default"/>
          <w:b/>
          <w:bCs/>
          <w:lang w:val="en-US" w:eastAsia="zh-CN"/>
        </w:rPr>
        <w:t>容器化部署底座作为系统的底层支撑</w:t>
      </w:r>
      <w:r>
        <w:rPr>
          <w:rFonts w:hint="default"/>
          <w:lang w:val="en-US" w:eastAsia="zh-CN"/>
        </w:rPr>
        <w:t>，以 Docker 为统一运行环境，实现前后端服务、数据库与模型推理服务的容器化编排与管理，确保了开发、测试与生产环境的一致性，同时提升了系统部署效率与横向扩展能力。业务数据、用户日志、预警工单与处置记录等结构化数据由 PostgreSQL 关系型数据库进行持久化存储，保障了数据的完整性、一致性与高可用访问，为上层业务应用提供了稳定可靠的数据支撑。</w:t>
      </w:r>
    </w:p>
    <w:p w14:paraId="5B856250">
      <w:pPr>
        <w:rPr>
          <w:rFonts w:hint="default"/>
          <w:lang w:val="en-US" w:eastAsia="zh-CN"/>
        </w:rPr>
      </w:pPr>
      <w:r>
        <w:rPr>
          <w:rFonts w:hint="default"/>
          <w:b/>
          <w:bCs/>
          <w:lang w:val="en-US" w:eastAsia="zh-CN"/>
        </w:rPr>
        <w:t>数据接入层作为系统的数据入口</w:t>
      </w:r>
      <w:r>
        <w:rPr>
          <w:rFonts w:hint="default"/>
          <w:lang w:val="en-US" w:eastAsia="zh-CN"/>
        </w:rPr>
        <w:t>，面向化工园区复杂监测场景，实现了多源异构数据的统一接入与汇聚。该层支持 VOCs 实时监测流数据、气象环境数据、设备工况数据、生产状态数据等多种类型数据的接入，兼容不同设备协议与数据格式，有效打破了数据孤岛，为后续的数据分析与模型训练提供了全面、实时、可靠的数据来源。</w:t>
      </w:r>
    </w:p>
    <w:p w14:paraId="1DBD5472">
      <w:pPr>
        <w:rPr>
          <w:rFonts w:hint="default"/>
          <w:lang w:val="en-US" w:eastAsia="zh-CN"/>
        </w:rPr>
      </w:pPr>
      <w:r>
        <w:rPr>
          <w:rFonts w:hint="default"/>
          <w:b/>
          <w:bCs/>
          <w:lang w:val="en-US" w:eastAsia="zh-CN"/>
        </w:rPr>
        <w:t>数据处理层聚焦数据质量提升与特征工程构建</w:t>
      </w:r>
      <w:r>
        <w:rPr>
          <w:rFonts w:hint="default"/>
          <w:lang w:val="en-US" w:eastAsia="zh-CN"/>
        </w:rPr>
        <w:t>，对原始采集数据进行系统化清洗、规整与增强。通过缺失值插值、异常值过滤、时序对齐校正、数据归一化等处理流程，消除噪声与异常数据的干扰；同时结合业务场景构造时间周期特征、滚动统计特征、趋势差分特征等，构建高质量时序数据集，为后续模型预测精度与分析可靠性提供了关键保障。</w:t>
      </w:r>
    </w:p>
    <w:p w14:paraId="1C02ABF1">
      <w:pPr>
        <w:rPr>
          <w:rFonts w:hint="default"/>
          <w:lang w:val="en-US" w:eastAsia="zh-CN"/>
        </w:rPr>
      </w:pPr>
      <w:r>
        <w:rPr>
          <w:rFonts w:hint="default"/>
          <w:b/>
          <w:bCs/>
          <w:lang w:val="en-US" w:eastAsia="zh-CN"/>
        </w:rPr>
        <w:t>智能预测层是系统的核心</w:t>
      </w:r>
      <w:r>
        <w:rPr>
          <w:rFonts w:hint="eastAsia"/>
          <w:b/>
          <w:bCs/>
          <w:lang w:val="en-US" w:eastAsia="zh-CN"/>
        </w:rPr>
        <w:t>算力</w:t>
      </w:r>
      <w:r>
        <w:rPr>
          <w:rFonts w:hint="default"/>
          <w:b/>
          <w:bCs/>
          <w:lang w:val="en-US" w:eastAsia="zh-CN"/>
        </w:rPr>
        <w:t>单元</w:t>
      </w:r>
      <w:r>
        <w:rPr>
          <w:rFonts w:hint="default"/>
          <w:lang w:val="en-US" w:eastAsia="zh-CN"/>
        </w:rPr>
        <w:t>，以 VOCs 浓度预测为关键任务，基于 Seq2Seq+Attention 深度学习模型构建时序预测引擎。模型以多层 LSTM 作为编码器与解码器主干，结合改进注意力机制聚焦历史关键时段，并引入趋势特征增强与 Trend Acc 趋势校验模块，实现未来 6 小时 VOCs 浓度趋势预测与超标风险识别，具备较强的波动适应能力与趋势识别能力。同时，该层集成了自研轻量级向量库，基于 BGE 语义向量模型构建 RAG 检索引擎，为异常处置、设备运维与治理决策提供专业知识支撑。</w:t>
      </w:r>
    </w:p>
    <w:p w14:paraId="69C73A5C">
      <w:pPr>
        <w:rPr>
          <w:rFonts w:hint="default"/>
          <w:lang w:val="en-US" w:eastAsia="zh-CN"/>
        </w:rPr>
      </w:pPr>
      <w:r>
        <w:rPr>
          <w:rFonts w:hint="default"/>
          <w:b/>
          <w:bCs/>
          <w:lang w:val="en-US" w:eastAsia="zh-CN"/>
        </w:rPr>
        <w:t>业务服务层承担系统的核心业务逻辑</w:t>
      </w:r>
      <w:r>
        <w:rPr>
          <w:rFonts w:hint="default"/>
          <w:lang w:val="en-US" w:eastAsia="zh-CN"/>
        </w:rPr>
        <w:t>，实现了分级智能预警、自动派单调度、现场处置反馈、治理效果跟踪与 RAG 智能方案生成等关键功能。系统根据预测结果与实时监测数据自动触发分级预警，生成包含风险位置、等级、成因提示与处置建议的工单并精准派发；同时支持一线人员处置反馈、治理效果持续跟踪与状态回传，形成</w:t>
      </w:r>
      <w:r>
        <w:rPr>
          <w:rFonts w:hint="eastAsia"/>
          <w:lang w:val="en-US" w:eastAsia="zh-CN"/>
        </w:rPr>
        <w:t>了</w:t>
      </w:r>
      <w:r>
        <w:rPr>
          <w:rFonts w:hint="default"/>
          <w:lang w:val="en-US" w:eastAsia="zh-CN"/>
        </w:rPr>
        <w:t>“预警—派发—处置—跟踪—解除”的完整治理闭环，确保隐患得到彻底消除。</w:t>
      </w:r>
    </w:p>
    <w:p w14:paraId="377C3A3A">
      <w:pPr>
        <w:rPr>
          <w:rFonts w:hint="default"/>
          <w:lang w:val="en-US" w:eastAsia="zh-CN"/>
        </w:rPr>
      </w:pPr>
      <w:r>
        <w:rPr>
          <w:rFonts w:hint="default"/>
          <w:b/>
          <w:bCs/>
          <w:lang w:val="en-US" w:eastAsia="zh-CN"/>
        </w:rPr>
        <w:t>可视化展示层面向不同用户角色提供沉浸式、一体化交互体验</w:t>
      </w:r>
      <w:r>
        <w:rPr>
          <w:rFonts w:hint="default"/>
          <w:lang w:val="en-US" w:eastAsia="zh-CN"/>
        </w:rPr>
        <w:t>，融合二维数据图表与三维数字孪生能力，直观呈现园区监测点位分布、实时浓度、热力变化、预警状态与预测趋势。管理端可实现全局态势监控、任务调度、统计分析与治理复盘；一线应急端支持轻量化访问、工单接收、现场反馈与信息上报，双端协同联动，全面提升了园区废气治理的监管效率与响应速度</w:t>
      </w:r>
      <w:r>
        <w:rPr>
          <w:rFonts w:hint="eastAsia"/>
          <w:lang w:val="en-US" w:eastAsia="zh-CN"/>
        </w:rPr>
        <w:t>，</w:t>
      </w:r>
      <w:r>
        <w:rPr>
          <w:rFonts w:ascii="宋体" w:hAnsi="宋体" w:eastAsia="宋体" w:cs="宋体"/>
          <w:sz w:val="24"/>
          <w:szCs w:val="24"/>
        </w:rPr>
        <w:t>实现了管理颗粒度的精细化跃升。</w:t>
      </w:r>
    </w:p>
    <w:p w14:paraId="1C8595EE">
      <w:pPr>
        <w:ind w:left="0" w:leftChars="0" w:firstLine="0" w:firstLineChars="0"/>
      </w:pPr>
      <w:r>
        <w:drawing>
          <wp:inline distT="0" distB="0" distL="114300" distR="114300">
            <wp:extent cx="6120130" cy="559117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6120130" cy="5591175"/>
                    </a:xfrm>
                    <a:prstGeom prst="rect">
                      <a:avLst/>
                    </a:prstGeom>
                    <a:noFill/>
                    <a:ln>
                      <a:noFill/>
                    </a:ln>
                  </pic:spPr>
                </pic:pic>
              </a:graphicData>
            </a:graphic>
          </wp:inline>
        </w:drawing>
      </w:r>
    </w:p>
    <w:p w14:paraId="55CD9D4B">
      <w:pPr>
        <w:jc w:val="center"/>
        <w:rPr>
          <w:rFonts w:hint="eastAsia"/>
          <w:lang w:val="en-US" w:eastAsia="zh-CN"/>
        </w:rPr>
      </w:pPr>
      <w:r>
        <w:rPr>
          <w:rFonts w:hint="eastAsia"/>
          <w:lang w:val="en-US" w:eastAsia="zh-CN"/>
        </w:rPr>
        <w:t>图1 系统架构图</w:t>
      </w:r>
    </w:p>
    <w:p w14:paraId="4D3D8413">
      <w:pPr>
        <w:pStyle w:val="3"/>
        <w:bidi w:val="0"/>
        <w:rPr>
          <w:rFonts w:hint="eastAsia"/>
          <w:lang w:val="en-US" w:eastAsia="zh-CN"/>
        </w:rPr>
      </w:pPr>
      <w:bookmarkStart w:id="5" w:name="_Toc32509"/>
      <w:r>
        <w:rPr>
          <w:rFonts w:hint="eastAsia"/>
          <w:lang w:val="en-US" w:eastAsia="zh-CN"/>
        </w:rPr>
        <w:t>3.2 功能模块设计</w:t>
      </w:r>
      <w:bookmarkEnd w:id="5"/>
    </w:p>
    <w:p w14:paraId="646AD888">
      <w:pPr>
        <w:ind w:firstLine="420"/>
        <w:rPr>
          <w:rFonts w:hint="eastAsia" w:ascii="Arial" w:hAnsi="Arial"/>
          <w:lang w:val="en-US" w:eastAsia="zh-CN"/>
        </w:rPr>
      </w:pPr>
      <w:r>
        <w:rPr>
          <w:rFonts w:hint="default" w:ascii="Arial" w:hAnsi="Arial"/>
          <w:lang w:val="en-US" w:eastAsia="zh-CN"/>
        </w:rPr>
        <w:t>本项目围绕化工园区废气治理的核心业务流程，将系统划分为</w:t>
      </w:r>
      <w:r>
        <w:rPr>
          <w:rFonts w:hint="default" w:ascii="Arial" w:hAnsi="Arial"/>
          <w:b/>
          <w:bCs/>
          <w:lang w:val="en-US" w:eastAsia="zh-CN"/>
        </w:rPr>
        <w:t>多源数据融合、VOCs智能预测、双端可视化监控以及预警与派单四大核心功能模块</w:t>
      </w:r>
      <w:r>
        <w:rPr>
          <w:rFonts w:hint="default" w:ascii="Arial" w:hAnsi="Arial"/>
          <w:lang w:val="en-US" w:eastAsia="zh-CN"/>
        </w:rPr>
        <w:t>。各模块通过标准化数据流紧密耦合，实现了从数据感知到闭环处置的全链路支撑。</w:t>
      </w:r>
    </w:p>
    <w:p w14:paraId="199C8117">
      <w:pPr>
        <w:ind w:firstLine="420"/>
        <w:rPr>
          <w:rFonts w:hint="eastAsia" w:ascii="Arial" w:hAnsi="Arial"/>
          <w:lang w:val="en-US" w:eastAsia="zh-CN"/>
        </w:rPr>
      </w:pPr>
      <w:r>
        <w:rPr>
          <w:rFonts w:hint="default" w:ascii="Arial" w:hAnsi="Arial"/>
          <w:b/>
          <w:bCs/>
          <w:lang w:val="en-US" w:eastAsia="zh-CN"/>
        </w:rPr>
        <w:t>作为系统的数据基石，多源数据融合模块主要负责园区海量监测数据的统一汇聚。</w:t>
      </w:r>
      <w:r>
        <w:rPr>
          <w:rFonts w:hint="default" w:ascii="Arial" w:hAnsi="Arial"/>
          <w:lang w:val="en-US" w:eastAsia="zh-CN"/>
        </w:rPr>
        <w:t>该模块具备强大的兼容性，能够实时接入动态监测流数据，并支持历史表数据的离线导入。针对原始监测信号中可能存在的噪声与漂移，模块集成了高精度预处理引擎，通过执行数据清洗、时序对齐以及格式标准化等操作，将碎片化的设备信息转化为具备统计学意义的时序特征，为后续的深度建模提供高质量、高一致性的数据底座</w:t>
      </w:r>
      <w:r>
        <w:rPr>
          <w:rFonts w:hint="eastAsia" w:ascii="Arial" w:hAnsi="Arial"/>
          <w:lang w:val="en-US" w:eastAsia="zh-CN"/>
        </w:rPr>
        <w:t>。</w:t>
      </w:r>
    </w:p>
    <w:p w14:paraId="150726B1">
      <w:pPr>
        <w:ind w:firstLine="420"/>
        <w:rPr>
          <w:rFonts w:hint="eastAsia" w:ascii="Arial" w:hAnsi="Arial"/>
          <w:lang w:val="en-US" w:eastAsia="zh-CN"/>
        </w:rPr>
      </w:pPr>
      <w:r>
        <w:rPr>
          <w:rFonts w:hint="default" w:ascii="Arial" w:hAnsi="Arial"/>
          <w:b/>
          <w:bCs/>
          <w:lang w:val="en-US" w:eastAsia="zh-CN"/>
        </w:rPr>
        <w:t>智能预测模块是实现“前馈控制”的核心单元</w:t>
      </w:r>
      <w:r>
        <w:rPr>
          <w:rFonts w:hint="default" w:ascii="Arial" w:hAnsi="Arial"/>
          <w:lang w:val="en-US" w:eastAsia="zh-CN"/>
        </w:rPr>
        <w:t>。该模块依托时序建模算法，对标准化后的数据集进行多因子特征提取。通过对浓度变化特征、环境干扰因子与生产工况特征的深度学习，模块能够精准推演未来 6 小时的 VOCs 浓度演化曲线。这一功能不仅提供了实时的浓度预测结果，更通过对排放趋势的提前洞察，为管理人员提供了前瞻性的风险提示，改变了传统治理模式中对废气排放态势感知滞后的现状。</w:t>
      </w:r>
    </w:p>
    <w:p w14:paraId="00E4BE1A">
      <w:pPr>
        <w:ind w:firstLine="420"/>
        <w:rPr>
          <w:rFonts w:hint="eastAsia" w:ascii="Arial" w:hAnsi="Arial"/>
          <w:lang w:val="en-US" w:eastAsia="zh-CN"/>
        </w:rPr>
      </w:pPr>
      <w:r>
        <w:rPr>
          <w:rFonts w:hint="eastAsia" w:ascii="Arial" w:hAnsi="Arial"/>
          <w:b/>
          <w:bCs/>
          <w:lang w:val="en-US" w:eastAsia="zh-CN"/>
        </w:rPr>
        <w:t>可视化监控模块面向不同业务角色提供差异化的感知手段，构建了“管理端+一线端”的双端协同模式。</w:t>
      </w:r>
      <w:r>
        <w:rPr>
          <w:rFonts w:hint="eastAsia" w:ascii="Arial" w:hAnsi="Arial"/>
          <w:lang w:val="en-US" w:eastAsia="zh-CN"/>
        </w:rPr>
        <w:t>管理端侧重于全局态势监控与辅助决策。通过集成 3D 数字孪生全景监控功能，管理人员可直观下钻查看设备运行状态；同时模块支持工单全生命周期管理、异常持续跟踪校验以及统计复盘功能，并能自动生成月度治理报告。一线端侧重于现场敏捷响应与信息回传。巡检人员可通过移动端进行日常记录、接收实时预警任务，并在现场排查过程中调用辅助诊断功能进行高效处置，确保治理动作能够精准落地并实现持续追踪。</w:t>
      </w:r>
    </w:p>
    <w:p w14:paraId="4CB450B3">
      <w:pPr>
        <w:ind w:firstLine="420"/>
        <w:rPr>
          <w:rFonts w:hint="default" w:ascii="Arial" w:hAnsi="Arial"/>
          <w:lang w:val="en-US" w:eastAsia="zh-CN"/>
        </w:rPr>
      </w:pPr>
      <w:r>
        <w:rPr>
          <w:rFonts w:hint="default" w:ascii="Arial" w:hAnsi="Arial"/>
          <w:b/>
          <w:bCs/>
          <w:lang w:val="en-US" w:eastAsia="zh-CN"/>
        </w:rPr>
        <w:t>预警与派单模块是系统实现业务闭环的关键节点。</w:t>
      </w:r>
      <w:r>
        <w:rPr>
          <w:rFonts w:hint="default" w:ascii="Arial" w:hAnsi="Arial"/>
          <w:lang w:val="en-US" w:eastAsia="zh-CN"/>
        </w:rPr>
        <w:t>基于智能预测层的识别结果，该模块会自动执行异常成因诊断。通过调用 RAG 专家诊断引擎，系统能够针对特定的超标风险自动生成科学的处置建议，并匹配最优的电子工单分发逻辑。这一模块实现了从发现异常、方案生成到工单下发的自动化流转，极大地压缩了预警响应的窗口期，确保了园区废气治理工作的及时性与专业性。</w:t>
      </w:r>
    </w:p>
    <w:p w14:paraId="27E2FFC2">
      <w:pPr>
        <w:jc w:val="center"/>
        <w:rPr>
          <w:rFonts w:hint="eastAsia" w:ascii="宋体" w:hAnsi="宋体" w:eastAsia="宋体" w:cs="宋体"/>
          <w:sz w:val="24"/>
          <w:szCs w:val="24"/>
          <w:lang w:val="en-US" w:eastAsia="zh-CN"/>
        </w:rPr>
      </w:pPr>
      <w:r>
        <w:drawing>
          <wp:inline distT="0" distB="0" distL="114300" distR="114300">
            <wp:extent cx="4919980" cy="5168900"/>
            <wp:effectExtent l="0" t="0" r="4445" b="317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4919980" cy="5168900"/>
                    </a:xfrm>
                    <a:prstGeom prst="rect">
                      <a:avLst/>
                    </a:prstGeom>
                    <a:noFill/>
                    <a:ln>
                      <a:noFill/>
                    </a:ln>
                  </pic:spPr>
                </pic:pic>
              </a:graphicData>
            </a:graphic>
          </wp:inline>
        </w:drawing>
      </w:r>
    </w:p>
    <w:p w14:paraId="7BB6A06C">
      <w:pPr>
        <w:ind w:firstLine="420"/>
        <w:rPr>
          <w:rFonts w:hint="default" w:ascii="Arial" w:hAnsi="Arial"/>
          <w:lang w:val="en-US" w:eastAsia="zh-CN"/>
        </w:rPr>
      </w:pPr>
    </w:p>
    <w:p w14:paraId="0ADDD824">
      <w:pPr>
        <w:pStyle w:val="2"/>
        <w:numPr>
          <w:ilvl w:val="0"/>
          <w:numId w:val="1"/>
        </w:numPr>
        <w:bidi w:val="0"/>
        <w:ind w:left="425" w:leftChars="0" w:hanging="425" w:firstLineChars="0"/>
        <w:rPr>
          <w:rFonts w:hint="eastAsia"/>
          <w:lang w:val="en-US" w:eastAsia="zh-CN"/>
        </w:rPr>
      </w:pPr>
      <w:bookmarkStart w:id="6" w:name="_Toc29747"/>
      <w:r>
        <w:rPr>
          <w:rFonts w:hint="eastAsia"/>
          <w:lang w:val="en-US" w:eastAsia="zh-CN"/>
        </w:rPr>
        <w:t>技术路线</w:t>
      </w:r>
      <w:bookmarkEnd w:id="6"/>
    </w:p>
    <w:p w14:paraId="2A844B4E">
      <w:pPr>
        <w:pStyle w:val="3"/>
        <w:bidi w:val="0"/>
        <w:rPr>
          <w:rFonts w:hint="eastAsia"/>
          <w:lang w:val="en-US" w:eastAsia="zh-CN"/>
        </w:rPr>
      </w:pPr>
      <w:bookmarkStart w:id="7" w:name="_Toc26525"/>
      <w:r>
        <w:rPr>
          <w:rFonts w:hint="eastAsia"/>
          <w:lang w:val="en-US" w:eastAsia="zh-CN"/>
        </w:rPr>
        <w:t xml:space="preserve">4.1 </w:t>
      </w:r>
      <w:r>
        <w:t>基于Seq2Seq+Attention+ Gate的 VOCs 浓度时序预测技术</w:t>
      </w:r>
      <w:bookmarkEnd w:id="7"/>
    </w:p>
    <w:p w14:paraId="23091E95">
      <w:pPr>
        <w:ind w:firstLine="420"/>
        <w:rPr>
          <w:rFonts w:hint="default" w:ascii="Arial" w:hAnsi="Arial"/>
          <w:lang w:val="en-US" w:eastAsia="zh-CN"/>
        </w:rPr>
      </w:pPr>
      <w:r>
        <w:rPr>
          <w:rFonts w:hint="default" w:ascii="Arial" w:hAnsi="Arial"/>
          <w:lang w:val="en-US" w:eastAsia="zh-CN"/>
        </w:rPr>
        <w:t>针对化工园区废气排放具有高度非线性、非平稳性及多变量耦合的特征，系统采用基于 Seq2Seq（序列到序列）架构并引入注意力机制（Attention Mechanism</w:t>
      </w:r>
      <w:r>
        <w:rPr>
          <w:rFonts w:hint="eastAsia" w:ascii="Arial" w:hAnsi="Arial"/>
          <w:lang w:val="en-US" w:eastAsia="zh-CN"/>
        </w:rPr>
        <w:t>和门控融合逻辑（Gate Fusion）</w:t>
      </w:r>
      <w:r>
        <w:rPr>
          <w:rFonts w:hint="default" w:ascii="Arial" w:hAnsi="Arial"/>
          <w:lang w:val="en-US" w:eastAsia="zh-CN"/>
        </w:rPr>
        <w:t>的深度学习方案</w:t>
      </w:r>
      <w:r>
        <w:rPr>
          <w:rFonts w:hint="eastAsia" w:ascii="Arial" w:hAnsi="Arial"/>
          <w:lang w:val="en-US" w:eastAsia="zh-CN"/>
        </w:rPr>
        <w:t>。</w:t>
      </w:r>
      <w:r>
        <w:rPr>
          <w:rFonts w:hint="default" w:ascii="Arial" w:hAnsi="Arial"/>
          <w:lang w:val="en-US" w:eastAsia="zh-CN"/>
        </w:rPr>
        <w:t>该算法不仅关注数值拟合，更通过多代版本迭代，确立了“趋势优先”的核心优化目标。该路线以多层长短期记忆网络（LSTM）作为编码器（Encoder）与解码器（Decoder）的主干，通过编码器对历史排放数据、气象因子及工况特征进行高维特征提取，将其转化为语义向量。在此基础上，引入注意力机制对历史关键时段的特征进行加权处理，使模型能够自动聚焦于对未来浓度波动影响最大的历史瞬间。</w:t>
      </w:r>
      <w:r>
        <w:rPr>
          <w:rFonts w:hint="eastAsia" w:ascii="Arial" w:hAnsi="Arial"/>
          <w:lang w:val="en-US" w:eastAsia="zh-CN"/>
        </w:rPr>
        <w:t>同时，</w:t>
      </w:r>
      <w:r>
        <w:rPr>
          <w:rFonts w:hint="default" w:ascii="Arial" w:hAnsi="Arial"/>
          <w:lang w:val="en-US" w:eastAsia="zh-CN"/>
        </w:rPr>
        <w:t>系统通过数据驱动的门控权重</w:t>
      </w:r>
      <w:r>
        <w:rPr>
          <w:rFonts w:hint="eastAsia" w:ascii="Arial" w:hAnsi="Arial"/>
          <w:lang w:val="en-US" w:eastAsia="zh-CN"/>
        </w:rPr>
        <w:t>g</w:t>
      </w:r>
      <w:r>
        <w:rPr>
          <w:rFonts w:hint="default" w:ascii="Arial" w:hAnsi="Arial"/>
          <w:lang w:val="en-US" w:eastAsia="zh-CN"/>
        </w:rPr>
        <w:t>，在注意力主导的“突变段”与解码器主导的“平稳段”之间进行自适应切换，显著增强了模型对浓度骤增风险的识别灵敏度 。</w:t>
      </w:r>
    </w:p>
    <w:p w14:paraId="73E7601F">
      <w:pPr>
        <w:bidi w:val="0"/>
        <w:rPr>
          <w:rFonts w:hint="default"/>
          <w:lang w:val="en-US" w:eastAsia="zh-CN"/>
        </w:rPr>
      </w:pPr>
      <w:r>
        <w:rPr>
          <w:rFonts w:hint="default"/>
          <w:lang w:val="en-US" w:eastAsia="zh-CN"/>
        </w:rPr>
        <w:t>为达成赛题要求的预测准确率指标，项目组经历了从v2到v6的五个关键版本的实验演进（如图</w:t>
      </w:r>
      <w:r>
        <w:rPr>
          <w:rFonts w:hint="eastAsia"/>
          <w:lang w:val="en-US" w:eastAsia="zh-CN"/>
        </w:rPr>
        <w:t>3</w:t>
      </w:r>
      <w:r>
        <w:rPr>
          <w:rFonts w:hint="default"/>
          <w:lang w:val="en-US" w:eastAsia="zh-CN"/>
        </w:rPr>
        <w:t>所示） ：</w:t>
      </w:r>
    </w:p>
    <w:p w14:paraId="12547D02">
      <w:pPr>
        <w:bidi w:val="0"/>
        <w:rPr>
          <w:rFonts w:hint="default" w:ascii="Arial" w:hAnsi="Arial" w:eastAsia="楷体" w:cs="Arial"/>
          <w:snapToGrid w:val="0"/>
          <w:color w:val="000000"/>
          <w:kern w:val="0"/>
          <w:szCs w:val="21"/>
          <w:lang w:val="en-US" w:eastAsia="zh-CN" w:bidi="ar-SA"/>
        </w:rPr>
      </w:pPr>
      <w:r>
        <w:rPr>
          <w:rFonts w:hint="default"/>
          <w:lang w:val="en-US" w:eastAsia="zh-CN"/>
        </w:rPr>
        <w:t>v3 混合预测阶段尝试引入线性旁路（LSTM+AR），但实验证明其对非线性波动提升有限，最终予以废弃 。v4 趋势优先阶段核心突破在于将 Trend Accuracy（趋势准确率）由评测指标转化为损失函数的训练目标，强制模型学习升降方向的一致性 。v6 趋势特征注入阶段（当前主版本）在输入端执行显式趋势增强，对 VOCs 浓度及 23 个核心工艺协变量统一注入一阶差分（瞬时变化率）与二阶差分（加速度）特征 。合计新增约 48 个维度，使输入空间的趋势信号密度得到大幅提升 。</w:t>
      </w:r>
    </w:p>
    <w:p w14:paraId="1B6A9924">
      <w:pPr>
        <w:pStyle w:val="4"/>
        <w:spacing w:line="243" w:lineRule="auto"/>
        <w:ind w:left="0" w:leftChars="0" w:firstLine="0" w:firstLineChars="0"/>
        <w:jc w:val="both"/>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794375" cy="3261360"/>
            <wp:effectExtent l="0" t="0" r="6350" b="5715"/>
            <wp:docPr id="7" name="图片 7" descr="截屏2026-04-19 13.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截屏2026-04-19 13.39.37"/>
                    <pic:cNvPicPr>
                      <a:picLocks noChangeAspect="1"/>
                    </pic:cNvPicPr>
                  </pic:nvPicPr>
                  <pic:blipFill>
                    <a:blip r:embed="rId13"/>
                    <a:stretch>
                      <a:fillRect/>
                    </a:stretch>
                  </pic:blipFill>
                  <pic:spPr>
                    <a:xfrm>
                      <a:off x="0" y="0"/>
                      <a:ext cx="5794375" cy="3261360"/>
                    </a:xfrm>
                    <a:prstGeom prst="rect">
                      <a:avLst/>
                    </a:prstGeom>
                  </pic:spPr>
                </pic:pic>
              </a:graphicData>
            </a:graphic>
          </wp:inline>
        </w:drawing>
      </w:r>
    </w:p>
    <w:p w14:paraId="690DC449">
      <w:pPr>
        <w:pStyle w:val="4"/>
        <w:spacing w:line="243" w:lineRule="auto"/>
        <w:ind w:left="0" w:lef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图3 算法演变过程图</w:t>
      </w:r>
    </w:p>
    <w:p w14:paraId="0A433CC9">
      <w:pPr>
        <w:bidi w:val="0"/>
        <w:rPr>
          <w:rFonts w:hint="default"/>
          <w:lang w:val="en-US" w:eastAsia="zh-CN"/>
        </w:rPr>
      </w:pPr>
      <w:r>
        <w:rPr>
          <w:rFonts w:hint="default"/>
          <w:lang w:val="en-US" w:eastAsia="zh-CN"/>
        </w:rPr>
        <w:t>为了进一步提升工业场景下的预测精度，系统还引入了趋势特征增强与 Trend Acc 趋势校验模块，通过计算预测序列与实际序列的趋势差分，有效缓解了深度学习模型在剧烈波动工况下的滞后效应，确保未来 6 小时的 VOCs 浓度趋势预测准确率达到 75% 以上。</w:t>
      </w:r>
    </w:p>
    <w:p w14:paraId="756E7385">
      <w:pPr>
        <w:pStyle w:val="3"/>
        <w:bidi w:val="0"/>
      </w:pPr>
      <w:bookmarkStart w:id="8" w:name="_Toc23470"/>
      <w:r>
        <w:rPr>
          <w:rFonts w:hint="eastAsia"/>
          <w:lang w:val="en-US" w:eastAsia="zh-CN"/>
        </w:rPr>
        <w:t xml:space="preserve">4.2 </w:t>
      </w:r>
      <w:r>
        <w:t>基于BGE</w:t>
      </w:r>
      <w:r>
        <w:rPr>
          <w:rFonts w:hint="eastAsia"/>
          <w:lang w:val="en-US" w:eastAsia="zh-CN"/>
        </w:rPr>
        <w:t>-large-zh向量</w:t>
      </w:r>
      <w:r>
        <w:t>模型与</w:t>
      </w:r>
      <w:r>
        <w:rPr>
          <w:rFonts w:hint="eastAsia"/>
          <w:lang w:val="en-US" w:eastAsia="zh-CN"/>
        </w:rPr>
        <w:t>多源标准库</w:t>
      </w:r>
      <w:r>
        <w:t>的</w:t>
      </w:r>
      <w:r>
        <w:rPr>
          <w:rFonts w:hint="eastAsia"/>
          <w:lang w:val="en-US" w:eastAsia="zh-CN"/>
        </w:rPr>
        <w:t>RAG</w:t>
      </w:r>
      <w:r>
        <w:t>智能决策技术</w:t>
      </w:r>
      <w:bookmarkEnd w:id="8"/>
    </w:p>
    <w:p w14:paraId="5F36B9BC">
      <w:pPr>
        <w:bidi w:val="0"/>
        <w:rPr>
          <w:rFonts w:hint="default" w:ascii="Arial" w:hAnsi="Arial" w:eastAsia="楷体" w:cs="Arial"/>
          <w:snapToGrid w:val="0"/>
          <w:color w:val="000000"/>
          <w:kern w:val="0"/>
          <w:szCs w:val="21"/>
          <w:lang w:val="en-US" w:eastAsia="zh-CN" w:bidi="ar-SA"/>
        </w:rPr>
      </w:pPr>
      <w:r>
        <w:rPr>
          <w:rFonts w:hint="default"/>
          <w:lang w:val="en-US" w:eastAsia="zh-CN"/>
        </w:rPr>
        <w:t>为了解决大语言模型在化工治理垂类领域存在的“幻觉”问题，系统构建了基于检索增强生成（RAG</w:t>
      </w:r>
      <w:r>
        <w:rPr>
          <w:rFonts w:hint="eastAsia"/>
          <w:lang w:val="en-US" w:eastAsia="zh-CN"/>
        </w:rPr>
        <w:t>）</w:t>
      </w:r>
      <w:r>
        <w:rPr>
          <w:rFonts w:hint="default"/>
          <w:lang w:val="en-US" w:eastAsia="zh-CN"/>
        </w:rPr>
        <w:t>技术的智能决策链路。技术路线首先利用 BGE</w:t>
      </w:r>
      <w:r>
        <w:rPr>
          <w:rFonts w:hint="eastAsia"/>
          <w:lang w:val="en-US" w:eastAsia="zh-CN"/>
        </w:rPr>
        <w:t>-large-zh</w:t>
      </w:r>
      <w:r>
        <w:rPr>
          <w:rFonts w:hint="default"/>
          <w:lang w:val="en-US" w:eastAsia="zh-CN"/>
        </w:rPr>
        <w:t>深度语义向量模型，整合了覆盖“国家-地方-企业”三级的全维度知识库，将《GB 16297-1996 大气污染物综合排放标准》《工业园区废气综合治理技术指南》及企业内部 SOP 等专业知识文档转化为高维向量并存储于轻量级向量数据库中。当系统监测到预警信号时，RAG 引擎会实时捕获当前的浓度波动、温度压力及设备运行状态作为查询向量，在向量空间内执行高维相似度检索，精准提取最匹配的治理方案。最终，系统将检索到的专业知识与实时工况共同作为提示词（Prompt）注入大模型，生成具备逻辑支撑且符合行业标准的处置建议卡片。这一路线实现了从“经验治理”向“数据驱动决策”的跨越，确保了预警响应的专业性与闭环效率。</w:t>
      </w:r>
    </w:p>
    <w:p w14:paraId="67B17A48">
      <w:pPr>
        <w:pStyle w:val="3"/>
        <w:bidi w:val="0"/>
      </w:pPr>
      <w:bookmarkStart w:id="9" w:name="_Toc32320"/>
      <w:r>
        <w:t>4.3 基于 WebGL 与数字孪生的全要素感知技术</w:t>
      </w:r>
      <w:bookmarkEnd w:id="9"/>
    </w:p>
    <w:p w14:paraId="574A21D8">
      <w:pPr>
        <w:bidi w:val="0"/>
        <w:rPr>
          <w:rFonts w:hint="default"/>
          <w:lang w:val="en-US" w:eastAsia="zh-CN"/>
        </w:rPr>
      </w:pPr>
      <w:r>
        <w:rPr>
          <w:rFonts w:hint="default"/>
          <w:lang w:val="en-US" w:eastAsia="zh-CN"/>
        </w:rPr>
        <w:t>可视化展示层采用基于 WebGL 标准的 Three.js 引擎，构建化工园区治理设备（如 RTO 装置）的 1:1 三维数字孪生场景。该路线摒弃了传统的静态建模，实现了底层数据处理层与上层渲染引擎的实时映射。通过 WebSocket 协议，系统将清洗对齐后的实时工况参数动态推送到三维场景对应的物理节点。在技术实现上，系统利用粒子系统模拟废气流动状态，并根据预测模块的输出结果实时调整模型组件的渲染色域（如告警状态下的红色脉冲）。这种全要素感知的技术路线，实现了二维时序曲线与三维物理空间的深度融合，为管理端提供了沉浸式的态势监控视野，显著提升了复杂异常情况下的决策直观度。</w:t>
      </w:r>
    </w:p>
    <w:p w14:paraId="79F96D23">
      <w:pPr>
        <w:pStyle w:val="3"/>
        <w:bidi w:val="0"/>
      </w:pPr>
      <w:bookmarkStart w:id="10" w:name="_Toc7469"/>
      <w:r>
        <w:rPr>
          <w:rFonts w:hint="eastAsia"/>
          <w:lang w:val="en-US" w:eastAsia="zh-CN"/>
        </w:rPr>
        <w:t xml:space="preserve">4.4 </w:t>
      </w:r>
      <w:r>
        <w:t>基于容器化与异步框架的高性能部署技术</w:t>
      </w:r>
      <w:bookmarkEnd w:id="10"/>
    </w:p>
    <w:p w14:paraId="2863258F">
      <w:pPr>
        <w:bidi w:val="0"/>
        <w:rPr>
          <w:rFonts w:hint="default"/>
          <w:lang w:val="en-US" w:eastAsia="zh-CN"/>
        </w:rPr>
      </w:pPr>
      <w:r>
        <w:rPr>
          <w:rFonts w:hint="default"/>
          <w:lang w:val="en-US" w:eastAsia="zh-CN"/>
        </w:rPr>
        <w:t>为了保障系统在工业环境下的高可用性与快速部署需求，后端采用 FastAPI 异步 Web 框架配合 Docker 容器化技术。FastAPI 的非阻塞异步特性确保了系统能够并发处理 50 个以上监测点位的实时数据流，将单次预测响应时间压缩至 2 秒以内。在部署侧，系统通过 Docker 镜像对前端可视化组件、后端 FastAPI 服务、PostgreSQL 数据库及算法模型进行标准化封装，利用容器编排技术实现了一键化环境初始化。这种技术路线不仅保证了开发、测试与生产环境的绝对一致性，还为系统在不同化工园区的横向扩展与快速迁移提供了坚实的工程基础</w:t>
      </w:r>
    </w:p>
    <w:p w14:paraId="6E1D3EA0">
      <w:pPr>
        <w:pStyle w:val="2"/>
        <w:numPr>
          <w:ilvl w:val="0"/>
          <w:numId w:val="1"/>
        </w:numPr>
        <w:bidi w:val="0"/>
        <w:ind w:left="425" w:leftChars="0" w:hanging="425" w:firstLineChars="0"/>
        <w:rPr>
          <w:rFonts w:hint="eastAsia"/>
          <w:lang w:val="en-US" w:eastAsia="zh-CN"/>
        </w:rPr>
      </w:pPr>
      <w:bookmarkStart w:id="11" w:name="_Toc25514"/>
      <w:r>
        <w:rPr>
          <w:rFonts w:hint="eastAsia"/>
          <w:lang w:val="en-US" w:eastAsia="zh-CN"/>
        </w:rPr>
        <w:t>实施计划</w:t>
      </w:r>
      <w:bookmarkEnd w:id="11"/>
    </w:p>
    <w:p w14:paraId="6FDBB092">
      <w:pPr>
        <w:bidi w:val="0"/>
        <w:rPr>
          <w:rFonts w:hint="default"/>
          <w:lang w:val="en-US" w:eastAsia="zh-CN"/>
        </w:rPr>
      </w:pPr>
      <w:r>
        <w:rPr>
          <w:rFonts w:hint="default"/>
          <w:lang w:val="en-US" w:eastAsia="zh-CN"/>
        </w:rPr>
        <w:t>本项目按模块化、分阶段推进的原则实施，整体分为五个核心阶段，确保进度可控、质量稳定。</w:t>
      </w:r>
    </w:p>
    <w:p w14:paraId="41E9496F">
      <w:pPr>
        <w:bidi w:val="0"/>
        <w:rPr>
          <w:rFonts w:hint="default"/>
          <w:lang w:val="en-US" w:eastAsia="zh-CN"/>
        </w:rPr>
      </w:pPr>
      <w:r>
        <w:rPr>
          <w:rFonts w:hint="default"/>
          <w:lang w:val="en-US" w:eastAsia="zh-CN"/>
        </w:rPr>
        <w:t>项目前期准备阶段，完成业务场景调研、需求分析与技术方案设计，明确核心功能边界与技术选型，形成完整的项目实施方案。数据治理与模型开发阶段，完成多源数据采集、预处理与特征工程，构建高质量时序数据集与知识库，训练并验证 VOCs 预测模型与 RAG 检索模型，形成稳定可用的智能引擎。系统开发与模块集成阶段，基于分层架构完成前后端系统开发，实现数据接入、预测服务、可视化监控与预警派单等功能模块，并完成模块间的接口联调与业务联动。测试优化阶段，通过单元测试、集成测试与用户体验测试，排查并修复功能缺陷，优化交互流程与系统性能。部署上线与运维迭代阶段，基于 Docker 完成系统容器化部署，配置运行环境与运维规范，后续持续收集用户反馈，开展功能迭代与性能优化，保障系统长期稳定运行。</w:t>
      </w:r>
    </w:p>
    <w:p w14:paraId="46E96B64">
      <w:pPr>
        <w:rPr>
          <w:rFonts w:hint="default"/>
          <w:lang w:val="en-US" w:eastAsia="zh-CN"/>
        </w:rPr>
      </w:pPr>
    </w:p>
    <w:p w14:paraId="0469156C">
      <w:pPr>
        <w:pStyle w:val="2"/>
        <w:numPr>
          <w:ilvl w:val="0"/>
          <w:numId w:val="1"/>
        </w:numPr>
        <w:bidi w:val="0"/>
        <w:ind w:left="425" w:leftChars="0" w:hanging="425" w:firstLineChars="0"/>
        <w:rPr>
          <w:rFonts w:hint="default"/>
          <w:lang w:val="en-US" w:eastAsia="zh-CN"/>
        </w:rPr>
      </w:pPr>
      <w:bookmarkStart w:id="12" w:name="_Toc16599"/>
      <w:r>
        <w:rPr>
          <w:rFonts w:hint="eastAsia"/>
          <w:lang w:val="en-US" w:eastAsia="zh-CN"/>
        </w:rPr>
        <w:t>详细设计</w:t>
      </w:r>
      <w:bookmarkEnd w:id="12"/>
    </w:p>
    <w:p w14:paraId="778B85FC">
      <w:pPr>
        <w:rPr>
          <w:rFonts w:hint="eastAsia"/>
          <w:lang w:val="en-US" w:eastAsia="zh-CN"/>
        </w:rPr>
      </w:pPr>
    </w:p>
    <w:p w14:paraId="0BE9FA2C">
      <w:pPr>
        <w:rPr>
          <w:rFonts w:hint="eastAsia"/>
          <w:lang w:val="en-US" w:eastAsia="zh-CN"/>
        </w:rPr>
      </w:pPr>
    </w:p>
    <w:p w14:paraId="033BD8A5">
      <w:pPr>
        <w:rPr>
          <w:rFonts w:hint="eastAsia"/>
          <w:lang w:val="en-US" w:eastAsia="zh-CN"/>
        </w:rPr>
      </w:pPr>
    </w:p>
    <w:p w14:paraId="2326CA0C">
      <w:pPr>
        <w:rPr>
          <w:rFonts w:hint="eastAsia"/>
          <w:lang w:val="en-US" w:eastAsia="zh-CN"/>
        </w:rPr>
      </w:pPr>
    </w:p>
    <w:p w14:paraId="059B4B1E">
      <w:pPr>
        <w:rPr>
          <w:rFonts w:hint="eastAsia"/>
          <w:lang w:val="en-US" w:eastAsia="zh-CN"/>
        </w:rPr>
      </w:pPr>
    </w:p>
    <w:p w14:paraId="76958E65">
      <w:pPr>
        <w:rPr>
          <w:rFonts w:hint="eastAsia"/>
          <w:lang w:val="en-US" w:eastAsia="zh-CN"/>
        </w:rPr>
      </w:pPr>
    </w:p>
    <w:p w14:paraId="1EE27FB0">
      <w:pPr>
        <w:rPr>
          <w:rFonts w:hint="eastAsia"/>
          <w:lang w:val="en-US" w:eastAsia="zh-CN"/>
        </w:rPr>
      </w:pPr>
    </w:p>
    <w:p w14:paraId="30888EF3">
      <w:pPr>
        <w:rPr>
          <w:rFonts w:hint="eastAsia"/>
          <w:lang w:val="en-US" w:eastAsia="zh-CN"/>
        </w:rPr>
      </w:pPr>
    </w:p>
    <w:p w14:paraId="293EB08C">
      <w:pPr>
        <w:rPr>
          <w:rFonts w:hint="eastAsia"/>
          <w:lang w:val="en-US" w:eastAsia="zh-CN"/>
        </w:rPr>
      </w:pPr>
    </w:p>
    <w:p w14:paraId="038EEC83">
      <w:pPr>
        <w:rPr>
          <w:rFonts w:hint="eastAsia"/>
          <w:lang w:val="en-US" w:eastAsia="zh-CN"/>
        </w:rPr>
      </w:pPr>
    </w:p>
    <w:p w14:paraId="059322C4">
      <w:pPr>
        <w:rPr>
          <w:rFonts w:hint="eastAsia"/>
          <w:lang w:val="en-US" w:eastAsia="zh-CN"/>
        </w:rPr>
      </w:pPr>
    </w:p>
    <w:p w14:paraId="53EB0200">
      <w:pPr>
        <w:rPr>
          <w:rFonts w:hint="default"/>
          <w:lang w:val="en-US" w:eastAsia="zh-CN"/>
        </w:rPr>
      </w:pPr>
    </w:p>
    <w:p w14:paraId="6B086C86">
      <w:pPr>
        <w:pStyle w:val="2"/>
        <w:numPr>
          <w:ilvl w:val="0"/>
          <w:numId w:val="1"/>
        </w:numPr>
        <w:bidi w:val="0"/>
        <w:ind w:left="425" w:leftChars="0" w:hanging="425" w:firstLineChars="0"/>
        <w:rPr>
          <w:rFonts w:hint="eastAsia"/>
          <w:lang w:val="en-US" w:eastAsia="zh-CN"/>
        </w:rPr>
      </w:pPr>
      <w:bookmarkStart w:id="13" w:name="_Toc2067"/>
      <w:r>
        <w:rPr>
          <w:rFonts w:hint="eastAsia"/>
          <w:lang w:val="en-US" w:eastAsia="zh-CN"/>
        </w:rPr>
        <w:t>系统安全设计</w:t>
      </w:r>
      <w:bookmarkEnd w:id="13"/>
    </w:p>
    <w:p w14:paraId="1C4689CD">
      <w:pPr>
        <w:pStyle w:val="3"/>
        <w:numPr>
          <w:ilvl w:val="1"/>
          <w:numId w:val="2"/>
        </w:numPr>
        <w:bidi w:val="0"/>
        <w:ind w:left="567" w:leftChars="0" w:hanging="567" w:firstLineChars="0"/>
      </w:pPr>
      <w:bookmarkStart w:id="14" w:name="_Toc1031"/>
      <w:r>
        <w:t>数据库与数据资产安全</w:t>
      </w:r>
      <w:bookmarkEnd w:id="14"/>
    </w:p>
    <w:p w14:paraId="0F997CD2">
      <w:pPr>
        <w:spacing w:before="78" w:line="298" w:lineRule="auto"/>
        <w:ind w:left="32" w:right="28" w:firstLine="516"/>
        <w:jc w:val="both"/>
        <w:rPr>
          <w:rFonts w:ascii="宋体" w:hAnsi="宋体" w:eastAsia="宋体" w:cs="宋体"/>
          <w:sz w:val="24"/>
          <w:szCs w:val="24"/>
        </w:rPr>
      </w:pPr>
      <w:r>
        <w:rPr>
          <w:rFonts w:ascii="宋体" w:hAnsi="宋体" w:eastAsia="宋体" w:cs="宋体"/>
          <w:sz w:val="24"/>
          <w:szCs w:val="24"/>
        </w:rPr>
        <w:t>作为系统的核心资产，PostgreSQL 关系型数据库与用于专家建议检索的向量数据库安全设计至关重要。系统通过建立自动化增量备份与恢复机制，确保在极端工业工况导致系统故障时，能够实现分钟级的业务恢复，保障 VOCs 监测历史数据与预警记录的连续性。在访问控制方面，系统实施严格的最小权限原则，针对不同层级的开发与运维角色设定差异化的读写权限，从底层杜绝越权访问风险。同时，系统对敏感字段如一线人员联系方式及企业核心工艺参数执行透明数据加密（TDE），并配套集成数据库审计插件，实时记录并监控高风险 SQL 变更指令与异常并发访问行为，全方位筑牢数据安全底座。</w:t>
      </w:r>
    </w:p>
    <w:p w14:paraId="520227A7">
      <w:pPr>
        <w:pStyle w:val="3"/>
        <w:numPr>
          <w:ilvl w:val="1"/>
          <w:numId w:val="2"/>
        </w:numPr>
        <w:bidi w:val="0"/>
        <w:ind w:left="567" w:leftChars="0" w:hanging="567" w:firstLineChars="0"/>
      </w:pPr>
      <w:bookmarkStart w:id="15" w:name="_Toc4451"/>
      <w:r>
        <w:t>用户身份认证与权限管理</w:t>
      </w:r>
      <w:bookmarkEnd w:id="15"/>
    </w:p>
    <w:p w14:paraId="6A56C5B3">
      <w:pPr>
        <w:spacing w:before="78" w:line="298" w:lineRule="auto"/>
        <w:ind w:left="32" w:right="28" w:firstLine="516"/>
        <w:jc w:val="both"/>
        <w:rPr>
          <w:rFonts w:ascii="宋体" w:hAnsi="宋体" w:eastAsia="宋体" w:cs="宋体"/>
          <w:sz w:val="24"/>
          <w:szCs w:val="24"/>
        </w:rPr>
      </w:pPr>
      <w:r>
        <w:rPr>
          <w:rFonts w:ascii="宋体" w:hAnsi="宋体" w:eastAsia="宋体" w:cs="宋体"/>
          <w:sz w:val="24"/>
          <w:szCs w:val="24"/>
        </w:rPr>
        <w:t>用户层安全设计聚焦于身份确权与操作行为的闭环审计。系统采用基于 JWT 的身份验证体系，并支持移动端多因素认证（MFA）机制，确保只有经过深度认证的合法用户方可进入管理看板或操作移动端任务。结合 RBAC 权限模型，系统针对园区管理员、算法工程师与现场运维工定义了精细化的功能权限，限制非授权人员对 VOCs 预测模型参数及 RAG 专家建议库的修改。此外，系统通过全量审计机制记录用户的登录特征、预警处置响应时长及诊断卡片调阅行为，协助管理层在发生安全事件时进行精准溯源，并持续评估人工治理环节的安全合规性。</w:t>
      </w:r>
    </w:p>
    <w:p w14:paraId="51CF7B15">
      <w:pPr>
        <w:pStyle w:val="3"/>
        <w:bidi w:val="0"/>
      </w:pPr>
      <w:bookmarkStart w:id="16" w:name="_Toc17174"/>
      <w:r>
        <w:t>6.3 网络通信与传输链路安全</w:t>
      </w:r>
      <w:bookmarkEnd w:id="16"/>
    </w:p>
    <w:p w14:paraId="2FCCEE83">
      <w:pPr>
        <w:spacing w:before="78" w:line="298" w:lineRule="auto"/>
        <w:ind w:left="32" w:right="28" w:firstLine="516"/>
        <w:jc w:val="both"/>
        <w:rPr>
          <w:rFonts w:ascii="宋体" w:hAnsi="宋体" w:eastAsia="宋体" w:cs="宋体"/>
          <w:sz w:val="24"/>
          <w:szCs w:val="24"/>
        </w:rPr>
      </w:pPr>
      <w:r>
        <w:rPr>
          <w:rFonts w:ascii="宋体" w:hAnsi="宋体" w:eastAsia="宋体" w:cs="宋体"/>
          <w:sz w:val="24"/>
          <w:szCs w:val="24"/>
        </w:rPr>
        <w:t>为了保障 VOCs 实时监测数据在传输过程中的完整性，系统通过构建多重防御体系强化网络链路安全。全站强制启用 SSL/TLS 1.3 安全加密协议，为数据接入层网关、后端 API 与展示层终端之间建立加密隧道，有效防止数据在公网传输过程中被中间人窃听或篡改。在物理与逻辑拓扑设计上，系统利用防火墙与子网隔离技术（ACL）限制非法 IP 段的接入，仅允许已授权的传感器节点与管理终端进入业务子网。同时，采用高可用冗余网络架构规避单点故障对实时预警链路的影响，确保在复杂工业电磁环境下 7x24 小时监控业务的稳定性与可靠性。</w:t>
      </w:r>
    </w:p>
    <w:p w14:paraId="09AF9DF0">
      <w:pPr>
        <w:pStyle w:val="3"/>
        <w:bidi w:val="0"/>
      </w:pPr>
      <w:bookmarkStart w:id="17" w:name="_Toc18521"/>
      <w:r>
        <w:t>6.4 应用层防护与稳健性设计</w:t>
      </w:r>
      <w:bookmarkEnd w:id="17"/>
    </w:p>
    <w:p w14:paraId="003B976F">
      <w:pPr>
        <w:spacing w:before="78" w:line="298" w:lineRule="auto"/>
        <w:ind w:left="32" w:right="28" w:firstLine="516"/>
        <w:jc w:val="both"/>
        <w:rPr>
          <w:rFonts w:hint="default" w:ascii="宋体" w:hAnsi="宋体" w:eastAsia="宋体" w:cs="宋体"/>
          <w:sz w:val="24"/>
          <w:szCs w:val="24"/>
          <w:lang w:val="en-US" w:eastAsia="zh-CN"/>
        </w:rPr>
      </w:pPr>
      <w:r>
        <w:rPr>
          <w:rFonts w:ascii="宋体" w:hAnsi="宋体" w:eastAsia="宋体" w:cs="宋体"/>
          <w:sz w:val="24"/>
          <w:szCs w:val="24"/>
        </w:rPr>
        <w:t>应用安全设计通过全生命周期的代码防护，保障复杂业务逻辑在遭受攻击时的稳健运行。系统利用 FastAPI 框架的 Pydantic 模型对接入的异构监测数据执行强类型合法性检查，自动过滤恶意构造的非规范请求，从源头防止注入攻击。后端接口通过参数化查询机制彻底杜绝 SQL 注入风险，而前端看板则实施严格的内容安全策略（CSP），过滤潜在的 XSS 攻击脚本以保护交互界面安全。此外，系统通过部署 Web 应用防火墙（WAF）与入侵检测技术（IDS），实时捕捉并拦截针对预测引擎与 RAG 服务端的暴力破解或扫描嗅探行为，为废气治理系统的核心算力提供坚实的运行环境保护。</w:t>
      </w:r>
    </w:p>
    <w:sectPr>
      <w:headerReference r:id="rId7" w:type="default"/>
      <w:footerReference r:id="rId8" w:type="default"/>
      <w:pgSz w:w="11907" w:h="16839"/>
      <w:pgMar w:top="1540" w:right="1102" w:bottom="1265" w:left="1673" w:header="851" w:footer="966"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73DA4">
    <w:pPr>
      <w:pStyle w:val="4"/>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2C129">
    <w:pPr>
      <w:pStyle w:val="4"/>
      <w:spacing w:line="221" w:lineRule="auto"/>
      <w:ind w:left="4478"/>
      <w:rPr>
        <w:rFonts w:ascii="楷体" w:hAnsi="楷体" w:eastAsia="楷体" w:cs="楷体"/>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7CCB97">
                          <w:pPr>
                            <w:pStyle w:val="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747CCB97">
                    <w:pPr>
                      <w:pStyle w:val="6"/>
                    </w:pPr>
                    <w:r>
                      <w:fldChar w:fldCharType="begin"/>
                    </w:r>
                    <w:r>
                      <w:instrText xml:space="preserve"> PAGE  \* MERGEFORMAT </w:instrText>
                    </w:r>
                    <w:r>
                      <w:fldChar w:fldCharType="separate"/>
                    </w:r>
                    <w:r>
                      <w:t>4</w:t>
                    </w:r>
                    <w:r>
                      <w:fldChar w:fldCharType="end"/>
                    </w:r>
                  </w:p>
                </w:txbxContent>
              </v:textbox>
            </v:shape>
          </w:pict>
        </mc:Fallback>
      </mc:AlternateContent>
    </w:r>
    <w:r>
      <w:rPr>
        <w:spacing w:val="-1"/>
        <w:sz w:val="24"/>
        <w:szCs w:val="24"/>
      </w:rPr>
      <w:t xml:space="preserve">                                </w:t>
    </w:r>
    <w:r>
      <w:rPr>
        <w:spacing w:val="-2"/>
        <w:sz w:val="24"/>
        <w:szCs w:val="24"/>
      </w:rPr>
      <w:t xml:space="preserve">    </w:t>
    </w:r>
    <w:r>
      <w:rPr>
        <w:rFonts w:ascii="楷体" w:hAnsi="楷体" w:eastAsia="楷体" w:cs="楷体"/>
        <w:spacing w:val="-2"/>
        <w:sz w:val="24"/>
        <w:szCs w:val="24"/>
      </w:rPr>
      <w:t>北部第一井探</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165F4">
    <w:pPr>
      <w:spacing w:line="614" w:lineRule="exact"/>
      <w:ind w:left="27"/>
      <w:rPr>
        <w:rFonts w:ascii="楷体" w:hAnsi="楷体" w:eastAsia="楷体" w:cs="楷体"/>
        <w:sz w:val="24"/>
        <w:szCs w:val="24"/>
      </w:rPr>
    </w:pPr>
    <w:r>
      <w:pict>
        <v:shape id="_x0000_s4097" o:spid="_x0000_s4097" style="position:absolute;left:0pt;margin-left:83.65pt;margin-top:76.3pt;height:0.75pt;width:456.55pt;mso-position-horizontal-relative:page;mso-position-vertical-relative:page;z-index:251659264;mso-width-relative:page;mso-height-relative:page;" fillcolor="#000000" filled="t" stroked="f" coordsize="9130,15" o:allowincell="f" path="m0,14l9130,14,9130,0,0,0,0,14xe">
          <v:path/>
          <v:fill on="t" focussize="0,0"/>
          <v:stroke on="f"/>
          <v:imagedata o:title=""/>
          <o:lock v:ext="edit"/>
        </v:shape>
      </w:pict>
    </w:r>
    <w:r>
      <w:rPr>
        <w:rFonts w:ascii="楷体" w:hAnsi="楷体" w:eastAsia="楷体" w:cs="楷体"/>
        <w:position w:val="-7"/>
        <w:sz w:val="24"/>
        <w:szCs w:val="24"/>
      </w:rPr>
      <w:drawing>
        <wp:inline distT="0" distB="0" distL="0" distR="0">
          <wp:extent cx="346075" cy="34163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346075" cy="341630"/>
                  </a:xfrm>
                  <a:prstGeom prst="rect">
                    <a:avLst/>
                  </a:prstGeom>
                </pic:spPr>
              </pic:pic>
            </a:graphicData>
          </a:graphic>
        </wp:inline>
      </w:drawing>
    </w:r>
    <w:r>
      <w:rPr>
        <w:rFonts w:ascii="楷体" w:hAnsi="楷体" w:eastAsia="楷体" w:cs="楷体"/>
        <w:spacing w:val="-4"/>
        <w:position w:val="-7"/>
        <w:sz w:val="24"/>
        <w:szCs w:val="24"/>
      </w:rPr>
      <w:t>【A03】井盖隐患智能识别                                项目详细</w:t>
    </w:r>
    <w:r>
      <w:rPr>
        <w:rFonts w:ascii="楷体" w:hAnsi="楷体" w:eastAsia="楷体" w:cs="楷体"/>
        <w:spacing w:val="-5"/>
        <w:position w:val="-7"/>
        <w:sz w:val="24"/>
        <w:szCs w:val="24"/>
      </w:rPr>
      <w:t>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AC378">
    <w:pPr>
      <w:spacing w:line="614" w:lineRule="exact"/>
      <w:ind w:left="27"/>
      <w:rPr>
        <w:rFonts w:ascii="楷体" w:hAnsi="楷体" w:eastAsia="楷体" w:cs="楷体"/>
        <w:sz w:val="24"/>
        <w:szCs w:val="24"/>
      </w:rPr>
    </w:pPr>
    <w:r>
      <w:pict>
        <v:shape id="_x0000_s4098" o:spid="_x0000_s4098" style="position:absolute;left:0pt;margin-left:83.65pt;margin-top:76.3pt;height:0.75pt;width:456.55pt;mso-position-horizontal-relative:page;mso-position-vertical-relative:page;z-index:251659264;mso-width-relative:page;mso-height-relative:page;" fillcolor="#000000" filled="t" stroked="f" coordsize="9130,15" o:allowincell="f" path="m0,14l9130,14,9130,0,0,0,0,14xe">
          <v:path/>
          <v:fill on="t" focussize="0,0"/>
          <v:stroke on="f"/>
          <v:imagedata o:title=""/>
          <o:lock v:ext="edit"/>
        </v:shape>
      </w:pict>
    </w:r>
    <w:r>
      <w:rPr>
        <w:rFonts w:ascii="楷体" w:hAnsi="楷体" w:eastAsia="楷体" w:cs="楷体"/>
        <w:position w:val="-7"/>
        <w:sz w:val="24"/>
        <w:szCs w:val="24"/>
      </w:rPr>
      <w:drawing>
        <wp:inline distT="0" distB="0" distL="0" distR="0">
          <wp:extent cx="346075" cy="341630"/>
          <wp:effectExtent l="0" t="0" r="0" b="0"/>
          <wp:docPr id="3" name="IM 4"/>
          <wp:cNvGraphicFramePr/>
          <a:graphic xmlns:a="http://schemas.openxmlformats.org/drawingml/2006/main">
            <a:graphicData uri="http://schemas.openxmlformats.org/drawingml/2006/picture">
              <pic:pic xmlns:pic="http://schemas.openxmlformats.org/drawingml/2006/picture">
                <pic:nvPicPr>
                  <pic:cNvPr id="3" name="IM 4"/>
                  <pic:cNvPicPr/>
                </pic:nvPicPr>
                <pic:blipFill>
                  <a:blip r:embed="rId1"/>
                  <a:stretch>
                    <a:fillRect/>
                  </a:stretch>
                </pic:blipFill>
                <pic:spPr>
                  <a:xfrm>
                    <a:off x="0" y="0"/>
                    <a:ext cx="346075" cy="341630"/>
                  </a:xfrm>
                  <a:prstGeom prst="rect">
                    <a:avLst/>
                  </a:prstGeom>
                </pic:spPr>
              </pic:pic>
            </a:graphicData>
          </a:graphic>
        </wp:inline>
      </w:drawing>
    </w:r>
    <w:r>
      <w:rPr>
        <w:rFonts w:ascii="楷体" w:hAnsi="楷体" w:eastAsia="楷体" w:cs="楷体"/>
        <w:spacing w:val="-4"/>
        <w:position w:val="-7"/>
        <w:sz w:val="24"/>
        <w:szCs w:val="24"/>
      </w:rPr>
      <w:t>【A03】井盖隐患智能识别                                项目详细</w:t>
    </w:r>
    <w:r>
      <w:rPr>
        <w:rFonts w:ascii="楷体" w:hAnsi="楷体" w:eastAsia="楷体" w:cs="楷体"/>
        <w:spacing w:val="-5"/>
        <w:position w:val="-7"/>
        <w:sz w:val="24"/>
        <w:szCs w:val="24"/>
      </w:rPr>
      <w:t>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4C9045"/>
    <w:multiLevelType w:val="multilevel"/>
    <w:tmpl w:val="934C9045"/>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3CB7BC7"/>
    <w:multiLevelType w:val="singleLevel"/>
    <w:tmpl w:val="E3CB7BC7"/>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19A846E9"/>
    <w:rsid w:val="1A5B79AD"/>
    <w:rsid w:val="2DDB4C35"/>
    <w:rsid w:val="3CDB1D38"/>
    <w:rsid w:val="55564A1D"/>
    <w:rsid w:val="5B287B9E"/>
    <w:rsid w:val="6F781228"/>
    <w:rsid w:val="71CD3E62"/>
    <w:rsid w:val="7EFB51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before="50" w:beforeLines="50" w:after="50" w:afterLines="50" w:line="240" w:lineRule="auto"/>
      <w:ind w:firstLine="420" w:firstLineChars="200"/>
      <w:jc w:val="left"/>
      <w:textAlignment w:val="baseline"/>
    </w:pPr>
    <w:rPr>
      <w:rFonts w:ascii="Arial" w:hAnsi="Arial" w:eastAsia="楷体"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220" w:beforeLines="0" w:beforeAutospacing="0" w:after="210" w:afterLines="0" w:afterAutospacing="0" w:line="360"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ind w:firstLine="0" w:firstLineChars="0"/>
      <w:outlineLvl w:val="1"/>
    </w:pPr>
    <w:rPr>
      <w:rFonts w:ascii="Arial" w:hAnsi="Arial" w:eastAsia="楷体"/>
      <w:b/>
      <w:sz w:val="3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4">
    <w:name w:val="Body Text"/>
    <w:basedOn w:val="1"/>
    <w:semiHidden/>
    <w:qFormat/>
    <w:uiPriority w:val="0"/>
    <w:rPr>
      <w:rFonts w:ascii="Arial" w:hAnsi="Arial" w:eastAsia="Arial" w:cs="Arial"/>
      <w:sz w:val="21"/>
      <w:szCs w:val="21"/>
      <w:lang w:val="en-US" w:eastAsia="en-US" w:bidi="ar-SA"/>
    </w:r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5823</Words>
  <Characters>6161</Characters>
  <TotalTime>0</TotalTime>
  <ScaleCrop>false</ScaleCrop>
  <LinksUpToDate>false</LinksUpToDate>
  <CharactersWithSpaces>6314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2024-04-14T20:13:00Z</dcterms:created>
  <dc:creator>姜天亦</dc:creator>
  <cp:lastModifiedBy>EXPECT</cp:lastModifiedBy>
  <dcterms:modified xsi:type="dcterms:W3CDTF">2026-04-20T01:34:50Z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2026-04-19T20:11:57Z</vt:filetime>
  </property>
  <property fmtid="{D5CDD505-2E9C-101B-9397-08002B2CF9AE}" pid="4" name="KSOTemplateDocerSaveRecord">
    <vt:lpwstr>eyJoZGlkIjoiMDljYzUzMWQ4OWI0YzBkYjYzMDRhZTY5ZjZkYmFmYTgiLCJ1c2VySWQiOiI3MTA4NjYwMjcifQ==</vt:lpwstr>
  </property>
  <property fmtid="{D5CDD505-2E9C-101B-9397-08002B2CF9AE}" pid="5" name="KSOProductBuildVer">
    <vt:lpwstr>2052-12.1.0.25865</vt:lpwstr>
  </property>
  <property fmtid="{D5CDD505-2E9C-101B-9397-08002B2CF9AE}" pid="6" name="ICV">
    <vt:lpwstr>6FB84B935DEC43A2AC6AC74E4702471E_13</vt:lpwstr>
  </property>
</Properties>
</file>