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Report</w:t>
      </w:r>
    </w:p>
    <w:p>
      <w:r>
        <w:t>Revenue grew across every region this quarter, with the strongest gains in the Asia-Pacific segment.</w:t>
      </w:r>
    </w:p>
    <w:p>
      <w:pPr>
        <w:pStyle w:val="Heading2"/>
      </w:pPr>
      <w:r>
        <w:t>Highlights</w:t>
      </w:r>
    </w:p>
    <w:p>
      <w:pPr>
        <w:pStyle w:val="ListBullet"/>
      </w:pPr>
      <w:r>
        <w:t>Revenue up 18% year over year</w:t>
      </w:r>
    </w:p>
    <w:p>
      <w:pPr>
        <w:pStyle w:val="ListBullet"/>
      </w:pPr>
      <w:r>
        <w:t>Two new enterprise customers</w:t>
      </w:r>
    </w:p>
    <w:p>
      <w:pPr>
        <w:pStyle w:val="ListBullet"/>
      </w:pPr>
      <w:r>
        <w:t>Churn held at 2.1%</w:t>
      </w:r>
    </w:p>
    <w:p>
      <w:pPr>
        <w:pStyle w:val="Heading2"/>
      </w:pPr>
      <w:r>
        <w:t>By region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Revenue</w:t>
            </w:r>
          </w:p>
        </w:tc>
        <w:tc>
          <w:tcPr>
            <w:tcW w:type="dxa" w:w="2880"/>
          </w:tcPr>
          <w:p>
            <w:r>
              <w:t>Growth</w:t>
            </w:r>
          </w:p>
        </w:tc>
      </w:tr>
      <w:tr>
        <w:tc>
          <w:tcPr>
            <w:tcW w:type="dxa" w:w="2880"/>
          </w:tcPr>
          <w:p>
            <w:r>
              <w:t>APAC</w:t>
            </w:r>
          </w:p>
        </w:tc>
        <w:tc>
          <w:tcPr>
            <w:tcW w:type="dxa" w:w="2880"/>
          </w:tcPr>
          <w:p>
            <w:r>
              <w:t>4.2M</w:t>
            </w:r>
          </w:p>
        </w:tc>
        <w:tc>
          <w:tcPr>
            <w:tcW w:type="dxa" w:w="2880"/>
          </w:tcPr>
          <w:p>
            <w:r>
              <w:t>24%</w:t>
            </w:r>
          </w:p>
        </w:tc>
      </w:tr>
      <w:tr>
        <w:tc>
          <w:tcPr>
            <w:tcW w:type="dxa" w:w="2880"/>
          </w:tcPr>
          <w:p>
            <w:r>
              <w:t>EMEA</w:t>
            </w:r>
          </w:p>
        </w:tc>
        <w:tc>
          <w:tcPr>
            <w:tcW w:type="dxa" w:w="2880"/>
          </w:tcPr>
          <w:p>
            <w:r>
              <w:t>3.1M</w:t>
            </w:r>
          </w:p>
        </w:tc>
        <w:tc>
          <w:tcPr>
            <w:tcW w:type="dxa" w:w="2880"/>
          </w:tcPr>
          <w:p>
            <w:r>
              <w:t>11%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.tmp-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