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59F9B" w14:textId="77777777" w:rsidR="001C1FC6" w:rsidRDefault="001C1FC6" w:rsidP="001C1FC6">
      <w:r>
        <w:t>EECE5554 Robotic Sensing &amp; Navigation</w:t>
      </w:r>
    </w:p>
    <w:p w14:paraId="34D8AD57" w14:textId="7FD3C99A" w:rsidR="001C1FC6" w:rsidRDefault="001C1FC6" w:rsidP="001C1FC6">
      <w:r>
        <w:t xml:space="preserve">February </w:t>
      </w:r>
      <w:r>
        <w:t>28</w:t>
      </w:r>
      <w:r w:rsidRPr="00A767A8">
        <w:rPr>
          <w:vertAlign w:val="superscript"/>
        </w:rPr>
        <w:t>th</w:t>
      </w:r>
      <w:r>
        <w:t>, 2025</w:t>
      </w:r>
    </w:p>
    <w:p w14:paraId="777EA6A3" w14:textId="77777777" w:rsidR="001C1FC6" w:rsidRDefault="001C1FC6" w:rsidP="001C1FC6">
      <w:r>
        <w:t>William Qian</w:t>
      </w:r>
    </w:p>
    <w:p w14:paraId="50CBB8B8" w14:textId="35036183" w:rsidR="001C1FC6" w:rsidRDefault="001C1FC6" w:rsidP="001C1FC6">
      <w:pPr>
        <w:jc w:val="center"/>
      </w:pPr>
      <w:r>
        <w:t xml:space="preserve">Lab </w:t>
      </w:r>
      <w:r>
        <w:t>2:</w:t>
      </w:r>
      <w:r w:rsidRPr="001C1FC6">
        <w:t xml:space="preserve"> </w:t>
      </w:r>
      <w:r w:rsidRPr="001C1FC6">
        <w:t>Real Time Kinematic GNSS</w:t>
      </w:r>
    </w:p>
    <w:p w14:paraId="2DDFBFDC" w14:textId="77777777" w:rsidR="00A36899" w:rsidRDefault="001C1FC6" w:rsidP="00A36899">
      <w:pPr>
        <w:jc w:val="both"/>
      </w:pPr>
      <w:r>
        <w:tab/>
        <w:t xml:space="preserve">RTK GNSS, or Real-Time Kinematic </w:t>
      </w:r>
      <w:r w:rsidR="00F26279">
        <w:t>positioning</w:t>
      </w:r>
      <w:r>
        <w:t xml:space="preserve">, </w:t>
      </w:r>
      <w:r w:rsidR="00F26279">
        <w:t xml:space="preserve"> corrects common errors in current GNSS satellite navigation systems</w:t>
      </w:r>
      <w:r w:rsidR="00A36899">
        <w:t xml:space="preserve"> with the aid of a mobile receiver, or rover, to establish a data link and refine the recorded positional data. Because of the additional data correction, RTK GNSS can achieve significantly higher accuracy when compared to standard GNSS systems. RTK GNSS data may vary due to obstructions such as buildings or trees, and distance or communication issues between the rover and the base system.</w:t>
      </w:r>
    </w:p>
    <w:p w14:paraId="12C762A8" w14:textId="071A0CDD" w:rsidR="00837C91" w:rsidRDefault="0028620F" w:rsidP="00837C91">
      <w:pPr>
        <w:jc w:val="both"/>
      </w:pPr>
      <w:r>
        <w:t xml:space="preserve">The RTK GNSS system exhibits a substantial improvement in terms of accuracy when compared to the standard GNSS system. The data recorded in the </w:t>
      </w:r>
      <w:r w:rsidR="00837C91">
        <w:t xml:space="preserve">stationary </w:t>
      </w:r>
      <w:r w:rsidR="00636B46">
        <w:t xml:space="preserve">occluded </w:t>
      </w:r>
      <w:r>
        <w:t xml:space="preserve">scenario </w:t>
      </w:r>
      <w:r w:rsidR="00636B46">
        <w:t>was within centimeters of accuracy, and the data from the</w:t>
      </w:r>
      <w:r w:rsidR="00837C91">
        <w:t xml:space="preserve"> corresponding</w:t>
      </w:r>
      <w:r w:rsidR="00636B46">
        <w:t xml:space="preserve"> open scenario was even more accurate.</w:t>
      </w:r>
      <w:r w:rsidR="00837C91" w:rsidRPr="00837C91">
        <w:t xml:space="preserve"> </w:t>
      </w:r>
      <w:r w:rsidR="00837C91">
        <w:t xml:space="preserve">The northing vs easting data is plotted in Figure </w:t>
      </w:r>
      <w:r w:rsidR="00837C91">
        <w:t>1</w:t>
      </w:r>
      <w:r w:rsidR="00837C91">
        <w:t xml:space="preserve"> below for both stationary scenarios.</w:t>
      </w:r>
    </w:p>
    <w:p w14:paraId="315130BC" w14:textId="73B7B4E8" w:rsidR="00837C91" w:rsidRPr="00837C91" w:rsidRDefault="00837C91" w:rsidP="00837C91">
      <w:pPr>
        <w:jc w:val="center"/>
        <w:rPr>
          <w:b/>
          <w:bCs/>
        </w:rPr>
      </w:pPr>
      <w:r w:rsidRPr="00837C91">
        <w:rPr>
          <w:b/>
          <w:bCs/>
          <w:noProof/>
        </w:rPr>
        <w:drawing>
          <wp:inline distT="0" distB="0" distL="0" distR="0" wp14:anchorId="19FB3501" wp14:editId="552D2028">
            <wp:extent cx="2700068" cy="2409787"/>
            <wp:effectExtent l="0" t="0" r="0" b="0"/>
            <wp:docPr id="1824462021" name="Picture 6"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62021" name="Picture 6" descr="A graph of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706865" cy="2415854"/>
                    </a:xfrm>
                    <a:prstGeom prst="rect">
                      <a:avLst/>
                    </a:prstGeom>
                  </pic:spPr>
                </pic:pic>
              </a:graphicData>
            </a:graphic>
          </wp:inline>
        </w:drawing>
      </w:r>
      <w:r w:rsidRPr="00837C91">
        <w:rPr>
          <w:b/>
          <w:bCs/>
        </w:rPr>
        <w:br/>
        <w:t>Figure 1: Northing vs Easting plots for both open and occluded stationary scenarios</w:t>
      </w:r>
    </w:p>
    <w:p w14:paraId="792B61EC" w14:textId="461F2667" w:rsidR="00A36899" w:rsidRDefault="00884961" w:rsidP="00A36899">
      <w:pPr>
        <w:jc w:val="both"/>
      </w:pPr>
      <w:r>
        <w:t>The occluded data, represented by the blue markers in Figure 1,  fluctuates about the coordinate due to errors from obstructions. This may appear as a significant deviation, however, the variation in the occluded data is magnified by the graph scale. To visualize these fluctuations, t</w:t>
      </w:r>
      <w:r w:rsidR="00636B46">
        <w:t xml:space="preserve">he histograms of the variation in each dataset are shown in Figure </w:t>
      </w:r>
      <w:r w:rsidR="00837C91">
        <w:t>2</w:t>
      </w:r>
      <w:r w:rsidR="00636B46">
        <w:t xml:space="preserve"> below.</w:t>
      </w:r>
      <w:r w:rsidR="00837C91">
        <w:t xml:space="preserve"> </w:t>
      </w:r>
    </w:p>
    <w:p w14:paraId="7B20AA0E" w14:textId="77777777" w:rsidR="00A36899" w:rsidRDefault="00A36899" w:rsidP="0028620F">
      <w:pPr>
        <w:jc w:val="center"/>
      </w:pPr>
      <w:r>
        <w:rPr>
          <w:noProof/>
        </w:rPr>
        <w:lastRenderedPageBreak/>
        <w:drawing>
          <wp:inline distT="0" distB="0" distL="0" distR="0" wp14:anchorId="2A03A170" wp14:editId="0D0B039E">
            <wp:extent cx="2596551" cy="2115866"/>
            <wp:effectExtent l="0" t="0" r="0" b="0"/>
            <wp:docPr id="1583234010"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010" name="Picture 2" descr="A graph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08170" cy="2125334"/>
                    </a:xfrm>
                    <a:prstGeom prst="rect">
                      <a:avLst/>
                    </a:prstGeom>
                  </pic:spPr>
                </pic:pic>
              </a:graphicData>
            </a:graphic>
          </wp:inline>
        </w:drawing>
      </w:r>
      <w:r>
        <w:rPr>
          <w:noProof/>
        </w:rPr>
        <w:drawing>
          <wp:inline distT="0" distB="0" distL="0" distR="0" wp14:anchorId="46326FA4" wp14:editId="6D46432C">
            <wp:extent cx="2846717" cy="2141729"/>
            <wp:effectExtent l="0" t="0" r="0" b="0"/>
            <wp:docPr id="789070973" name="Picture 3" descr="A graph of a person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70973" name="Picture 3" descr="A graph of a person with a bar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52690" cy="2146223"/>
                    </a:xfrm>
                    <a:prstGeom prst="rect">
                      <a:avLst/>
                    </a:prstGeom>
                  </pic:spPr>
                </pic:pic>
              </a:graphicData>
            </a:graphic>
          </wp:inline>
        </w:drawing>
      </w:r>
    </w:p>
    <w:p w14:paraId="66DEED68" w14:textId="0EF77263" w:rsidR="0028620F" w:rsidRPr="00884961" w:rsidRDefault="0028620F" w:rsidP="0028620F">
      <w:pPr>
        <w:jc w:val="center"/>
        <w:rPr>
          <w:b/>
          <w:bCs/>
        </w:rPr>
      </w:pPr>
      <w:r w:rsidRPr="00884961">
        <w:rPr>
          <w:b/>
          <w:bCs/>
        </w:rPr>
        <w:t>Figure</w:t>
      </w:r>
      <w:r w:rsidR="00884961">
        <w:rPr>
          <w:b/>
          <w:bCs/>
        </w:rPr>
        <w:t xml:space="preserve"> 2</w:t>
      </w:r>
      <w:r w:rsidRPr="00884961">
        <w:rPr>
          <w:b/>
          <w:bCs/>
        </w:rPr>
        <w:t>: Histograms for occluded (left) and open (right) stationary data</w:t>
      </w:r>
    </w:p>
    <w:p w14:paraId="4AEF03AA" w14:textId="77777777" w:rsidR="00837C91" w:rsidRDefault="00636B46" w:rsidP="00A36899">
      <w:pPr>
        <w:jc w:val="both"/>
      </w:pPr>
      <w:r>
        <w:t>The data variation histogram for the occluded data is more evenly spread out. While it may seem that the open dataset exhibits a similar variation in data, the scale is at the 10</w:t>
      </w:r>
      <w:r>
        <w:rPr>
          <w:vertAlign w:val="superscript"/>
        </w:rPr>
        <w:t xml:space="preserve">-9 </w:t>
      </w:r>
      <w:r>
        <w:t>power scale, which spreads the data out more.</w:t>
      </w:r>
      <w:r w:rsidR="00105151">
        <w:t xml:space="preserve"> The occluded data was recorded at the Northeastern West Village area, which is surrounded by dorm buildings and trees, thus a wider spread of data deviation is expected. This is similar to the data collected in Lab 1, but the data scale is significantly smaller due to the smaller deviations.</w:t>
      </w:r>
      <w:r w:rsidR="00837C91">
        <w:t xml:space="preserve"> </w:t>
      </w:r>
    </w:p>
    <w:p w14:paraId="753903C9" w14:textId="7BA1ED37" w:rsidR="00105151" w:rsidRPr="00636B46" w:rsidRDefault="00837C91" w:rsidP="00A36899">
      <w:pPr>
        <w:jc w:val="both"/>
      </w:pPr>
      <w:r>
        <w:t xml:space="preserve">In the moving datasets for both open and occluded scenarios, </w:t>
      </w:r>
      <w:r w:rsidR="00076ABB">
        <w:t xml:space="preserve">the open moving data appears perfectly straight. The occluded moving data has visible fluctuations in the path plot, </w:t>
      </w:r>
      <w:r w:rsidR="001C5FE4">
        <w:t xml:space="preserve">which is likely a function of both nearby signal obstructions such as buildings and trees, but also to the presence of physical obstructions associated with the center of a crowded college campus. These plots are shown in Figure 3 below. </w:t>
      </w:r>
    </w:p>
    <w:p w14:paraId="0F748B75" w14:textId="7CD5A59C" w:rsidR="00837C91" w:rsidRDefault="00A36899" w:rsidP="001C5FE4">
      <w:pPr>
        <w:jc w:val="center"/>
      </w:pPr>
      <w:r>
        <w:rPr>
          <w:noProof/>
        </w:rPr>
        <w:drawing>
          <wp:inline distT="0" distB="0" distL="0" distR="0" wp14:anchorId="3D0C2CBD" wp14:editId="112A237F">
            <wp:extent cx="2939390" cy="2536166"/>
            <wp:effectExtent l="0" t="0" r="0" b="0"/>
            <wp:docPr id="1394919545" name="Picture 4" descr="A blue dotted lin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19545" name="Picture 4" descr="A blue dotted line with numbers and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945883" cy="2541768"/>
                    </a:xfrm>
                    <a:prstGeom prst="rect">
                      <a:avLst/>
                    </a:prstGeom>
                  </pic:spPr>
                </pic:pic>
              </a:graphicData>
            </a:graphic>
          </wp:inline>
        </w:drawing>
      </w:r>
      <w:r>
        <w:rPr>
          <w:noProof/>
        </w:rPr>
        <w:drawing>
          <wp:inline distT="0" distB="0" distL="0" distR="0" wp14:anchorId="69B70C9D" wp14:editId="7F55CB60">
            <wp:extent cx="2962772" cy="2423712"/>
            <wp:effectExtent l="0" t="0" r="0" b="0"/>
            <wp:docPr id="1075641427" name="Picture 5"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41427" name="Picture 5" descr="A graph of a line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976091" cy="2434607"/>
                    </a:xfrm>
                    <a:prstGeom prst="rect">
                      <a:avLst/>
                    </a:prstGeom>
                  </pic:spPr>
                </pic:pic>
              </a:graphicData>
            </a:graphic>
          </wp:inline>
        </w:drawing>
      </w:r>
      <w:r w:rsidR="001C5FE4" w:rsidRPr="001C5FE4">
        <w:rPr>
          <w:b/>
          <w:bCs/>
        </w:rPr>
        <w:br/>
        <w:t>Figure 3: Moving data for occluded (left) and open (right) scenarios</w:t>
      </w:r>
    </w:p>
    <w:p w14:paraId="4EE6454D" w14:textId="77777777" w:rsidR="00884961" w:rsidRDefault="00884961" w:rsidP="00A36899">
      <w:pPr>
        <w:jc w:val="both"/>
      </w:pPr>
    </w:p>
    <w:p w14:paraId="1F252682" w14:textId="2B3F5193" w:rsidR="00A36899" w:rsidRDefault="00A36899" w:rsidP="001C5FE4"/>
    <w:sectPr w:rsidR="00A3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1FC6"/>
    <w:rsid w:val="00076ABB"/>
    <w:rsid w:val="00105151"/>
    <w:rsid w:val="001C1FC6"/>
    <w:rsid w:val="001C5FE4"/>
    <w:rsid w:val="0028620F"/>
    <w:rsid w:val="00580E1D"/>
    <w:rsid w:val="00623CFA"/>
    <w:rsid w:val="00636B46"/>
    <w:rsid w:val="006B075C"/>
    <w:rsid w:val="007C3F4E"/>
    <w:rsid w:val="00837C91"/>
    <w:rsid w:val="00884961"/>
    <w:rsid w:val="00990FDB"/>
    <w:rsid w:val="00A36899"/>
    <w:rsid w:val="00E3533F"/>
    <w:rsid w:val="00F26279"/>
    <w:rsid w:val="00FB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17A8"/>
  <w15:chartTrackingRefBased/>
  <w15:docId w15:val="{A726C6E0-6E37-42CC-BEC8-5FA3877E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FC6"/>
  </w:style>
  <w:style w:type="paragraph" w:styleId="Heading1">
    <w:name w:val="heading 1"/>
    <w:basedOn w:val="Normal"/>
    <w:next w:val="Normal"/>
    <w:link w:val="Heading1Char"/>
    <w:uiPriority w:val="9"/>
    <w:qFormat/>
    <w:rsid w:val="001C1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C6"/>
    <w:rPr>
      <w:rFonts w:eastAsiaTheme="majorEastAsia" w:cstheme="majorBidi"/>
      <w:color w:val="272727" w:themeColor="text1" w:themeTint="D8"/>
    </w:rPr>
  </w:style>
  <w:style w:type="paragraph" w:styleId="Title">
    <w:name w:val="Title"/>
    <w:basedOn w:val="Normal"/>
    <w:next w:val="Normal"/>
    <w:link w:val="TitleChar"/>
    <w:uiPriority w:val="10"/>
    <w:qFormat/>
    <w:rsid w:val="001C1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C6"/>
    <w:pPr>
      <w:spacing w:before="160"/>
      <w:jc w:val="center"/>
    </w:pPr>
    <w:rPr>
      <w:i/>
      <w:iCs/>
      <w:color w:val="404040" w:themeColor="text1" w:themeTint="BF"/>
    </w:rPr>
  </w:style>
  <w:style w:type="character" w:customStyle="1" w:styleId="QuoteChar">
    <w:name w:val="Quote Char"/>
    <w:basedOn w:val="DefaultParagraphFont"/>
    <w:link w:val="Quote"/>
    <w:uiPriority w:val="29"/>
    <w:rsid w:val="001C1FC6"/>
    <w:rPr>
      <w:i/>
      <w:iCs/>
      <w:color w:val="404040" w:themeColor="text1" w:themeTint="BF"/>
    </w:rPr>
  </w:style>
  <w:style w:type="paragraph" w:styleId="ListParagraph">
    <w:name w:val="List Paragraph"/>
    <w:basedOn w:val="Normal"/>
    <w:uiPriority w:val="34"/>
    <w:qFormat/>
    <w:rsid w:val="001C1FC6"/>
    <w:pPr>
      <w:ind w:left="720"/>
      <w:contextualSpacing/>
    </w:pPr>
  </w:style>
  <w:style w:type="character" w:styleId="IntenseEmphasis">
    <w:name w:val="Intense Emphasis"/>
    <w:basedOn w:val="DefaultParagraphFont"/>
    <w:uiPriority w:val="21"/>
    <w:qFormat/>
    <w:rsid w:val="001C1FC6"/>
    <w:rPr>
      <w:i/>
      <w:iCs/>
      <w:color w:val="0F4761" w:themeColor="accent1" w:themeShade="BF"/>
    </w:rPr>
  </w:style>
  <w:style w:type="paragraph" w:styleId="IntenseQuote">
    <w:name w:val="Intense Quote"/>
    <w:basedOn w:val="Normal"/>
    <w:next w:val="Normal"/>
    <w:link w:val="IntenseQuoteChar"/>
    <w:uiPriority w:val="30"/>
    <w:qFormat/>
    <w:rsid w:val="001C1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C6"/>
    <w:rPr>
      <w:i/>
      <w:iCs/>
      <w:color w:val="0F4761" w:themeColor="accent1" w:themeShade="BF"/>
    </w:rPr>
  </w:style>
  <w:style w:type="character" w:styleId="IntenseReference">
    <w:name w:val="Intense Reference"/>
    <w:basedOn w:val="DefaultParagraphFont"/>
    <w:uiPriority w:val="32"/>
    <w:qFormat/>
    <w:rsid w:val="001C1F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C26CC8497B1744A8BA71DAABF069E6" ma:contentTypeVersion="10" ma:contentTypeDescription="Create a new document." ma:contentTypeScope="" ma:versionID="5d26dfde53cd5a1d0967eb3b655430bd">
  <xsd:schema xmlns:xsd="http://www.w3.org/2001/XMLSchema" xmlns:xs="http://www.w3.org/2001/XMLSchema" xmlns:p="http://schemas.microsoft.com/office/2006/metadata/properties" xmlns:ns3="504ddef4-d1f4-47bb-a7fe-bcdac784bd5a" xmlns:ns4="b0f44e4b-82e2-4987-b31e-e4fb0fe8ee6d" targetNamespace="http://schemas.microsoft.com/office/2006/metadata/properties" ma:root="true" ma:fieldsID="2bbd8b88faf50ce4774a7405b11144b0" ns3:_="" ns4:_="">
    <xsd:import namespace="504ddef4-d1f4-47bb-a7fe-bcdac784bd5a"/>
    <xsd:import namespace="b0f44e4b-82e2-4987-b31e-e4fb0fe8ee6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ddef4-d1f4-47bb-a7fe-bcdac784b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f44e4b-82e2-4987-b31e-e4fb0fe8ee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04ddef4-d1f4-47bb-a7fe-bcdac784bd5a" xsi:nil="true"/>
  </documentManagement>
</p:properties>
</file>

<file path=customXml/itemProps1.xml><?xml version="1.0" encoding="utf-8"?>
<ds:datastoreItem xmlns:ds="http://schemas.openxmlformats.org/officeDocument/2006/customXml" ds:itemID="{D9DF6994-0D42-4032-8C8D-12D80CCB4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ddef4-d1f4-47bb-a7fe-bcdac784bd5a"/>
    <ds:schemaRef ds:uri="b0f44e4b-82e2-4987-b31e-e4fb0fe8e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9B580D-186D-4D13-A3F8-69DBE729AD68}">
  <ds:schemaRefs>
    <ds:schemaRef ds:uri="http://schemas.microsoft.com/sharepoint/v3/contenttype/forms"/>
  </ds:schemaRefs>
</ds:datastoreItem>
</file>

<file path=customXml/itemProps3.xml><?xml version="1.0" encoding="utf-8"?>
<ds:datastoreItem xmlns:ds="http://schemas.openxmlformats.org/officeDocument/2006/customXml" ds:itemID="{667BAE3E-2CD7-4C34-85E3-88F456A898BE}">
  <ds:schemaRefs>
    <ds:schemaRef ds:uri="http://purl.org/dc/dcmitype/"/>
    <ds:schemaRef ds:uri="http://schemas.microsoft.com/office/2006/documentManagement/types"/>
    <ds:schemaRef ds:uri="b0f44e4b-82e2-4987-b31e-e4fb0fe8ee6d"/>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504ddef4-d1f4-47bb-a7fe-bcdac784bd5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Qian</dc:creator>
  <cp:keywords/>
  <dc:description/>
  <cp:lastModifiedBy>Will Qian</cp:lastModifiedBy>
  <cp:revision>2</cp:revision>
  <dcterms:created xsi:type="dcterms:W3CDTF">2025-03-01T04:48:00Z</dcterms:created>
  <dcterms:modified xsi:type="dcterms:W3CDTF">2025-03-01T04:48:00Z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0x01010002C26CC8497B1744A8BA71DAABF069E6</vt:lpwstr>
  </property>
</Properties>
</file>