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59F9B" w14:textId="77777777" w:rsidR="001C1FC6" w:rsidRDefault="001C1FC6" w:rsidP="001C1FC6">
      <w:r>
        <w:t>EECE5554 Robotic Sensing &amp; Navigation</w:t>
      </w:r>
    </w:p>
    <w:p w14:paraId="34D8AD57" w14:textId="12E9151D" w:rsidR="001C1FC6" w:rsidRDefault="009767DB" w:rsidP="001C1FC6">
      <w:r>
        <w:t>April 9</w:t>
      </w:r>
      <w:r w:rsidR="00D401ED">
        <w:rPr>
          <w:vertAlign w:val="superscript"/>
        </w:rPr>
        <w:t>t</w:t>
      </w:r>
      <w:r>
        <w:rPr>
          <w:vertAlign w:val="superscript"/>
        </w:rPr>
        <w:t>h</w:t>
      </w:r>
      <w:r w:rsidR="001C1FC6">
        <w:t>, 2025</w:t>
      </w:r>
    </w:p>
    <w:p w14:paraId="777EA6A3" w14:textId="77777777" w:rsidR="001C1FC6" w:rsidRDefault="001C1FC6" w:rsidP="001C1FC6">
      <w:r>
        <w:t>William Qian</w:t>
      </w:r>
    </w:p>
    <w:p w14:paraId="50CBB8B8" w14:textId="55A2DBA1" w:rsidR="001C1FC6" w:rsidRDefault="001C1FC6" w:rsidP="001C1FC6">
      <w:pPr>
        <w:jc w:val="center"/>
        <w:rPr>
          <w:b/>
          <w:bCs/>
        </w:rPr>
      </w:pPr>
      <w:r w:rsidRPr="004421D6">
        <w:rPr>
          <w:b/>
          <w:bCs/>
        </w:rPr>
        <w:t xml:space="preserve">Lab </w:t>
      </w:r>
      <w:r w:rsidR="009767DB">
        <w:rPr>
          <w:b/>
          <w:bCs/>
        </w:rPr>
        <w:t>4</w:t>
      </w:r>
      <w:r w:rsidRPr="004421D6">
        <w:rPr>
          <w:b/>
          <w:bCs/>
        </w:rPr>
        <w:t xml:space="preserve">: </w:t>
      </w:r>
      <w:r w:rsidR="009767DB">
        <w:rPr>
          <w:b/>
          <w:bCs/>
        </w:rPr>
        <w:t>Dead Reckoning Navigation with IMU and Magnetometer</w:t>
      </w:r>
    </w:p>
    <w:p w14:paraId="694F55E1" w14:textId="77777777" w:rsidR="00046E29" w:rsidRPr="004421D6" w:rsidRDefault="00046E29" w:rsidP="001C1FC6">
      <w:pPr>
        <w:jc w:val="center"/>
        <w:rPr>
          <w:b/>
          <w:bCs/>
        </w:rPr>
      </w:pPr>
    </w:p>
    <w:p w14:paraId="4EE6454D" w14:textId="5EB5E6A0" w:rsidR="00884961" w:rsidRPr="004421D6" w:rsidRDefault="00D401ED" w:rsidP="00D401ED">
      <w:pPr>
        <w:jc w:val="both"/>
        <w:rPr>
          <w:b/>
          <w:bCs/>
        </w:rPr>
      </w:pPr>
      <w:r w:rsidRPr="004421D6">
        <w:rPr>
          <w:b/>
          <w:bCs/>
        </w:rPr>
        <w:t>Part I</w:t>
      </w:r>
      <w:r w:rsidR="004421D6" w:rsidRPr="004421D6">
        <w:rPr>
          <w:b/>
          <w:bCs/>
        </w:rPr>
        <w:t xml:space="preserve">: </w:t>
      </w:r>
      <w:r w:rsidR="007A0E14">
        <w:rPr>
          <w:b/>
          <w:bCs/>
        </w:rPr>
        <w:t xml:space="preserve">Heading </w:t>
      </w:r>
      <w:r w:rsidR="009767DB">
        <w:rPr>
          <w:b/>
          <w:bCs/>
        </w:rPr>
        <w:t>Estimate / Magnetometer Calibration</w:t>
      </w:r>
    </w:p>
    <w:p w14:paraId="179D1F6A" w14:textId="3480B328" w:rsidR="008C699D" w:rsidRDefault="006040F7" w:rsidP="004421D6">
      <w:pPr>
        <w:jc w:val="both"/>
      </w:pPr>
      <w:r>
        <w:tab/>
        <w:t>Before the magnetometer data can be used, the data must be corrected for</w:t>
      </w:r>
      <w:r w:rsidR="00D7109D">
        <w:t xml:space="preserve"> hard-iron and soft-iron effects</w:t>
      </w:r>
      <w:r w:rsidR="0019612F">
        <w:t>.</w:t>
      </w:r>
      <w:r w:rsidR="005573B2">
        <w:t xml:space="preserve"> A specific data set is collected for calibration purposes by driving a car in a circle for 5-6 laps</w:t>
      </w:r>
      <w:r w:rsidR="008C699D">
        <w:t xml:space="preserve">. The recorded data is run through the magnetometer compensation model,  shown by the matrix </w:t>
      </w:r>
      <w:r w:rsidR="009E3122">
        <w:t>equation below.</w:t>
      </w:r>
    </w:p>
    <w:p w14:paraId="5C3647C0" w14:textId="0531512E" w:rsidR="009E3122" w:rsidRPr="00117A32" w:rsidRDefault="008C699D" w:rsidP="009E3122">
      <w:pPr>
        <w:jc w:val="center"/>
        <w:rPr>
          <w:b/>
          <w:bCs/>
        </w:rPr>
      </w:pPr>
      <w:r w:rsidRPr="00117A32">
        <w:rPr>
          <w:b/>
          <w:bCs/>
        </w:rPr>
        <w:drawing>
          <wp:inline distT="0" distB="0" distL="0" distR="0" wp14:anchorId="0A038423" wp14:editId="21C604D9">
            <wp:extent cx="2881223" cy="620571"/>
            <wp:effectExtent l="0" t="0" r="0" b="0"/>
            <wp:docPr id="1529871454" name="Picture 1" descr="A group of black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1454" name="Picture 1" descr="A group of black lett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1121" cy="62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122" w:rsidRPr="00117A32">
        <w:rPr>
          <w:b/>
          <w:bCs/>
        </w:rPr>
        <w:br/>
        <w:t>Figure 1: Magnetometer compensation model</w:t>
      </w:r>
    </w:p>
    <w:p w14:paraId="7A4248CA" w14:textId="614413B0" w:rsidR="009E3122" w:rsidRDefault="009E3122" w:rsidP="00F274B3">
      <w:pPr>
        <w:jc w:val="both"/>
      </w:pPr>
      <w:r>
        <w:t xml:space="preserve">The </w:t>
      </w:r>
      <w:r w:rsidR="00B0609D">
        <w:t xml:space="preserve">3x3 matrix, or the circularizing matrix,  is the soft iron distortion matrix, which is largely used to correct the </w:t>
      </w:r>
      <w:r w:rsidR="009E2185">
        <w:t xml:space="preserve">distortions along the </w:t>
      </w:r>
      <w:r w:rsidR="00157AC3">
        <w:t>principal</w:t>
      </w:r>
      <w:r w:rsidR="009E2185">
        <w:t xml:space="preserve"> axes. The</w:t>
      </w:r>
      <w:r w:rsidR="00157AC3">
        <w:t xml:space="preserve"> </w:t>
      </w:r>
      <w:proofErr w:type="spellStart"/>
      <w:r w:rsidR="00157AC3">
        <w:t>b</w:t>
      </w:r>
      <w:r w:rsidR="003E54A2">
        <w:rPr>
          <w:vertAlign w:val="subscript"/>
        </w:rPr>
        <w:t>h</w:t>
      </w:r>
      <w:proofErr w:type="spellEnd"/>
      <w:r w:rsidR="00157AC3">
        <w:t xml:space="preserve"> variables, or hard-iron biases,</w:t>
      </w:r>
      <w:r w:rsidR="003E54A2">
        <w:t xml:space="preserve"> are tuned to center the data back to the origin. These variables are </w:t>
      </w:r>
      <w:r w:rsidR="00F274B3">
        <w:t>tuned to correct the raw magnetometer data,</w:t>
      </w:r>
      <w:r w:rsidR="00B141B0">
        <w:t xml:space="preserve"> with the idealized reference circle,</w:t>
      </w:r>
      <w:r w:rsidR="00F274B3">
        <w:t xml:space="preserve"> shown in the graph below.</w:t>
      </w:r>
    </w:p>
    <w:p w14:paraId="33690258" w14:textId="5FF36FD4" w:rsidR="003E54A2" w:rsidRPr="00117A32" w:rsidRDefault="00046E29" w:rsidP="00046E29">
      <w:pPr>
        <w:jc w:val="center"/>
        <w:rPr>
          <w:b/>
          <w:bCs/>
        </w:rPr>
      </w:pPr>
      <w:r w:rsidRPr="00117A32">
        <w:rPr>
          <w:b/>
          <w:bCs/>
          <w:noProof/>
        </w:rPr>
        <w:drawing>
          <wp:inline distT="0" distB="0" distL="0" distR="0" wp14:anchorId="1AFEED3A" wp14:editId="7FD5996C">
            <wp:extent cx="3433313" cy="2118698"/>
            <wp:effectExtent l="0" t="0" r="0" b="0"/>
            <wp:docPr id="1012087095" name="Picture 1" descr="A graph of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087095" name="Picture 1" descr="A graph of colored circle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92" cy="214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4F6" w:rsidRPr="00117A32">
        <w:rPr>
          <w:b/>
          <w:bCs/>
        </w:rPr>
        <w:br/>
        <w:t>Figure 2: Corrected and Raw Magnetometer data</w:t>
      </w:r>
    </w:p>
    <w:p w14:paraId="7A8D28FC" w14:textId="1FBE51C2" w:rsidR="007204F6" w:rsidRDefault="007204F6" w:rsidP="007204F6">
      <w:pPr>
        <w:jc w:val="both"/>
      </w:pPr>
      <w:r>
        <w:t>While the corrected data appears more circular</w:t>
      </w:r>
      <w:r w:rsidR="00232846">
        <w:t xml:space="preserve"> and centered when compared to the original raw data, the IMU experienced </w:t>
      </w:r>
      <w:r w:rsidR="005901A6">
        <w:t xml:space="preserve">severe drift during the recording process, which was not accounted for, </w:t>
      </w:r>
      <w:r w:rsidR="00230A0C">
        <w:t>which will cause issues further on.</w:t>
      </w:r>
    </w:p>
    <w:p w14:paraId="0DD5DE47" w14:textId="69480060" w:rsidR="00230A0C" w:rsidRDefault="00F81C48" w:rsidP="007204F6">
      <w:pPr>
        <w:jc w:val="both"/>
      </w:pPr>
      <w:r>
        <w:t xml:space="preserve">Converting the raw magnetometer data </w:t>
      </w:r>
      <w:r w:rsidR="00F0171B">
        <w:t xml:space="preserve">from gauss to degrees involved taking the inverse tangent </w:t>
      </w:r>
      <w:r w:rsidR="00FE4BD0">
        <w:t>of the x and y axes</w:t>
      </w:r>
      <w:r w:rsidR="00963BC9">
        <w:t xml:space="preserve"> magnetometer data</w:t>
      </w:r>
      <w:r w:rsidR="00FE4BD0">
        <w:t xml:space="preserve"> and converting the result from radians to degrees. This</w:t>
      </w:r>
      <w:r w:rsidR="00963BC9">
        <w:t xml:space="preserve"> was done to the both the raw data and the corrected data. While the raw data conversion result was fairly clean with occasional spikes to </w:t>
      </w:r>
      <w:r w:rsidR="00E26F56">
        <w:t xml:space="preserve">zero or NAN values, the inverse tangent of the </w:t>
      </w:r>
      <w:r w:rsidR="006D34FC">
        <w:t xml:space="preserve">calibrated data </w:t>
      </w:r>
      <w:r w:rsidR="006D34FC">
        <w:lastRenderedPageBreak/>
        <w:t xml:space="preserve">resulted in </w:t>
      </w:r>
      <w:r w:rsidR="002336C4">
        <w:t>volatile numerical values, which was cleaned using a low-pass filter to produce the result shown in Figure 3 below.</w:t>
      </w:r>
    </w:p>
    <w:p w14:paraId="36186398" w14:textId="77777777" w:rsidR="002336C4" w:rsidRPr="00117A32" w:rsidRDefault="00046E29" w:rsidP="00046E29">
      <w:pPr>
        <w:jc w:val="center"/>
        <w:rPr>
          <w:b/>
          <w:bCs/>
        </w:rPr>
      </w:pPr>
      <w:r w:rsidRPr="00117A32">
        <w:rPr>
          <w:b/>
          <w:bCs/>
          <w:noProof/>
        </w:rPr>
        <w:drawing>
          <wp:inline distT="0" distB="0" distL="0" distR="0" wp14:anchorId="6B40CF8C" wp14:editId="28E7D28C">
            <wp:extent cx="3959524" cy="2356257"/>
            <wp:effectExtent l="0" t="0" r="0" b="0"/>
            <wp:docPr id="1976789147" name="Picture 2" descr="A graph of a graph showing a number of magnetome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789147" name="Picture 2" descr="A graph of a graph showing a number of magnetomete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095" cy="236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6C4" w:rsidRPr="00117A32">
        <w:rPr>
          <w:b/>
          <w:bCs/>
        </w:rPr>
        <w:br/>
        <w:t>Figure 3: Filtered Corrected Magnetometer Data vs Raw Data</w:t>
      </w:r>
    </w:p>
    <w:p w14:paraId="14C4EFEC" w14:textId="7195BD5C" w:rsidR="002336C4" w:rsidRDefault="00453828" w:rsidP="002336C4">
      <w:pPr>
        <w:jc w:val="both"/>
      </w:pPr>
      <w:r>
        <w:t xml:space="preserve">The </w:t>
      </w:r>
      <w:r w:rsidR="0064247D">
        <w:t xml:space="preserve"> yaw complimentary filter uses a combination of the </w:t>
      </w:r>
      <w:r w:rsidR="002203C1">
        <w:t>filtered magnetometer yaw data, and a high-pass filtered gyroscopic yaw data set.</w:t>
      </w:r>
      <w:r w:rsidR="00CE707A">
        <w:t xml:space="preserve"> The data is combined as a weighted sum between the two data sets, shown in the equation below</w:t>
      </w:r>
      <w:r w:rsidR="00B97183">
        <w:t>. The weight is e</w:t>
      </w:r>
      <w:r w:rsidR="002142E2">
        <w:t xml:space="preserve">xperimentally determined as the alpha value </w:t>
      </w:r>
      <w:r w:rsidR="00801657">
        <w:t xml:space="preserve">shown in the equation. Here, </w:t>
      </w:r>
      <w:r w:rsidR="0068651A">
        <w:t xml:space="preserve">a higher alpha value weights the </w:t>
      </w:r>
      <w:r w:rsidR="005760A2">
        <w:t xml:space="preserve">filter more heavily to the </w:t>
      </w:r>
      <w:r w:rsidR="00D61F88">
        <w:t xml:space="preserve">gyroscopic data. An alpha value of 0.7 is selected, as the magnetometer </w:t>
      </w:r>
      <w:r w:rsidR="007A1F0D">
        <w:t>data contains drift, which is less reliable.</w:t>
      </w:r>
    </w:p>
    <w:p w14:paraId="6F9F6F96" w14:textId="029993E3" w:rsidR="008A5617" w:rsidRPr="006A1265" w:rsidRDefault="008A5617" w:rsidP="002336C4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yaw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Filtered Gyro</m:t>
                  </m:r>
                </m:sub>
              </m:sSub>
            </m:e>
          </m:d>
          <m:r>
            <w:rPr>
              <w:rFonts w:ascii="Cambria Math" w:hAnsi="Cambria Math"/>
            </w:rPr>
            <m:t>+(1-α)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 xml:space="preserve">Filtered </m:t>
              </m:r>
              <m:r>
                <w:rPr>
                  <w:rFonts w:ascii="Cambria Math" w:hAnsi="Cambria Math"/>
                </w:rPr>
                <m:t>Mag</m:t>
              </m:r>
            </m:sub>
          </m:sSub>
        </m:oMath>
      </m:oMathPara>
    </w:p>
    <w:p w14:paraId="4A383F3F" w14:textId="77777777" w:rsidR="006A1265" w:rsidRPr="007A1F0D" w:rsidRDefault="006A1265" w:rsidP="002336C4">
      <w:pPr>
        <w:jc w:val="both"/>
        <w:rPr>
          <w:rFonts w:eastAsiaTheme="minorEastAsia"/>
        </w:rPr>
      </w:pPr>
    </w:p>
    <w:p w14:paraId="247E114D" w14:textId="29D3449B" w:rsidR="003E1B33" w:rsidRDefault="007A1F0D" w:rsidP="002336C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3E1B33">
        <w:rPr>
          <w:rFonts w:eastAsiaTheme="minorEastAsia"/>
        </w:rPr>
        <w:t xml:space="preserve">magnetometer and gyro integrated yaw data is </w:t>
      </w:r>
      <w:r w:rsidR="006A1265">
        <w:rPr>
          <w:rFonts w:eastAsiaTheme="minorEastAsia"/>
        </w:rPr>
        <w:t>plotted</w:t>
      </w:r>
      <w:r w:rsidR="003E1B33">
        <w:rPr>
          <w:rFonts w:eastAsiaTheme="minorEastAsia"/>
        </w:rPr>
        <w:t xml:space="preserve"> </w:t>
      </w:r>
      <w:r w:rsidR="006A1265">
        <w:rPr>
          <w:rFonts w:eastAsiaTheme="minorEastAsia"/>
        </w:rPr>
        <w:t xml:space="preserve">on the same graph to visualize any difference in data. While both data sets </w:t>
      </w:r>
      <w:r w:rsidR="006670EC">
        <w:rPr>
          <w:rFonts w:eastAsiaTheme="minorEastAsia"/>
        </w:rPr>
        <w:t xml:space="preserve">follow the same overall trend, the disparity between the two </w:t>
      </w:r>
      <w:r w:rsidR="00090D8F">
        <w:rPr>
          <w:rFonts w:eastAsiaTheme="minorEastAsia"/>
        </w:rPr>
        <w:t>sensors is apparent. This plot is shown in Figure 4.</w:t>
      </w:r>
    </w:p>
    <w:p w14:paraId="05BEA25A" w14:textId="77777777" w:rsidR="00090D8F" w:rsidRPr="00117A32" w:rsidRDefault="00046E29" w:rsidP="00090D8F">
      <w:pPr>
        <w:jc w:val="center"/>
        <w:rPr>
          <w:b/>
          <w:bCs/>
        </w:rPr>
      </w:pPr>
      <w:r w:rsidRPr="00117A32">
        <w:rPr>
          <w:b/>
          <w:bCs/>
          <w:noProof/>
        </w:rPr>
        <w:drawing>
          <wp:inline distT="0" distB="0" distL="0" distR="0" wp14:anchorId="1A5B4523" wp14:editId="01E56B47">
            <wp:extent cx="5028870" cy="2467155"/>
            <wp:effectExtent l="0" t="0" r="0" b="0"/>
            <wp:docPr id="577717365" name="Picture 3" descr="A graph of a graph showing a blue and pink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17365" name="Picture 3" descr="A graph of a graph showing a blue and pink li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816" cy="24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D8F" w:rsidRPr="00117A32">
        <w:rPr>
          <w:b/>
          <w:bCs/>
        </w:rPr>
        <w:br/>
        <w:t>Figure 4: Magnetometer vs yaw integrated from gyro</w:t>
      </w:r>
    </w:p>
    <w:p w14:paraId="7670DAF8" w14:textId="532B7C6E" w:rsidR="00090D8F" w:rsidRDefault="00090D8F" w:rsidP="00090D8F">
      <w:pPr>
        <w:jc w:val="both"/>
      </w:pPr>
      <w:r>
        <w:lastRenderedPageBreak/>
        <w:t xml:space="preserve">After applying the complimentary filter equation, the resulting data from the complimentary filter </w:t>
      </w:r>
      <w:r w:rsidR="0052484E">
        <w:t>is plotted on the same graph. It is indicated by the black line in Figure 5 below.</w:t>
      </w:r>
      <w:r w:rsidR="00DD4AA7">
        <w:t xml:space="preserve"> Moving forward, this complimentary filter will be taken as the main Yaw data.</w:t>
      </w:r>
    </w:p>
    <w:p w14:paraId="0BF7F5A4" w14:textId="77777777" w:rsidR="0052484E" w:rsidRPr="00117A32" w:rsidRDefault="00046E29" w:rsidP="0052484E">
      <w:pPr>
        <w:jc w:val="center"/>
        <w:rPr>
          <w:b/>
          <w:bCs/>
        </w:rPr>
      </w:pPr>
      <w:r w:rsidRPr="00117A32">
        <w:rPr>
          <w:b/>
          <w:bCs/>
          <w:noProof/>
        </w:rPr>
        <w:drawing>
          <wp:inline distT="0" distB="0" distL="0" distR="0" wp14:anchorId="10FE920D" wp14:editId="595C7C24">
            <wp:extent cx="5157961" cy="2229054"/>
            <wp:effectExtent l="0" t="0" r="0" b="0"/>
            <wp:docPr id="479232607" name="Picture 4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32607" name="Picture 4" descr="A graph of different colored lines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4065" cy="223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484E" w:rsidRPr="00117A32">
        <w:rPr>
          <w:b/>
          <w:bCs/>
        </w:rPr>
        <w:br/>
        <w:t>Figure 5: Yaw data comparison between gyro, magnetometer, and complimentary filter data</w:t>
      </w:r>
    </w:p>
    <w:p w14:paraId="64DE188F" w14:textId="68A09EBC" w:rsidR="00090D8F" w:rsidRDefault="000C7424" w:rsidP="00667B4C">
      <w:pPr>
        <w:jc w:val="both"/>
      </w:pPr>
      <w:r>
        <w:t xml:space="preserve">The dataset in Figure 5 is also plotted against the </w:t>
      </w:r>
      <w:r w:rsidR="00EF48DF">
        <w:t xml:space="preserve">original yaw data, or the Euler angle from the IMU. The Euler angle, represented by the blue line shown in Figure 6, </w:t>
      </w:r>
      <w:r w:rsidR="00772E16">
        <w:t>was unwrapped</w:t>
      </w:r>
      <w:r w:rsidR="0097126D">
        <w:t>, converted to degrees, and passed through a high-pass filter to show the proper trend</w:t>
      </w:r>
      <w:r w:rsidR="00D74208">
        <w:t>.</w:t>
      </w:r>
      <w:r w:rsidR="0052484E">
        <w:t xml:space="preserve"> </w:t>
      </w:r>
    </w:p>
    <w:p w14:paraId="457AB005" w14:textId="1D5223D6" w:rsidR="00514F4A" w:rsidRPr="00117A32" w:rsidRDefault="00046E29" w:rsidP="00D74208">
      <w:pPr>
        <w:jc w:val="center"/>
        <w:rPr>
          <w:b/>
          <w:bCs/>
        </w:rPr>
      </w:pPr>
      <w:r w:rsidRPr="00117A32">
        <w:rPr>
          <w:b/>
          <w:bCs/>
          <w:noProof/>
        </w:rPr>
        <w:drawing>
          <wp:inline distT="0" distB="0" distL="0" distR="0" wp14:anchorId="0A54952E" wp14:editId="278B437D">
            <wp:extent cx="4675517" cy="2293801"/>
            <wp:effectExtent l="0" t="0" r="0" b="0"/>
            <wp:docPr id="596612837" name="Picture 5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12837" name="Picture 5" descr="A graph of different colored line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995" cy="229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208" w:rsidRPr="00117A32">
        <w:rPr>
          <w:b/>
          <w:bCs/>
        </w:rPr>
        <w:br/>
        <w:t xml:space="preserve">Figure 6: </w:t>
      </w:r>
      <w:r w:rsidR="00D74208" w:rsidRPr="00117A32">
        <w:rPr>
          <w:b/>
          <w:bCs/>
        </w:rPr>
        <w:t>Yaw data comparison between gyro, magnetometer, complimentary filter data</w:t>
      </w:r>
      <w:r w:rsidR="00D74208" w:rsidRPr="00117A32">
        <w:rPr>
          <w:b/>
          <w:bCs/>
        </w:rPr>
        <w:t>, and Euler angle</w:t>
      </w:r>
    </w:p>
    <w:p w14:paraId="503FD1C7" w14:textId="068396A2" w:rsidR="00B15512" w:rsidRDefault="002A4C5F" w:rsidP="004421D6">
      <w:pPr>
        <w:jc w:val="both"/>
      </w:pPr>
      <w:r>
        <w:t xml:space="preserve">While the magnetometer yaw </w:t>
      </w:r>
      <w:r w:rsidR="001A36EC">
        <w:t xml:space="preserve">data set suffers from severe drift, this may not be representative of the expected reliability of the magnetometer sensor. </w:t>
      </w:r>
      <w:r w:rsidR="008A5CC7">
        <w:t xml:space="preserve">However, as this incident points out, the most trustworthy yaw </w:t>
      </w:r>
      <w:r w:rsidR="006435CB">
        <w:t>estimates</w:t>
      </w:r>
      <w:r w:rsidR="008A5CC7">
        <w:t xml:space="preserve"> stem from a combination of the gyroscopic yaw and the magnetometer yaw, as significant deviations in one </w:t>
      </w:r>
      <w:r w:rsidR="006435CB">
        <w:t xml:space="preserve">source can be reduced or mitigated with another. Thus, the complementary filter </w:t>
      </w:r>
      <w:r w:rsidR="00613AEB">
        <w:t>yaw is most trustworthy for navigation.</w:t>
      </w:r>
    </w:p>
    <w:p w14:paraId="1FC7764E" w14:textId="77777777" w:rsidR="00613AEB" w:rsidRDefault="00613AEB" w:rsidP="004421D6">
      <w:pPr>
        <w:jc w:val="both"/>
      </w:pPr>
    </w:p>
    <w:p w14:paraId="4DC22C54" w14:textId="139CAA3B" w:rsidR="004421D6" w:rsidRPr="004421D6" w:rsidRDefault="004421D6" w:rsidP="004421D6">
      <w:pPr>
        <w:jc w:val="both"/>
        <w:rPr>
          <w:b/>
          <w:bCs/>
        </w:rPr>
      </w:pPr>
      <w:r w:rsidRPr="004421D6">
        <w:rPr>
          <w:b/>
          <w:bCs/>
        </w:rPr>
        <w:t xml:space="preserve">Part II: </w:t>
      </w:r>
      <w:r w:rsidR="007A0E14">
        <w:rPr>
          <w:b/>
          <w:bCs/>
        </w:rPr>
        <w:t>Forward Velocity Estimate</w:t>
      </w:r>
    </w:p>
    <w:p w14:paraId="051CA69F" w14:textId="167F3D1A" w:rsidR="00613AEB" w:rsidRDefault="00F276FC" w:rsidP="00667B4C">
      <w:pPr>
        <w:jc w:val="both"/>
      </w:pPr>
      <w:r>
        <w:lastRenderedPageBreak/>
        <w:t xml:space="preserve">The forward velocity </w:t>
      </w:r>
      <w:r w:rsidR="00E515BC">
        <w:t xml:space="preserve">from the GPS is estimated by using the </w:t>
      </w:r>
      <w:r w:rsidR="00BC3C71">
        <w:t>northing</w:t>
      </w:r>
      <w:r w:rsidR="00704266">
        <w:t xml:space="preserve"> and </w:t>
      </w:r>
      <w:r w:rsidR="00E0291B">
        <w:t>east</w:t>
      </w:r>
      <w:r w:rsidR="00704266">
        <w:t xml:space="preserve">ing positional </w:t>
      </w:r>
      <w:r w:rsidR="00E468B1">
        <w:t>data and</w:t>
      </w:r>
      <w:r w:rsidR="00704266">
        <w:t xml:space="preserve"> dividing the displacement between time intervals given by the utc </w:t>
      </w:r>
      <w:r w:rsidR="00E468B1">
        <w:t xml:space="preserve">time stamps to determine velocity. </w:t>
      </w:r>
      <w:r w:rsidR="00E0291B">
        <w:t>The velocity estimate from the GPS data is recorded in the graph below.</w:t>
      </w:r>
    </w:p>
    <w:p w14:paraId="4B398124" w14:textId="5D466F2B" w:rsidR="00697B32" w:rsidRPr="00117A32" w:rsidRDefault="00697B32" w:rsidP="00E468B1">
      <w:pPr>
        <w:jc w:val="center"/>
        <w:rPr>
          <w:b/>
          <w:bCs/>
        </w:rPr>
      </w:pPr>
      <w:r w:rsidRPr="00117A32">
        <w:rPr>
          <w:b/>
          <w:bCs/>
          <w:noProof/>
        </w:rPr>
        <w:drawing>
          <wp:inline distT="0" distB="0" distL="0" distR="0" wp14:anchorId="43A73C1F" wp14:editId="1D85D546">
            <wp:extent cx="4304581" cy="2619080"/>
            <wp:effectExtent l="0" t="0" r="0" b="0"/>
            <wp:docPr id="433055388" name="Picture 6" descr="A graph of a graph showing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55388" name="Picture 6" descr="A graph of a graph showing a number of point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322" cy="262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8B1" w:rsidRPr="00117A32">
        <w:rPr>
          <w:b/>
          <w:bCs/>
        </w:rPr>
        <w:br/>
        <w:t>Figure</w:t>
      </w:r>
      <w:r w:rsidR="00E0291B" w:rsidRPr="00117A32">
        <w:rPr>
          <w:b/>
          <w:bCs/>
        </w:rPr>
        <w:t xml:space="preserve"> 7: Estimated velocity from GPS over time</w:t>
      </w:r>
    </w:p>
    <w:p w14:paraId="301F3EE9" w14:textId="737DA6F3" w:rsidR="00E468B1" w:rsidRDefault="00E468B1" w:rsidP="00667B4C">
      <w:pPr>
        <w:jc w:val="both"/>
      </w:pPr>
      <w:r>
        <w:t>The forward velocity from the IMU is estimated as the integral of the recorded acceleration in the x direction.</w:t>
      </w:r>
      <w:r w:rsidR="00CC3DAD">
        <w:t xml:space="preserve"> Immediately, it becomes apparent that adjustments have to be made for the velocity calculation, as the non-adjusted </w:t>
      </w:r>
      <w:r w:rsidR="00DB6117">
        <w:t xml:space="preserve">data trends upwards rapidly. This is likely due to the acceleration data being </w:t>
      </w:r>
      <w:r w:rsidR="00F15789">
        <w:t>offset</w:t>
      </w:r>
      <w:r w:rsidR="0022762B">
        <w:t>, translated where the resting state would record a positive acceleration rather than 0.</w:t>
      </w:r>
      <w:r w:rsidR="00BB493F">
        <w:t xml:space="preserve"> This causes the graph to rarely dip below</w:t>
      </w:r>
      <w:r w:rsidR="00667B4C">
        <w:t xml:space="preserve"> acceleration = 0, thus causing the integral to primarily increase.</w:t>
      </w:r>
      <w:r w:rsidR="00725D91">
        <w:t xml:space="preserve"> This behavior is shown in Figure 8 below.</w:t>
      </w:r>
    </w:p>
    <w:p w14:paraId="21D5557F" w14:textId="49FE7C67" w:rsidR="00CC3DAD" w:rsidRPr="00117A32" w:rsidRDefault="00CC3DAD" w:rsidP="00725D91">
      <w:pPr>
        <w:jc w:val="center"/>
        <w:rPr>
          <w:b/>
          <w:bCs/>
        </w:rPr>
      </w:pPr>
      <w:r w:rsidRPr="00117A32">
        <w:rPr>
          <w:b/>
          <w:bCs/>
          <w:noProof/>
        </w:rPr>
        <w:drawing>
          <wp:inline distT="0" distB="0" distL="0" distR="0" wp14:anchorId="0E839A6E" wp14:editId="368B61D8">
            <wp:extent cx="4209691" cy="2684128"/>
            <wp:effectExtent l="0" t="0" r="0" b="0"/>
            <wp:docPr id="1519155088" name="Picture 8" descr="A graph of a graph showing the growth of a stock mark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55088" name="Picture 8" descr="A graph of a graph showing the growth of a stock market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221" cy="269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5D91" w:rsidRPr="00117A32">
        <w:rPr>
          <w:b/>
          <w:bCs/>
        </w:rPr>
        <w:br/>
        <w:t xml:space="preserve">Figure 8: Adjusted vs </w:t>
      </w:r>
      <w:r w:rsidR="00AA52B0" w:rsidRPr="00117A32">
        <w:rPr>
          <w:b/>
          <w:bCs/>
        </w:rPr>
        <w:t>n</w:t>
      </w:r>
      <w:r w:rsidR="00725D91" w:rsidRPr="00117A32">
        <w:rPr>
          <w:b/>
          <w:bCs/>
        </w:rPr>
        <w:t>on-</w:t>
      </w:r>
      <w:r w:rsidR="00AA52B0" w:rsidRPr="00117A32">
        <w:rPr>
          <w:b/>
          <w:bCs/>
        </w:rPr>
        <w:t>a</w:t>
      </w:r>
      <w:r w:rsidR="00725D91" w:rsidRPr="00117A32">
        <w:rPr>
          <w:b/>
          <w:bCs/>
        </w:rPr>
        <w:t xml:space="preserve">djusted </w:t>
      </w:r>
      <w:r w:rsidR="00AA52B0" w:rsidRPr="00117A32">
        <w:rPr>
          <w:b/>
          <w:bCs/>
        </w:rPr>
        <w:t>IMU velocity estimate</w:t>
      </w:r>
    </w:p>
    <w:p w14:paraId="21CC27CA" w14:textId="59BB547C" w:rsidR="00E468B1" w:rsidRDefault="00AA52B0" w:rsidP="00AA52B0">
      <w:pPr>
        <w:jc w:val="both"/>
      </w:pPr>
      <w:r>
        <w:lastRenderedPageBreak/>
        <w:t xml:space="preserve">The velocity estimate is adjusted by </w:t>
      </w:r>
      <w:r w:rsidR="00225B2C">
        <w:t xml:space="preserve">eliminating the offset in the acceleration </w:t>
      </w:r>
      <w:r w:rsidR="004E2CA8">
        <w:t>data and</w:t>
      </w:r>
      <w:r w:rsidR="00225B2C">
        <w:t xml:space="preserve"> applying a </w:t>
      </w:r>
      <w:r w:rsidR="00AA5F81">
        <w:t xml:space="preserve">high-pass filter to smooth the </w:t>
      </w:r>
      <w:r w:rsidR="00E263EA">
        <w:t>outlier data points</w:t>
      </w:r>
      <w:r w:rsidR="004E2CA8">
        <w:t>. This velocity estimate is graphed in conjunction with the GPS velocity estimate, shown in Figure 9 below.</w:t>
      </w:r>
    </w:p>
    <w:p w14:paraId="0C703646" w14:textId="7A951650" w:rsidR="00697B32" w:rsidRPr="00117A32" w:rsidRDefault="00697B32" w:rsidP="004E2CA8">
      <w:pPr>
        <w:jc w:val="center"/>
        <w:rPr>
          <w:b/>
          <w:bCs/>
        </w:rPr>
      </w:pPr>
      <w:r w:rsidRPr="00117A32">
        <w:rPr>
          <w:b/>
          <w:bCs/>
          <w:noProof/>
        </w:rPr>
        <w:drawing>
          <wp:inline distT="0" distB="0" distL="0" distR="0" wp14:anchorId="6271FC1A" wp14:editId="7A3F3596">
            <wp:extent cx="4071668" cy="2443003"/>
            <wp:effectExtent l="0" t="0" r="0" b="0"/>
            <wp:docPr id="1605125657" name="Picture 7" descr="A graph of a graph showing a number of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25657" name="Picture 7" descr="A graph of a graph showing a number of point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891" cy="245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CA8" w:rsidRPr="00117A32">
        <w:rPr>
          <w:b/>
          <w:bCs/>
        </w:rPr>
        <w:br/>
        <w:t xml:space="preserve">Figure 9: </w:t>
      </w:r>
      <w:r w:rsidR="00A06680" w:rsidRPr="00117A32">
        <w:rPr>
          <w:b/>
          <w:bCs/>
        </w:rPr>
        <w:t>GPS vs IMU velocity estimates</w:t>
      </w:r>
    </w:p>
    <w:p w14:paraId="6D5CF394" w14:textId="4FF5CCFE" w:rsidR="00EB2309" w:rsidRDefault="00A06680" w:rsidP="007E15D6">
      <w:pPr>
        <w:jc w:val="both"/>
      </w:pPr>
      <w:r>
        <w:t xml:space="preserve">While the trends in both GPS and IMU velocity estimates are </w:t>
      </w:r>
      <w:r w:rsidR="00B10C25">
        <w:t xml:space="preserve">similar, the IMU velocity data drifts around the </w:t>
      </w:r>
      <w:r w:rsidR="00624619">
        <w:t xml:space="preserve">y=0 line, occasionally presenting a negative velocity. This could imply backwards </w:t>
      </w:r>
      <w:r w:rsidR="00E258B3">
        <w:t>driving;</w:t>
      </w:r>
      <w:r w:rsidR="00624619">
        <w:t xml:space="preserve"> however, </w:t>
      </w:r>
      <w:r w:rsidR="00E258B3">
        <w:t>the car was never put in reverse during recording. More likely, this is due to the visible d</w:t>
      </w:r>
      <w:r w:rsidR="007E15D6">
        <w:t>rifting in data, seen in the calibration plot in Part I.</w:t>
      </w:r>
    </w:p>
    <w:p w14:paraId="2136FB00" w14:textId="77777777" w:rsidR="00613AEB" w:rsidRDefault="00613AEB" w:rsidP="009A75B6"/>
    <w:p w14:paraId="12CD9A77" w14:textId="62B99882" w:rsidR="009A75B6" w:rsidRPr="009A75B6" w:rsidRDefault="009A75B6" w:rsidP="009A75B6">
      <w:pPr>
        <w:rPr>
          <w:b/>
          <w:bCs/>
        </w:rPr>
      </w:pPr>
      <w:r w:rsidRPr="009A75B6">
        <w:rPr>
          <w:b/>
          <w:bCs/>
        </w:rPr>
        <w:t xml:space="preserve">Part III: </w:t>
      </w:r>
      <w:r w:rsidR="007A0E14">
        <w:rPr>
          <w:b/>
          <w:bCs/>
        </w:rPr>
        <w:t>Dead Reckoning with IMU</w:t>
      </w:r>
    </w:p>
    <w:p w14:paraId="654C06EC" w14:textId="60C4236A" w:rsidR="0036048C" w:rsidRPr="0036048C" w:rsidRDefault="00AF7F22" w:rsidP="005F5494">
      <w:pPr>
        <w:jc w:val="both"/>
        <w:rPr>
          <w:rFonts w:eastAsiaTheme="minorEastAsia"/>
        </w:rPr>
      </w:pPr>
      <w:r>
        <w:t xml:space="preserve">In computing </w:t>
      </w:r>
      <m:oMath>
        <m:r>
          <w:rPr>
            <w:rFonts w:ascii="Cambria Math" w:hAnsi="Cambria Math"/>
          </w:rPr>
          <m:t>ω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35D81">
        <w:rPr>
          <w:rFonts w:eastAsiaTheme="minorEastAsia"/>
        </w:rPr>
        <w:t xml:space="preserve">, calculated from the product of the complementary yaw </w:t>
      </w:r>
      <w:r w:rsidR="00F35D81">
        <w:rPr>
          <w:rFonts w:eastAsiaTheme="minorEastAsia"/>
        </w:rPr>
        <w:t>derivative</w:t>
      </w:r>
      <w:r w:rsidR="00F35D81">
        <w:rPr>
          <w:rFonts w:eastAsiaTheme="minorEastAsia"/>
        </w:rPr>
        <w:t xml:space="preserve"> and the </w:t>
      </w:r>
      <w:r w:rsidR="003208D1">
        <w:rPr>
          <w:rFonts w:eastAsiaTheme="minorEastAsia"/>
        </w:rPr>
        <w:t xml:space="preserve">estimated velocity from the IMU, </w:t>
      </w:r>
      <w:r w:rsidR="008B2881">
        <w:rPr>
          <w:rFonts w:eastAsiaTheme="minorEastAsia"/>
        </w:rPr>
        <w:t xml:space="preserve">the result is compared to the </w:t>
      </w:r>
      <w:r w:rsidR="00111303">
        <w:rPr>
          <w:rFonts w:eastAsiaTheme="minorEastAsia"/>
        </w:rPr>
        <w:t xml:space="preserve">accelerometer data,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obs</m:t>
                </m:r>
              </m:sub>
            </m:sSub>
          </m:e>
        </m:acc>
      </m:oMath>
      <w:r w:rsidR="00A35677">
        <w:rPr>
          <w:rFonts w:eastAsiaTheme="minorEastAsia"/>
        </w:rPr>
        <w:t xml:space="preserve">. The trends are very similar, as shown in Figure 10 below. However, most </w:t>
      </w:r>
      <w:r w:rsidR="00FA267D">
        <w:rPr>
          <w:rFonts w:eastAsiaTheme="minorEastAsia"/>
        </w:rPr>
        <w:t xml:space="preserve">amplitudes are not nearly as large in the </w:t>
      </w:r>
      <m:oMath>
        <m:r>
          <w:rPr>
            <w:rFonts w:ascii="Cambria Math" w:hAnsi="Cambria Math"/>
          </w:rPr>
          <m:t>ω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FA267D">
        <w:rPr>
          <w:rFonts w:eastAsiaTheme="minorEastAsia"/>
        </w:rPr>
        <w:t xml:space="preserve"> data, and the </w:t>
      </w:r>
      <w:r w:rsidR="00FA267D">
        <w:rPr>
          <w:rFonts w:eastAsiaTheme="minorEastAsia"/>
        </w:rPr>
        <w:t xml:space="preserve"> </w:t>
      </w:r>
      <m:oMath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obs</m:t>
                </m:r>
              </m:sub>
            </m:sSub>
          </m:e>
        </m:acc>
      </m:oMath>
      <w:r w:rsidR="00FA267D">
        <w:rPr>
          <w:rFonts w:eastAsiaTheme="minorEastAsia"/>
        </w:rPr>
        <w:t xml:space="preserve"> data is suspiciously </w:t>
      </w:r>
      <w:r w:rsidR="0036048C">
        <w:rPr>
          <w:rFonts w:eastAsiaTheme="minorEastAsia"/>
        </w:rPr>
        <w:t>trending below zero throughout the dataset.</w:t>
      </w:r>
    </w:p>
    <w:p w14:paraId="6665727D" w14:textId="6BC9D381" w:rsidR="00BF151E" w:rsidRPr="00117A32" w:rsidRDefault="00BF151E" w:rsidP="00BF151E">
      <w:pPr>
        <w:jc w:val="center"/>
        <w:rPr>
          <w:rFonts w:ascii="Cambria Math" w:eastAsiaTheme="minorEastAsia" w:hAnsi="Cambria Math"/>
          <w:b/>
          <w:bCs/>
        </w:rPr>
      </w:pPr>
      <w:r w:rsidRPr="00117A32">
        <w:rPr>
          <w:b/>
          <w:bCs/>
          <w:noProof/>
        </w:rPr>
        <w:drawing>
          <wp:inline distT="0" distB="0" distL="0" distR="0" wp14:anchorId="132EAD85" wp14:editId="4DAD37EE">
            <wp:extent cx="3062378" cy="2325856"/>
            <wp:effectExtent l="0" t="0" r="0" b="0"/>
            <wp:docPr id="1422681534" name="Picture 9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81534" name="Picture 9" descr="A graph of a graph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978" cy="233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048C" w:rsidRPr="00117A32">
        <w:rPr>
          <w:b/>
          <w:bCs/>
        </w:rPr>
        <w:br/>
        <w:t>Figure 10:</w:t>
      </w:r>
      <w:r w:rsidR="00DA1A12" w:rsidRPr="00117A32">
        <w:rPr>
          <w:rFonts w:ascii="Cambria Math" w:hAnsi="Cambria Math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ω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="00DA1A12" w:rsidRPr="00117A32">
        <w:rPr>
          <w:rFonts w:ascii="Cambria Math" w:eastAsiaTheme="minorEastAsia" w:hAnsi="Cambria Math"/>
          <w:b/>
          <w:bCs/>
        </w:rPr>
        <w:t xml:space="preserve"> vs </w:t>
      </w:r>
      <w:r w:rsidR="00C2077C" w:rsidRPr="00117A32">
        <w:rPr>
          <w:rFonts w:ascii="Cambria Math" w:eastAsiaTheme="minorEastAsia" w:hAnsi="Cambria Math"/>
          <w:b/>
          <w:bCs/>
        </w:rPr>
        <w:t xml:space="preserve">accelerometer </w:t>
      </w:r>
      <w:r w:rsidR="00DA1A12" w:rsidRPr="00117A32">
        <w:rPr>
          <w:rFonts w:ascii="Cambria Math" w:eastAsiaTheme="minorEastAsia" w:hAnsi="Cambria Math"/>
          <w:b/>
          <w:bCs/>
        </w:rPr>
        <w:t>data</w:t>
      </w:r>
    </w:p>
    <w:p w14:paraId="65A94CF8" w14:textId="559A6BC5" w:rsidR="00DA1A12" w:rsidRDefault="00C2077C" w:rsidP="00BF133B">
      <w:pPr>
        <w:jc w:val="both"/>
      </w:pPr>
      <w:r>
        <w:lastRenderedPageBreak/>
        <w:t xml:space="preserve">This difference </w:t>
      </w:r>
      <w:r w:rsidR="00D025CC">
        <w:t xml:space="preserve">may be in part to the complementary yaw data used throughout the calculation, </w:t>
      </w:r>
      <w:r w:rsidR="00BF133B">
        <w:t xml:space="preserve"> or a minor hitch in the IMU, similar to the drift experienced in the calibration data.</w:t>
      </w:r>
    </w:p>
    <w:p w14:paraId="522DD28D" w14:textId="19C14DF4" w:rsidR="00BF133B" w:rsidRPr="00DA1A12" w:rsidRDefault="00C95525" w:rsidP="00BF133B">
      <w:pPr>
        <w:jc w:val="both"/>
      </w:pPr>
      <w:r>
        <w:t>The</w:t>
      </w:r>
      <w:r w:rsidR="0028293B">
        <w:t xml:space="preserve"> trajectories of both the IMU and GPS data are plotted in the following graph, with easting along the x-axis and northing along the y-axis. While the general shape </w:t>
      </w:r>
      <w:r w:rsidR="005B0AAD">
        <w:t xml:space="preserve">of the trajectories </w:t>
      </w:r>
      <w:r w:rsidR="00CF42EE">
        <w:t>is</w:t>
      </w:r>
      <w:r w:rsidR="005B0AAD">
        <w:t xml:space="preserve"> somewhat similar, and the major turns are present in both trajectories, the IMU data differs greatly </w:t>
      </w:r>
      <w:r w:rsidR="0099095C">
        <w:t xml:space="preserve">from the GPS trajectory. </w:t>
      </w:r>
      <w:r w:rsidR="00026426">
        <w:t>These lines are plotted in Figure 11 below.</w:t>
      </w:r>
    </w:p>
    <w:p w14:paraId="7D339FBC" w14:textId="6249099F" w:rsidR="005F5494" w:rsidRPr="00117A32" w:rsidRDefault="00BF151E" w:rsidP="0099095C">
      <w:pPr>
        <w:jc w:val="center"/>
        <w:rPr>
          <w:b/>
          <w:bCs/>
        </w:rPr>
      </w:pPr>
      <w:r w:rsidRPr="00117A32">
        <w:rPr>
          <w:b/>
          <w:bCs/>
          <w:noProof/>
        </w:rPr>
        <w:drawing>
          <wp:inline distT="0" distB="0" distL="0" distR="0" wp14:anchorId="7AA7C86F" wp14:editId="1D086692">
            <wp:extent cx="2332914" cy="3502325"/>
            <wp:effectExtent l="0" t="0" r="0" b="0"/>
            <wp:docPr id="1127876147" name="Picture 10" descr="A map of a person's bod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76147" name="Picture 10" descr="A map of a person's body&#10;&#10;AI-generated content may be incorrect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950" cy="35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095C" w:rsidRPr="00117A32">
        <w:rPr>
          <w:b/>
          <w:bCs/>
        </w:rPr>
        <w:br/>
        <w:t xml:space="preserve">Figure </w:t>
      </w:r>
      <w:r w:rsidR="00026426" w:rsidRPr="00117A32">
        <w:rPr>
          <w:b/>
          <w:bCs/>
        </w:rPr>
        <w:t>11: IMU &amp; GPS trajectories in easting and northing</w:t>
      </w:r>
    </w:p>
    <w:p w14:paraId="2FA0FB10" w14:textId="24C7F294" w:rsidR="00257B3E" w:rsidRPr="00EF52AF" w:rsidRDefault="00257B3E" w:rsidP="00117A32">
      <w:pPr>
        <w:jc w:val="both"/>
      </w:pPr>
      <w:r>
        <w:t xml:space="preserve">With each layer of smoothing and </w:t>
      </w:r>
      <w:r w:rsidR="009B4FE0">
        <w:t xml:space="preserve">adjustment for each data set, the IMU trajectory appears almost too smooth compared to the GPS data. </w:t>
      </w:r>
      <w:r w:rsidR="00FD4498">
        <w:t>The initial heading in the trajectory is not visible in the IMU data any longer.</w:t>
      </w:r>
    </w:p>
    <w:sectPr w:rsidR="00257B3E" w:rsidRPr="00EF5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1FC6"/>
    <w:rsid w:val="00026426"/>
    <w:rsid w:val="00046E29"/>
    <w:rsid w:val="00076ABB"/>
    <w:rsid w:val="00090D8F"/>
    <w:rsid w:val="000C7424"/>
    <w:rsid w:val="000F116A"/>
    <w:rsid w:val="00105151"/>
    <w:rsid w:val="00111303"/>
    <w:rsid w:val="00117A32"/>
    <w:rsid w:val="00157AC3"/>
    <w:rsid w:val="0019612F"/>
    <w:rsid w:val="001A36EC"/>
    <w:rsid w:val="001C1FC6"/>
    <w:rsid w:val="001C5FE4"/>
    <w:rsid w:val="002142E2"/>
    <w:rsid w:val="002203C1"/>
    <w:rsid w:val="00225B2C"/>
    <w:rsid w:val="0022762B"/>
    <w:rsid w:val="00230A0C"/>
    <w:rsid w:val="00232846"/>
    <w:rsid w:val="002336C4"/>
    <w:rsid w:val="00257B3E"/>
    <w:rsid w:val="0028293B"/>
    <w:rsid w:val="0028620F"/>
    <w:rsid w:val="002A4C5F"/>
    <w:rsid w:val="003208D1"/>
    <w:rsid w:val="0036048C"/>
    <w:rsid w:val="003E1B33"/>
    <w:rsid w:val="003E54A2"/>
    <w:rsid w:val="00401FFF"/>
    <w:rsid w:val="0041547E"/>
    <w:rsid w:val="004421D6"/>
    <w:rsid w:val="00453828"/>
    <w:rsid w:val="004E2CA8"/>
    <w:rsid w:val="00514F4A"/>
    <w:rsid w:val="0052484E"/>
    <w:rsid w:val="00527DC4"/>
    <w:rsid w:val="005573B2"/>
    <w:rsid w:val="005760A2"/>
    <w:rsid w:val="00580E1D"/>
    <w:rsid w:val="005901A6"/>
    <w:rsid w:val="005B0AAD"/>
    <w:rsid w:val="005F5494"/>
    <w:rsid w:val="006040F7"/>
    <w:rsid w:val="00613AEB"/>
    <w:rsid w:val="00623CFA"/>
    <w:rsid w:val="00624619"/>
    <w:rsid w:val="00636B46"/>
    <w:rsid w:val="0064247D"/>
    <w:rsid w:val="006435CB"/>
    <w:rsid w:val="006670EC"/>
    <w:rsid w:val="00667B4C"/>
    <w:rsid w:val="0068651A"/>
    <w:rsid w:val="00697B32"/>
    <w:rsid w:val="006A1265"/>
    <w:rsid w:val="006B075C"/>
    <w:rsid w:val="006D34FC"/>
    <w:rsid w:val="006D4D0A"/>
    <w:rsid w:val="006F4C0E"/>
    <w:rsid w:val="00704266"/>
    <w:rsid w:val="007204F6"/>
    <w:rsid w:val="00725D91"/>
    <w:rsid w:val="00772E16"/>
    <w:rsid w:val="007A0E14"/>
    <w:rsid w:val="007A1F0D"/>
    <w:rsid w:val="007C3F4E"/>
    <w:rsid w:val="007E15D6"/>
    <w:rsid w:val="00801657"/>
    <w:rsid w:val="00837C91"/>
    <w:rsid w:val="00884961"/>
    <w:rsid w:val="008A0A62"/>
    <w:rsid w:val="008A5617"/>
    <w:rsid w:val="008A5CC7"/>
    <w:rsid w:val="008B2881"/>
    <w:rsid w:val="008C699D"/>
    <w:rsid w:val="00930B6A"/>
    <w:rsid w:val="00933895"/>
    <w:rsid w:val="00963BC9"/>
    <w:rsid w:val="0097126D"/>
    <w:rsid w:val="009767DB"/>
    <w:rsid w:val="0099095C"/>
    <w:rsid w:val="00990FDB"/>
    <w:rsid w:val="009924C8"/>
    <w:rsid w:val="009A75B6"/>
    <w:rsid w:val="009B4FE0"/>
    <w:rsid w:val="009E2185"/>
    <w:rsid w:val="009E3122"/>
    <w:rsid w:val="00A06680"/>
    <w:rsid w:val="00A35677"/>
    <w:rsid w:val="00A36899"/>
    <w:rsid w:val="00AA52B0"/>
    <w:rsid w:val="00AA5F81"/>
    <w:rsid w:val="00AF7F22"/>
    <w:rsid w:val="00B0609D"/>
    <w:rsid w:val="00B10C25"/>
    <w:rsid w:val="00B141B0"/>
    <w:rsid w:val="00B15512"/>
    <w:rsid w:val="00B2733E"/>
    <w:rsid w:val="00B97183"/>
    <w:rsid w:val="00BB493F"/>
    <w:rsid w:val="00BC3C71"/>
    <w:rsid w:val="00BF133B"/>
    <w:rsid w:val="00BF151E"/>
    <w:rsid w:val="00C2077C"/>
    <w:rsid w:val="00C403D7"/>
    <w:rsid w:val="00C95525"/>
    <w:rsid w:val="00CC3DAD"/>
    <w:rsid w:val="00CD39BD"/>
    <w:rsid w:val="00CE707A"/>
    <w:rsid w:val="00CF42EE"/>
    <w:rsid w:val="00D025CC"/>
    <w:rsid w:val="00D401ED"/>
    <w:rsid w:val="00D61F88"/>
    <w:rsid w:val="00D7109D"/>
    <w:rsid w:val="00D74208"/>
    <w:rsid w:val="00DA1A12"/>
    <w:rsid w:val="00DB6117"/>
    <w:rsid w:val="00DD4AA7"/>
    <w:rsid w:val="00E0291B"/>
    <w:rsid w:val="00E258B3"/>
    <w:rsid w:val="00E263EA"/>
    <w:rsid w:val="00E26F56"/>
    <w:rsid w:val="00E3533F"/>
    <w:rsid w:val="00E468B1"/>
    <w:rsid w:val="00E515BC"/>
    <w:rsid w:val="00EB2309"/>
    <w:rsid w:val="00EF48DF"/>
    <w:rsid w:val="00EF52AF"/>
    <w:rsid w:val="00F0171B"/>
    <w:rsid w:val="00F15789"/>
    <w:rsid w:val="00F26279"/>
    <w:rsid w:val="00F274B3"/>
    <w:rsid w:val="00F276FC"/>
    <w:rsid w:val="00F33F4E"/>
    <w:rsid w:val="00F35D81"/>
    <w:rsid w:val="00F81C48"/>
    <w:rsid w:val="00FA267D"/>
    <w:rsid w:val="00FB110F"/>
    <w:rsid w:val="00FD4498"/>
    <w:rsid w:val="00FE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817A8"/>
  <w15:chartTrackingRefBased/>
  <w15:docId w15:val="{A726C6E0-6E37-42CC-BEC8-5FA3877EF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FC6"/>
  </w:style>
  <w:style w:type="paragraph" w:styleId="Heading1">
    <w:name w:val="heading 1"/>
    <w:basedOn w:val="Normal"/>
    <w:next w:val="Normal"/>
    <w:link w:val="Heading1Char"/>
    <w:uiPriority w:val="9"/>
    <w:qFormat/>
    <w:rsid w:val="001C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FC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A56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4ddef4-d1f4-47bb-a7fe-bcdac784bd5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C26CC8497B1744A8BA71DAABF069E6" ma:contentTypeVersion="10" ma:contentTypeDescription="Create a new document." ma:contentTypeScope="" ma:versionID="5d26dfde53cd5a1d0967eb3b655430bd">
  <xsd:schema xmlns:xsd="http://www.w3.org/2001/XMLSchema" xmlns:xs="http://www.w3.org/2001/XMLSchema" xmlns:p="http://schemas.microsoft.com/office/2006/metadata/properties" xmlns:ns3="504ddef4-d1f4-47bb-a7fe-bcdac784bd5a" xmlns:ns4="b0f44e4b-82e2-4987-b31e-e4fb0fe8ee6d" targetNamespace="http://schemas.microsoft.com/office/2006/metadata/properties" ma:root="true" ma:fieldsID="2bbd8b88faf50ce4774a7405b11144b0" ns3:_="" ns4:_="">
    <xsd:import namespace="504ddef4-d1f4-47bb-a7fe-bcdac784bd5a"/>
    <xsd:import namespace="b0f44e4b-82e2-4987-b31e-e4fb0fe8ee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ddef4-d1f4-47bb-a7fe-bcdac784bd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44e4b-82e2-4987-b31e-e4fb0fe8ee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7BAE3E-2CD7-4C34-85E3-88F456A898BE}">
  <ds:schemaRefs>
    <ds:schemaRef ds:uri="b0f44e4b-82e2-4987-b31e-e4fb0fe8ee6d"/>
    <ds:schemaRef ds:uri="504ddef4-d1f4-47bb-a7fe-bcdac784bd5a"/>
    <ds:schemaRef ds:uri="http://schemas.openxmlformats.org/package/2006/metadata/core-properties"/>
    <ds:schemaRef ds:uri="http://purl.org/dc/dcmitype/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</ds:schemaRefs>
</ds:datastoreItem>
</file>

<file path=customXml/itemProps2.xml><?xml version="1.0" encoding="utf-8"?>
<ds:datastoreItem xmlns:ds="http://schemas.openxmlformats.org/officeDocument/2006/customXml" ds:itemID="{D9DF6994-0D42-4032-8C8D-12D80CCB4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ddef4-d1f4-47bb-a7fe-bcdac784bd5a"/>
    <ds:schemaRef ds:uri="b0f44e4b-82e2-4987-b31e-e4fb0fe8e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9B580D-186D-4D13-A3F8-69DBE729AD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Qian</dc:creator>
  <cp:keywords/>
  <dc:description/>
  <cp:lastModifiedBy>Will Qian</cp:lastModifiedBy>
  <cp:revision>2</cp:revision>
  <dcterms:created xsi:type="dcterms:W3CDTF">2025-04-10T10:02:00Z</dcterms:created>
  <dcterms:modified xsi:type="dcterms:W3CDTF">2025-04-10T10:02:00Z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0x01010002C26CC8497B1744A8BA71DAABF069E6</vt:lpwstr>
  </property>
</Properties>
</file>