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42850"/>
          <w:sz w:val="30"/>
        </w:rPr>
        <w:t>Harbor Mutual Insurance</w:t>
      </w:r>
    </w:p>
    <w:p>
      <w:r>
        <w:rPr>
          <w:color w:val="5A5A5A"/>
          <w:sz w:val="22"/>
        </w:rPr>
        <w:t>CLAIM EVALUATION &amp; SETTLEMENT AUTHORITY REQUEST</w:t>
      </w:r>
    </w:p>
    <w:p/>
    <w:p>
      <w:r>
        <w:t>Claim: CLM-2026-04487    Adjuster: Renata C. Diaz    Reserves: $150,000 BI / $38,500 PD</w:t>
      </w:r>
    </w:p>
    <w:p>
      <w:r>
        <w:t>Liability Analysis:</w:t>
      </w:r>
    </w:p>
    <w:p>
      <w:r>
        <w:t>Contested — comparative negligence alleged; insured presumed majority at fault. Insured presumed majority at fault; comparative negligence of 15–25% attributable to claimant is arguable based on speed and following distance.</w:t>
      </w:r>
    </w:p>
    <w:p>
      <w:r>
        <w:t>Damages:</w:t>
      </w:r>
    </w:p>
    <w:p>
      <w:r>
        <w:t>Medical specials: $74,210.00. Diagnoses: Cervical strain (S13.4XXA); Lumbar disc herniation L4-L5 (M51.26); Post-concussive syndrome (F07.81). Plaintiff demand: $225,000.00.</w:t>
      </w:r>
    </w:p>
    <w:p>
      <w:r>
        <w:t>Recommendation:</w:t>
      </w:r>
    </w:p>
    <w:p>
      <w:r>
        <w:t>Recommend settlement authority of $132,500.00, reflecting comparative fault and litigation risk. Trial exposure estimated materially higher if liability is not apportioned.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