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0B82F" w14:textId="4FDA910F" w:rsidR="00FC3A7C" w:rsidRPr="00FC3A7C" w:rsidRDefault="00FC3A7C" w:rsidP="00FC3A7C">
      <w:pPr>
        <w:widowControl/>
        <w:spacing w:before="100" w:beforeAutospacing="1" w:after="100" w:afterAutospacing="1" w:line="240" w:lineRule="auto"/>
        <w:ind w:firstLineChars="200" w:firstLine="560"/>
        <w:jc w:val="center"/>
        <w:outlineLvl w:val="0"/>
        <w:rPr>
          <w:rFonts w:ascii="Times New Roman" w:hAnsi="Times New Roman" w:cs="Times New Roman"/>
          <w:b/>
          <w:bCs/>
          <w:sz w:val="28"/>
          <w:szCs w:val="28"/>
        </w:rPr>
      </w:pPr>
      <w:r w:rsidRPr="00FC3A7C">
        <w:rPr>
          <w:rFonts w:ascii="Times New Roman" w:hAnsi="Times New Roman" w:cs="Times New Roman"/>
          <w:b/>
          <w:bCs/>
          <w:sz w:val="28"/>
          <w:szCs w:val="28"/>
        </w:rPr>
        <w:t>Remembering and Forgetting in the Digital Era: Human Cognition, Technological Fragility, and Archival Power</w:t>
      </w:r>
    </w:p>
    <w:p w14:paraId="29ECE50F" w14:textId="367E6359" w:rsidR="003C1B67" w:rsidRPr="00FC3A7C" w:rsidRDefault="003C1B67" w:rsidP="00FC3A7C">
      <w:pPr>
        <w:ind w:firstLineChars="200" w:firstLine="420"/>
        <w:jc w:val="both"/>
        <w:rPr>
          <w:rFonts w:ascii="Times New Roman" w:hAnsi="Times New Roman" w:cs="Times New Roman"/>
          <w:sz w:val="21"/>
          <w:szCs w:val="21"/>
        </w:rPr>
      </w:pPr>
      <w:r w:rsidRPr="00FC3A7C">
        <w:rPr>
          <w:rFonts w:ascii="Times New Roman" w:hAnsi="Times New Roman" w:cs="Times New Roman"/>
          <w:sz w:val="21"/>
          <w:szCs w:val="21"/>
        </w:rPr>
        <w:t xml:space="preserve">The rapid development of artificial intelligence and digital technology has fundamentally changed the way human thinking, memory and information interaction. Digital tools have been deeply integrated into daily life, and are gradually shifting the responsibility of cognitive tasks from humans to machines. Tasks that used to rely on memory, problem-solving ability or interpersonal interaction are now often supported or even replaced by digital platforms. These changes have raised a series of urgent issues to be discussed: the future trend of human cognition, the survival of cultural memory, and the construction of the system for managing digital knowledge. At the same time, various infrastructures supporting digital information - from metadata frameworks to algorithm systems - have a profound impact on the classification, acquisition and preservation rules of knowledge. </w:t>
      </w:r>
      <w:r w:rsidR="00FC3A7C" w:rsidRPr="00FC3A7C">
        <w:rPr>
          <w:rFonts w:ascii="Times New Roman" w:hAnsi="Times New Roman" w:cs="Times New Roman"/>
          <w:sz w:val="21"/>
          <w:szCs w:val="21"/>
        </w:rPr>
        <w:t>These infrastructures are not neutral. Rather, they reflect specific cultural, political, and institutional values that determine whose voices and histories are represented, and whose are excluded, in the digital record.</w:t>
      </w:r>
    </w:p>
    <w:p w14:paraId="65FFB972" w14:textId="5E3DCD6A" w:rsidR="003C3458" w:rsidRPr="00FC3A7C" w:rsidRDefault="003C1B67" w:rsidP="00FC3A7C">
      <w:pPr>
        <w:ind w:firstLineChars="200" w:firstLine="420"/>
        <w:jc w:val="both"/>
        <w:rPr>
          <w:rFonts w:ascii="Times New Roman" w:hAnsi="Times New Roman" w:cs="Times New Roman"/>
          <w:sz w:val="21"/>
          <w:szCs w:val="21"/>
        </w:rPr>
      </w:pPr>
      <w:r w:rsidRPr="00FC3A7C">
        <w:rPr>
          <w:rFonts w:ascii="Times New Roman" w:hAnsi="Times New Roman" w:cs="Times New Roman"/>
          <w:sz w:val="21"/>
          <w:szCs w:val="21"/>
        </w:rPr>
        <w:t>This paper conducts research on two interrelated core themes: first, how digital technology reshapes human memory, how to generate new risks due to the vulnerability of digital information, and how to challenge the nature of human communication; second, the research focus is shifted to metadata and digital knowledge infrastructure, and explores the rights behind the classification system. Power game, the "gatekeeper" mechanism of file management, the hidden bias in algorithms, and the principles of community files, FAIR (findable, accessible, interoperable, reusable) and CARE (collective benefit, authoritative control, responsibility, ethical and ethical) principles Alternative plan. Comprehensive analysis shows that the digital system not only expands the cognitive ability of human beings, but also copies the existing power structure invisibly, which deeply affects what content in the digital age can be recognized, remembered and seen at the cultural level.</w:t>
      </w:r>
    </w:p>
    <w:p w14:paraId="2F97C301" w14:textId="69BFB422" w:rsidR="00774D25" w:rsidRPr="00FC3A7C" w:rsidRDefault="00774D25" w:rsidP="00FC3A7C">
      <w:pPr>
        <w:ind w:firstLineChars="200" w:firstLine="480"/>
        <w:jc w:val="both"/>
        <w:rPr>
          <w:rFonts w:ascii="Times New Roman" w:hAnsi="Times New Roman" w:cs="Times New Roman"/>
          <w:b/>
          <w:bCs/>
          <w:sz w:val="24"/>
        </w:rPr>
      </w:pPr>
      <w:r w:rsidRPr="00FC3A7C">
        <w:rPr>
          <w:rFonts w:ascii="Times New Roman" w:hAnsi="Times New Roman" w:cs="Times New Roman"/>
          <w:b/>
          <w:bCs/>
          <w:sz w:val="24"/>
        </w:rPr>
        <w:t>Digital Memory and Human Reliance on Technology</w:t>
      </w:r>
    </w:p>
    <w:p w14:paraId="78F971F3" w14:textId="7C036160" w:rsidR="00774D25" w:rsidRPr="00FC3A7C" w:rsidRDefault="00774D25" w:rsidP="00FC3A7C">
      <w:pPr>
        <w:ind w:firstLineChars="200" w:firstLine="420"/>
        <w:jc w:val="both"/>
        <w:rPr>
          <w:rFonts w:ascii="Times New Roman" w:hAnsi="Times New Roman" w:cs="Times New Roman"/>
          <w:sz w:val="21"/>
          <w:szCs w:val="21"/>
        </w:rPr>
      </w:pPr>
      <w:r w:rsidRPr="00FC3A7C">
        <w:rPr>
          <w:rFonts w:ascii="Times New Roman" w:hAnsi="Times New Roman" w:cs="Times New Roman"/>
          <w:sz w:val="21"/>
          <w:szCs w:val="21"/>
        </w:rPr>
        <w:t>This part analyzes three interrelated themes and explores the intrinsic logic of the above changes: how digital dependence reshapes human memory, how the instability of digital information poses a challenge to long-term knowledge preservation, and how the rise of artificial intelligence makes human communication and cognitive autonomy more complex. Through the discussion of these levels, this article puts forward the core point: while digital technology expands the boundaries of human capabilities, it also forms constraints on it. Digital technology brings convenience and cognitive support, but it also gives rise to dual risks at the technical and cognitive levels.</w:t>
      </w:r>
    </w:p>
    <w:p w14:paraId="46462DB9" w14:textId="77777777" w:rsidR="00774D25" w:rsidRPr="00FC3A7C" w:rsidRDefault="00774D25" w:rsidP="00FC3A7C">
      <w:pPr>
        <w:ind w:firstLineChars="200" w:firstLine="420"/>
        <w:jc w:val="both"/>
        <w:rPr>
          <w:rFonts w:ascii="Times New Roman" w:hAnsi="Times New Roman" w:cs="Times New Roman"/>
          <w:b/>
          <w:bCs/>
          <w:sz w:val="21"/>
          <w:szCs w:val="21"/>
        </w:rPr>
      </w:pPr>
      <w:r w:rsidRPr="00FC3A7C">
        <w:rPr>
          <w:rFonts w:ascii="Times New Roman" w:hAnsi="Times New Roman" w:cs="Times New Roman"/>
          <w:b/>
          <w:bCs/>
          <w:sz w:val="21"/>
          <w:szCs w:val="21"/>
        </w:rPr>
        <w:t>2.1 Digital Dependence and the Transformation of Human Memory</w:t>
      </w:r>
    </w:p>
    <w:p w14:paraId="45C23C37" w14:textId="00A8649A" w:rsidR="003C1B67" w:rsidRPr="00FC3A7C" w:rsidRDefault="003C1B67" w:rsidP="00FC3A7C">
      <w:pPr>
        <w:ind w:firstLineChars="200" w:firstLine="420"/>
        <w:jc w:val="both"/>
        <w:rPr>
          <w:rFonts w:ascii="Times New Roman" w:hAnsi="Times New Roman" w:cs="Times New Roman"/>
          <w:sz w:val="21"/>
          <w:szCs w:val="21"/>
        </w:rPr>
      </w:pPr>
      <w:r w:rsidRPr="00FC3A7C">
        <w:rPr>
          <w:rFonts w:ascii="Times New Roman" w:hAnsi="Times New Roman" w:cs="Times New Roman"/>
          <w:sz w:val="21"/>
          <w:szCs w:val="21"/>
        </w:rPr>
        <w:lastRenderedPageBreak/>
        <w:t>With the rapid development of artificial intelligence and digital technology, people's dependence on memory of various applications and websites is increasing. This dependence seems to bring convenience - people no longer need to spend a lot of time to memorize or understand information. They can retrieve content by searching websites or opening applications. In many cases, human active thinking has decreased, because digital devices have assumed the function of information storage.</w:t>
      </w:r>
    </w:p>
    <w:p w14:paraId="76A41470" w14:textId="3A844581" w:rsidR="003C1B67" w:rsidRPr="00FC3A7C" w:rsidRDefault="003C1B67" w:rsidP="00FC3A7C">
      <w:pPr>
        <w:ind w:firstLineChars="200" w:firstLine="420"/>
        <w:jc w:val="both"/>
        <w:rPr>
          <w:rFonts w:ascii="Times New Roman" w:hAnsi="Times New Roman" w:cs="Times New Roman"/>
          <w:sz w:val="21"/>
          <w:szCs w:val="21"/>
        </w:rPr>
      </w:pPr>
      <w:r w:rsidRPr="00FC3A7C">
        <w:rPr>
          <w:rFonts w:ascii="Times New Roman" w:hAnsi="Times New Roman" w:cs="Times New Roman"/>
          <w:sz w:val="21"/>
          <w:szCs w:val="21"/>
        </w:rPr>
        <w:t>"The advent of the Internet and sophisticated algorithmic search engines has made it easy to obtain information. Nowadays, people are used to binding information to computers. When individuals expect to easily obtain a certain information in the future, their memory of the information itself will weaken and strengthen the memory of the information acquisition path. The Internet has become an important form of external memory or 'interactive memory', and information is collectively stored in a space outside the human beings themselves "</w:t>
      </w:r>
      <w:r w:rsidR="00EA36D4">
        <w:rPr>
          <w:rFonts w:ascii="Times New Roman" w:hAnsi="Times New Roman" w:cs="Times New Roman"/>
          <w:sz w:val="21"/>
          <w:szCs w:val="21"/>
        </w:rPr>
        <w:fldChar w:fldCharType="begin"/>
      </w:r>
      <w:r w:rsidR="00EA36D4">
        <w:rPr>
          <w:rFonts w:ascii="Times New Roman" w:hAnsi="Times New Roman" w:cs="Times New Roman"/>
          <w:sz w:val="21"/>
          <w:szCs w:val="21"/>
        </w:rPr>
        <w:instrText xml:space="preserve"> ADDIN ZOTERO_ITEM CSL_CITATION {"citationID":"WDUDAhR4","properties":{"formattedCitation":"(Sparrow, Liu and Wegner, 2011)","plainCitation":"(Sparrow, Liu and Wegner, 2011)","noteIndex":0},"citationItems":[{"id":8,"uris":["http://zotero.org/users/18416250/items/JKS5INLP"],"itemData":{"id":8,"type":"article-journal","abstract":"The advent of the Internet, with sophisticated algorithmic search engines, has made accessing information as easy as lifting a finger. No longer do we have to make costly efforts to find the things we want. We can “Google” the old classmate, find articles online, or look up the actor who was on the tip of our tongue. The results of four studies suggest that when faced with difficult questions, people are primed to think about computers and that when people expect to have future access to information, they have lower rates of recall of the information itself and enhanced recall instead for where to access it. The Internet has become a primary form of external or transactive memory, where information is stored collectively outside ourselves.","container-title":"Science","DOI":"10.1126/science.1207745","issue":"6043","note":"publisher: American Association for the Advancement of Science","page":"776-778","source":"science.org (Atypon)","title":"Google Effects on Memory: Cognitive Consequences of Having Information at Our Fingertips","title-short":"Google Effects on Memory","volume":"333","author":[{"family":"Sparrow","given":"Betsy"},{"family":"Liu","given":"Jenny"},{"family":"Wegner","given":"Daniel M."}],"issued":{"date-parts":[["2011",8,5]]}}}],"schema":"https://github.com/citation-style-language/schema/raw/master/csl-citation.json"} </w:instrText>
      </w:r>
      <w:r w:rsidR="00EA36D4">
        <w:rPr>
          <w:rFonts w:ascii="Times New Roman" w:hAnsi="Times New Roman" w:cs="Times New Roman"/>
          <w:sz w:val="21"/>
          <w:szCs w:val="21"/>
        </w:rPr>
        <w:fldChar w:fldCharType="separate"/>
      </w:r>
      <w:r w:rsidR="00EA36D4" w:rsidRPr="00EA36D4">
        <w:rPr>
          <w:rFonts w:ascii="Times New Roman" w:hAnsi="Times New Roman" w:cs="Times New Roman" w:hint="eastAsia"/>
          <w:sz w:val="21"/>
        </w:rPr>
        <w:t>(Sparrow, Liu and Wegner, 2011)</w:t>
      </w:r>
      <w:r w:rsidR="00EA36D4">
        <w:rPr>
          <w:rFonts w:ascii="Times New Roman" w:hAnsi="Times New Roman" w:cs="Times New Roman"/>
          <w:sz w:val="21"/>
          <w:szCs w:val="21"/>
        </w:rPr>
        <w:fldChar w:fldCharType="end"/>
      </w:r>
      <w:r w:rsidR="00EA36D4">
        <w:rPr>
          <w:rFonts w:ascii="Times New Roman" w:hAnsi="Times New Roman" w:cs="Times New Roman" w:hint="eastAsia"/>
          <w:sz w:val="21"/>
          <w:szCs w:val="21"/>
        </w:rPr>
        <w:t>.</w:t>
      </w:r>
      <w:r w:rsidRPr="00FC3A7C">
        <w:rPr>
          <w:rFonts w:ascii="Times New Roman" w:hAnsi="Times New Roman" w:cs="Times New Roman"/>
          <w:sz w:val="21"/>
          <w:szCs w:val="21"/>
        </w:rPr>
        <w:t xml:space="preserve"> This phenomenon shows that human memory strategies are changing: we are increasingly inclined to remember how to obtain information, rather than the content of the information itself.</w:t>
      </w:r>
      <w:r w:rsidR="00F165AE" w:rsidRPr="00FC3A7C">
        <w:rPr>
          <w:rFonts w:ascii="Times New Roman" w:hAnsi="Times New Roman" w:cs="Times New Roman"/>
          <w:sz w:val="21"/>
          <w:szCs w:val="21"/>
        </w:rPr>
        <w:t xml:space="preserve"> However, there is</w:t>
      </w:r>
      <w:r w:rsidRPr="00FC3A7C">
        <w:rPr>
          <w:rFonts w:ascii="Times New Roman" w:hAnsi="Times New Roman" w:cs="Times New Roman"/>
          <w:sz w:val="21"/>
          <w:szCs w:val="21"/>
        </w:rPr>
        <w:t xml:space="preserve"> a realistic problem: in the scenario that digital storage or search tools cannot be used, some information still needs to be remembered by human beings; some knowledge cannot rely solely on digital backup; and some information must be internalized and absorbed to form long-term memory. In other words, although digital tools bring convenience, they cannot completely replace a stable internal memory system - it is this system that supports the independent survival and development of human beings without technology.</w:t>
      </w:r>
    </w:p>
    <w:p w14:paraId="1ABEBF0F" w14:textId="41CC4B17" w:rsidR="003C1B67" w:rsidRPr="00FC3A7C" w:rsidRDefault="003C1B67" w:rsidP="00FC3A7C">
      <w:pPr>
        <w:ind w:firstLineChars="200" w:firstLine="420"/>
        <w:jc w:val="both"/>
        <w:rPr>
          <w:rFonts w:ascii="Times New Roman" w:hAnsi="Times New Roman" w:cs="Times New Roman"/>
          <w:sz w:val="21"/>
          <w:szCs w:val="21"/>
        </w:rPr>
      </w:pPr>
      <w:r w:rsidRPr="00FC3A7C">
        <w:rPr>
          <w:rFonts w:ascii="Times New Roman" w:hAnsi="Times New Roman" w:cs="Times New Roman"/>
          <w:sz w:val="21"/>
          <w:szCs w:val="21"/>
        </w:rPr>
        <w:t xml:space="preserve">The increasing dependence on digital assistive tools forces us to rethink: what knowledge should be kept within the scope of human cognition? This leads to a key question: can the release of cognitive space with the help of digital devices really help us learn new skills or use thinking in a new way? Scholars have been exploring this topic, weighing the potential benefits, limitations and negative effects of digital amnesia </w:t>
      </w:r>
      <w:r w:rsidR="00EA36D4">
        <w:rPr>
          <w:rFonts w:ascii="Times New Roman" w:hAnsi="Times New Roman" w:cs="Times New Roman"/>
          <w:sz w:val="21"/>
          <w:szCs w:val="21"/>
        </w:rPr>
        <w:fldChar w:fldCharType="begin"/>
      </w:r>
      <w:r w:rsidR="00EA36D4">
        <w:rPr>
          <w:rFonts w:ascii="Times New Roman" w:hAnsi="Times New Roman" w:cs="Times New Roman"/>
          <w:sz w:val="21"/>
          <w:szCs w:val="21"/>
        </w:rPr>
        <w:instrText xml:space="preserve"> ADDIN ZOTERO_ITEM CSL_CITATION {"citationID":"LBCjSmpd","properties":{"formattedCitation":"(Lodha, 2019)","plainCitation":"(Lodha, 2019)","noteIndex":0},"citationItems":[{"id":13,"uris":["http://zotero.org/users/18416250/items/2DZFWI8U"],"itemData":{"id":13,"type":"article-journal","abstract":"Digital amnesia is a concept that existed since 2007 and has addressed this phenomenon as a constant threat to human memory arising out of excessive digital gadget use. The following review paper looks at the construct of digital amnesia from its inception to its current conceptualization. The paper also reviews the phenomenon named the Google effect and the seminal findings from studies of Kapersky Laboratory conducted in India and abroad. The process of how digital amnesia is caused is addressed and preventive measures for the same are suggested.","container-title":"Indian Journal of Mental Health","DOI":"10.30877/IJMH.6.1.2019.18-22","ISSN":"2394-6652, 2394-4579","issue":"1","language":"en","page":"18","source":"DOI.org (Crossref)","title":"Digital Amnesia: are we headed towards another amnesia","title-short":"Digital Amnesia","volume":"6","author":[{"family":"Lodha","given":"Pragya"}],"issued":{"date-parts":[["2019",2,8]]}}}],"schema":"https://github.com/citation-style-language/schema/raw/master/csl-citation.json"} </w:instrText>
      </w:r>
      <w:r w:rsidR="00EA36D4">
        <w:rPr>
          <w:rFonts w:ascii="Times New Roman" w:hAnsi="Times New Roman" w:cs="Times New Roman"/>
          <w:sz w:val="21"/>
          <w:szCs w:val="21"/>
        </w:rPr>
        <w:fldChar w:fldCharType="separate"/>
      </w:r>
      <w:r w:rsidR="00EA36D4" w:rsidRPr="00EA36D4">
        <w:rPr>
          <w:rFonts w:ascii="Times New Roman" w:hAnsi="Times New Roman" w:cs="Times New Roman" w:hint="eastAsia"/>
          <w:sz w:val="21"/>
        </w:rPr>
        <w:t>(Lodha, 2019)</w:t>
      </w:r>
      <w:r w:rsidR="00EA36D4">
        <w:rPr>
          <w:rFonts w:ascii="Times New Roman" w:hAnsi="Times New Roman" w:cs="Times New Roman"/>
          <w:sz w:val="21"/>
          <w:szCs w:val="21"/>
        </w:rPr>
        <w:fldChar w:fldCharType="end"/>
      </w:r>
      <w:r w:rsidR="00EA36D4">
        <w:rPr>
          <w:rFonts w:ascii="Times New Roman" w:hAnsi="Times New Roman" w:cs="Times New Roman" w:hint="eastAsia"/>
          <w:sz w:val="21"/>
          <w:szCs w:val="21"/>
        </w:rPr>
        <w:t>.</w:t>
      </w:r>
    </w:p>
    <w:p w14:paraId="43742ECD" w14:textId="30E41114" w:rsidR="00F165AE" w:rsidRPr="00FC3A7C" w:rsidRDefault="00F165AE" w:rsidP="00FC3A7C">
      <w:pPr>
        <w:ind w:firstLineChars="200" w:firstLine="420"/>
        <w:jc w:val="both"/>
        <w:rPr>
          <w:rFonts w:ascii="Times New Roman" w:hAnsi="Times New Roman" w:cs="Times New Roman"/>
          <w:sz w:val="21"/>
          <w:szCs w:val="21"/>
        </w:rPr>
      </w:pPr>
      <w:r w:rsidRPr="00FC3A7C">
        <w:rPr>
          <w:rFonts w:ascii="Times New Roman" w:hAnsi="Times New Roman" w:cs="Times New Roman"/>
          <w:sz w:val="21"/>
          <w:szCs w:val="21"/>
        </w:rPr>
        <w:t>Interestingly, some scholars have proposed that the application of technology does not simply replace human cognition, but may reshape and expand the boundaries of thinking. "</w:t>
      </w:r>
      <w:r w:rsidR="00EA36D4">
        <w:rPr>
          <w:rFonts w:ascii="Times New Roman" w:hAnsi="Times New Roman" w:cs="Times New Roman" w:hint="eastAsia"/>
          <w:sz w:val="21"/>
          <w:szCs w:val="21"/>
        </w:rPr>
        <w:t>E</w:t>
      </w:r>
      <w:r w:rsidRPr="00FC3A7C">
        <w:rPr>
          <w:rFonts w:ascii="Times New Roman" w:hAnsi="Times New Roman" w:cs="Times New Roman"/>
          <w:sz w:val="21"/>
          <w:szCs w:val="21"/>
        </w:rPr>
        <w:t>xtending mind hypothesis" believes that the mind is not limited to the physical category of the brain or even the body. On the contrary, external tools and the environment can become an integral part of the cognitive process</w:t>
      </w:r>
      <w:r w:rsidR="00EA36D4">
        <w:rPr>
          <w:rFonts w:ascii="Times New Roman" w:hAnsi="Times New Roman" w:cs="Times New Roman" w:hint="eastAsia"/>
          <w:sz w:val="21"/>
          <w:szCs w:val="21"/>
        </w:rPr>
        <w:t xml:space="preserve"> </w:t>
      </w:r>
      <w:r w:rsidR="00EA36D4">
        <w:rPr>
          <w:rFonts w:ascii="Times New Roman" w:hAnsi="Times New Roman" w:cs="Times New Roman"/>
          <w:sz w:val="21"/>
          <w:szCs w:val="21"/>
        </w:rPr>
        <w:fldChar w:fldCharType="begin"/>
      </w:r>
      <w:r w:rsidR="00EA36D4">
        <w:rPr>
          <w:rFonts w:ascii="Times New Roman" w:hAnsi="Times New Roman" w:cs="Times New Roman"/>
          <w:sz w:val="21"/>
          <w:szCs w:val="21"/>
        </w:rPr>
        <w:instrText xml:space="preserve"> ADDIN ZOTERO_ITEM CSL_CITATION {"citationID":"C48YHbNW","properties":{"formattedCitation":"(Clark and Chalmers, 1998)","plainCitation":"(Clark and Chalmers, 1998)","noteIndex":0},"citationItems":[{"id":6,"uris":["http://zotero.org/users/18416250/items/JU36268T"],"itemData":{"id":6,"type":"article-journal","container-title":"Analysis","ISSN":"0003-2638","issue":"1","page":"7-19","source":"JSTOR","title":"The Extended Mind","volume":"58","author":[{"family":"Clark","given":"Andy"},{"family":"Chalmers","given":"David"}],"issued":{"date-parts":[["1998"]]}}}],"schema":"https://github.com/citation-style-language/schema/raw/master/csl-citation.json"} </w:instrText>
      </w:r>
      <w:r w:rsidR="00EA36D4">
        <w:rPr>
          <w:rFonts w:ascii="Times New Roman" w:hAnsi="Times New Roman" w:cs="Times New Roman"/>
          <w:sz w:val="21"/>
          <w:szCs w:val="21"/>
        </w:rPr>
        <w:fldChar w:fldCharType="separate"/>
      </w:r>
      <w:r w:rsidR="00EA36D4" w:rsidRPr="00EA36D4">
        <w:rPr>
          <w:rFonts w:ascii="Times New Roman" w:hAnsi="Times New Roman" w:cs="Times New Roman" w:hint="eastAsia"/>
          <w:sz w:val="21"/>
        </w:rPr>
        <w:t>(Clark and Chalmers, 1998)</w:t>
      </w:r>
      <w:r w:rsidR="00EA36D4">
        <w:rPr>
          <w:rFonts w:ascii="Times New Roman" w:hAnsi="Times New Roman" w:cs="Times New Roman"/>
          <w:sz w:val="21"/>
          <w:szCs w:val="21"/>
        </w:rPr>
        <w:fldChar w:fldCharType="end"/>
      </w:r>
      <w:r w:rsidRPr="00FC3A7C">
        <w:rPr>
          <w:rFonts w:ascii="Times New Roman" w:hAnsi="Times New Roman" w:cs="Times New Roman"/>
          <w:sz w:val="21"/>
          <w:szCs w:val="21"/>
        </w:rPr>
        <w:t>. For example, when people use notebooks to record information, notebooks act as an external memory system. In this sense, cognition has broken through the physical limitations of the human body, and the interaction between the brain, body and the environment together constitutes a unified cognitive system. This view provides a new way of thinking for understanding the role of digital technology in the cognitive process, and also makes the discussion on technology dependence more complex and profound, which is worthy of further in-depth discussion.</w:t>
      </w:r>
    </w:p>
    <w:p w14:paraId="5B344982" w14:textId="77777777" w:rsidR="00F165AE" w:rsidRPr="00FC3A7C" w:rsidRDefault="00F165AE" w:rsidP="00FC3A7C">
      <w:pPr>
        <w:ind w:firstLineChars="200" w:firstLine="420"/>
        <w:jc w:val="both"/>
        <w:rPr>
          <w:rFonts w:ascii="Times New Roman" w:hAnsi="Times New Roman" w:cs="Times New Roman"/>
          <w:sz w:val="21"/>
          <w:szCs w:val="21"/>
        </w:rPr>
      </w:pPr>
    </w:p>
    <w:p w14:paraId="5B4F88E1" w14:textId="45A1321C" w:rsidR="00020C2B" w:rsidRPr="00FC3A7C" w:rsidRDefault="00F165AE" w:rsidP="00FC3A7C">
      <w:pPr>
        <w:ind w:firstLineChars="200" w:firstLine="420"/>
        <w:jc w:val="both"/>
        <w:rPr>
          <w:rFonts w:ascii="Times New Roman" w:hAnsi="Times New Roman" w:cs="Times New Roman"/>
          <w:sz w:val="21"/>
          <w:szCs w:val="21"/>
        </w:rPr>
      </w:pPr>
      <w:r w:rsidRPr="00FC3A7C">
        <w:rPr>
          <w:rFonts w:ascii="Times New Roman" w:hAnsi="Times New Roman" w:cs="Times New Roman"/>
          <w:sz w:val="21"/>
          <w:szCs w:val="21"/>
        </w:rPr>
        <w:lastRenderedPageBreak/>
        <w:t>It is true that with the help of external tools to assist memory, mental resources can be liberated and invested in more important and complex tasks. However, if external tools and the environment become a part of the cognitive system, human thinking activities will be subject to external conditions such as network connectivity, device updates, and continuous iterative digital formats. Once any failure occurs in these conditions, individuals may fall into the dilemma of not being able to carry out effective action. A deeper concern is that long-term reliance on external tools may weaken human judgment. If people only focus on collecting information but fail to internalize and process knowledge in depth, they will instinctively resort to external tools when they need to make decisions.</w:t>
      </w:r>
    </w:p>
    <w:p w14:paraId="73D15F23" w14:textId="24E6F1A8" w:rsidR="00020C2B" w:rsidRPr="00D7367D" w:rsidRDefault="00020C2B" w:rsidP="00FC3A7C">
      <w:pPr>
        <w:ind w:firstLineChars="200" w:firstLine="420"/>
        <w:jc w:val="both"/>
        <w:rPr>
          <w:rFonts w:ascii="Times New Roman" w:hAnsi="Times New Roman" w:cs="Times New Roman"/>
          <w:b/>
          <w:bCs/>
          <w:sz w:val="21"/>
          <w:szCs w:val="21"/>
        </w:rPr>
      </w:pPr>
      <w:r w:rsidRPr="00D7367D">
        <w:rPr>
          <w:rFonts w:ascii="Times New Roman" w:hAnsi="Times New Roman" w:cs="Times New Roman"/>
          <w:b/>
          <w:bCs/>
          <w:sz w:val="21"/>
          <w:szCs w:val="21"/>
        </w:rPr>
        <w:t>2.2 Fragility of digital information</w:t>
      </w:r>
    </w:p>
    <w:p w14:paraId="09E451CA" w14:textId="18063A16" w:rsidR="00256636" w:rsidRPr="00FC3A7C" w:rsidRDefault="00020C2B" w:rsidP="00FC3A7C">
      <w:pPr>
        <w:ind w:firstLineChars="200" w:firstLine="420"/>
        <w:jc w:val="both"/>
        <w:rPr>
          <w:rFonts w:ascii="Times New Roman" w:hAnsi="Times New Roman" w:cs="Times New Roman"/>
          <w:sz w:val="21"/>
          <w:szCs w:val="21"/>
        </w:rPr>
      </w:pPr>
      <w:r w:rsidRPr="00FC3A7C">
        <w:rPr>
          <w:rFonts w:ascii="Times New Roman" w:hAnsi="Times New Roman" w:cs="Times New Roman"/>
          <w:sz w:val="21"/>
          <w:szCs w:val="21"/>
        </w:rPr>
        <w:t>While providing new cognitive support, digital technology also exposes a key shortcoming: the digital information that human beings rely on is itself unstable and highly dependent on the rapidly iterative technology system. Unlike physical carriers, digital information cannot exist independently and must rely on hardware devices, software programs, file formats and specific platform environments. Once these support systems are eliminated or fail, the digital content may become unreadable or even completely lost. In fact, the life cycle of digital resources is often much shorter than human expectations. This brings about the second core challenge - the vulnerability of digital information. With the continuous update of software and systems, old file formats are often abandoned or stopped being supported. If the file is not migrated or converted to a new format in time, precious digital information may be permanently lost. "It is difficult for technologically backward machines to maintain normal operation for a long time", which means that hardware aging will pose a major threat to the long-term accessibility of digital information, and any digital resource preservation strategy must pay attention to this</w:t>
      </w:r>
      <w:r w:rsidR="00EA36D4">
        <w:rPr>
          <w:rFonts w:ascii="Times New Roman" w:hAnsi="Times New Roman" w:cs="Times New Roman" w:hint="eastAsia"/>
          <w:sz w:val="21"/>
          <w:szCs w:val="21"/>
        </w:rPr>
        <w:t xml:space="preserve"> </w:t>
      </w:r>
      <w:r w:rsidR="00EA36D4">
        <w:rPr>
          <w:rFonts w:ascii="Times New Roman" w:hAnsi="Times New Roman" w:cs="Times New Roman"/>
          <w:sz w:val="21"/>
          <w:szCs w:val="21"/>
        </w:rPr>
        <w:fldChar w:fldCharType="begin"/>
      </w:r>
      <w:r w:rsidR="00EA36D4">
        <w:rPr>
          <w:rFonts w:ascii="Times New Roman" w:hAnsi="Times New Roman" w:cs="Times New Roman"/>
          <w:sz w:val="21"/>
          <w:szCs w:val="21"/>
        </w:rPr>
        <w:instrText xml:space="preserve"> ADDIN ZOTERO_ITEM CSL_CITATION {"citationID":"FHE5Gds4","properties":{"formattedCitation":"(Lorie, 2001)","plainCitation":"(Lorie, 2001)","noteIndex":0},"citationItems":[{"id":23,"uris":["http://zotero.org/users/18416250/items/2CAI67WU"],"itemData":{"id":23,"type":"paper-conference","container-title":"Proceedings of the 1st ACM/IEEE-CS joint conference on Digital libraries","DOI":"10.1145/379437.379726","event-place":"Roanoke Virginia USA","event-title":"JCDL01: 1st ACM/IEEE-CS Joint Conference on Digital Libraries","ISBN":"978-1-58113-345-5","language":"en","page":"346-352","publisher":"ACM","publisher-place":"Roanoke Virginia USA","source":"DOI.org (Crossref)","title":"Long term preservation of digital information","URL":"https://dl.acm.org/doi/10.1145/379437.379726","author":[{"family":"Lorie","given":"Raymond A."}],"accessed":{"date-parts":[["2025",12,4]]},"issued":{"date-parts":[["2001",1]]}}}],"schema":"https://github.com/citation-style-language/schema/raw/master/csl-citation.json"} </w:instrText>
      </w:r>
      <w:r w:rsidR="00EA36D4">
        <w:rPr>
          <w:rFonts w:ascii="Times New Roman" w:hAnsi="Times New Roman" w:cs="Times New Roman"/>
          <w:sz w:val="21"/>
          <w:szCs w:val="21"/>
        </w:rPr>
        <w:fldChar w:fldCharType="separate"/>
      </w:r>
      <w:r w:rsidR="00EA36D4" w:rsidRPr="00EA36D4">
        <w:rPr>
          <w:rFonts w:ascii="Times New Roman" w:hAnsi="Times New Roman" w:cs="Times New Roman" w:hint="eastAsia"/>
          <w:sz w:val="21"/>
        </w:rPr>
        <w:t>(Lorie, 2001)</w:t>
      </w:r>
      <w:r w:rsidR="00EA36D4">
        <w:rPr>
          <w:rFonts w:ascii="Times New Roman" w:hAnsi="Times New Roman" w:cs="Times New Roman"/>
          <w:sz w:val="21"/>
          <w:szCs w:val="21"/>
        </w:rPr>
        <w:fldChar w:fldCharType="end"/>
      </w:r>
      <w:r w:rsidRPr="00FC3A7C">
        <w:rPr>
          <w:rFonts w:ascii="Times New Roman" w:hAnsi="Times New Roman" w:cs="Times New Roman"/>
          <w:sz w:val="21"/>
          <w:szCs w:val="21"/>
        </w:rPr>
        <w:t xml:space="preserve">. </w:t>
      </w:r>
    </w:p>
    <w:p w14:paraId="298E2195" w14:textId="43A72D3B" w:rsidR="00020C2B" w:rsidRPr="00FC3A7C" w:rsidRDefault="00020C2B" w:rsidP="00FC3A7C">
      <w:pPr>
        <w:ind w:firstLineChars="200" w:firstLine="420"/>
        <w:jc w:val="both"/>
        <w:rPr>
          <w:rFonts w:ascii="Times New Roman" w:hAnsi="Times New Roman" w:cs="Times New Roman"/>
          <w:sz w:val="21"/>
          <w:szCs w:val="21"/>
        </w:rPr>
      </w:pPr>
      <w:r w:rsidRPr="00FC3A7C">
        <w:rPr>
          <w:rFonts w:ascii="Times New Roman" w:hAnsi="Times New Roman" w:cs="Times New Roman"/>
          <w:sz w:val="21"/>
          <w:szCs w:val="21"/>
        </w:rPr>
        <w:t>Therefore, the preservation of digital resources is crucial. Only in this way can we ensure that future scholars can obtain and learn from current research results and knowledge. However, it should be noted that saving alone cannot guarantee the long-term availability, authenticity and accessibility of digital resources, especially in the context of the continuous updating and iteration of technology and data formats</w:t>
      </w:r>
      <w:r w:rsidR="00EA36D4">
        <w:rPr>
          <w:rFonts w:ascii="Times New Roman" w:hAnsi="Times New Roman" w:cs="Times New Roman" w:hint="eastAsia"/>
          <w:sz w:val="21"/>
          <w:szCs w:val="21"/>
        </w:rPr>
        <w:t xml:space="preserve"> </w:t>
      </w:r>
      <w:r w:rsidR="00EA36D4">
        <w:rPr>
          <w:rFonts w:ascii="Times New Roman" w:hAnsi="Times New Roman" w:cs="Times New Roman"/>
          <w:sz w:val="21"/>
          <w:szCs w:val="21"/>
        </w:rPr>
        <w:fldChar w:fldCharType="begin"/>
      </w:r>
      <w:r w:rsidR="00EA36D4">
        <w:rPr>
          <w:rFonts w:ascii="Times New Roman" w:hAnsi="Times New Roman" w:cs="Times New Roman"/>
          <w:sz w:val="21"/>
          <w:szCs w:val="21"/>
        </w:rPr>
        <w:instrText xml:space="preserve"> ADDIN ZOTERO_ITEM CSL_CITATION {"citationID":"ZRSazsVV","properties":{"formattedCitation":"(Kirchhoff, 2008)","plainCitation":"(Kirchhoff, 2008)","noteIndex":0},"citationItems":[{"id":16,"uris":["http://zotero.org/users/18416250/items/9C9Q8ZG2"],"itemData":{"id":16,"type":"article-journal","abstract":"The research of the future requires access to the research of the past. This access cannot be assured without reliable long-term preservation of scholarly digital content. Near-term access can be guaranteed with backup and access system redundancy. Mid-term access can be protected with byte replication. But assurance of long-term access requires digital preservation – the series of management policies and activities necessary to ensure the enduring usability, authenticity, discoverability, and accessibility of content over the very long term. Portico, with a mission to preserve scholarly digital content, is one organization providing such long-term digital preservation.","container-title":"Learned Publishing","DOI":"10.1087/095315108X356716","ISSN":"1741-4857","issue":"4","language":"en","note":"_eprint: https://onlinelibrary.wiley.com/doi/pdf/10.1087/095315108X356716","page":"285-294","source":"Wiley Online Library","title":"Digital preservation: challenges and implementation","title-short":"Digital preservation","volume":"21","author":[{"family":"Kirchhoff","given":"Amy J."}],"issued":{"date-parts":[["2008"]]}}}],"schema":"https://github.com/citation-style-language/schema/raw/master/csl-citation.json"} </w:instrText>
      </w:r>
      <w:r w:rsidR="00EA36D4">
        <w:rPr>
          <w:rFonts w:ascii="Times New Roman" w:hAnsi="Times New Roman" w:cs="Times New Roman"/>
          <w:sz w:val="21"/>
          <w:szCs w:val="21"/>
        </w:rPr>
        <w:fldChar w:fldCharType="separate"/>
      </w:r>
      <w:r w:rsidR="00EA36D4" w:rsidRPr="00EA36D4">
        <w:rPr>
          <w:rFonts w:ascii="Times New Roman" w:hAnsi="Times New Roman" w:cs="Times New Roman" w:hint="eastAsia"/>
          <w:sz w:val="21"/>
        </w:rPr>
        <w:t>(Kirchhoff, 2008)</w:t>
      </w:r>
      <w:r w:rsidR="00EA36D4">
        <w:rPr>
          <w:rFonts w:ascii="Times New Roman" w:hAnsi="Times New Roman" w:cs="Times New Roman"/>
          <w:sz w:val="21"/>
          <w:szCs w:val="21"/>
        </w:rPr>
        <w:fldChar w:fldCharType="end"/>
      </w:r>
      <w:r w:rsidRPr="00FC3A7C">
        <w:rPr>
          <w:rFonts w:ascii="Times New Roman" w:hAnsi="Times New Roman" w:cs="Times New Roman"/>
          <w:sz w:val="21"/>
          <w:szCs w:val="21"/>
        </w:rPr>
        <w:t xml:space="preserve">. The Portico electronic archive case is a typical example of the vulnerability of digital information. At the beginning of the 21st century, </w:t>
      </w:r>
      <w:proofErr w:type="spellStart"/>
      <w:r w:rsidRPr="00FC3A7C">
        <w:rPr>
          <w:rFonts w:ascii="Times New Roman" w:hAnsi="Times New Roman" w:cs="Times New Roman"/>
          <w:sz w:val="21"/>
          <w:szCs w:val="21"/>
        </w:rPr>
        <w:t>RoweCom</w:t>
      </w:r>
      <w:proofErr w:type="spellEnd"/>
      <w:r w:rsidRPr="00FC3A7C">
        <w:rPr>
          <w:rFonts w:ascii="Times New Roman" w:hAnsi="Times New Roman" w:cs="Times New Roman"/>
          <w:sz w:val="21"/>
          <w:szCs w:val="21"/>
        </w:rPr>
        <w:t>/Faxon's journal subscription service suddenly went bankrupt, resulting in many libraries unable to access paid electronic journals. This incident reveals the core shortcomings of digital resources: the digital content itself is not stable. Once the supporting platform collapses, users' access rights may be lost instantly. In response to this problem, third-party digital preservation services such as Portico were born. Its core function is to preserve electronic journals and other native digital resources for a long time to ensure that users can still access these resources even if the publisher or platform stops operating</w:t>
      </w:r>
      <w:r w:rsidR="008C515F">
        <w:rPr>
          <w:rFonts w:ascii="Times New Roman" w:hAnsi="Times New Roman" w:cs="Times New Roman" w:hint="eastAsia"/>
          <w:sz w:val="21"/>
          <w:szCs w:val="21"/>
        </w:rPr>
        <w:t xml:space="preserve"> </w:t>
      </w:r>
      <w:r w:rsidR="008C515F">
        <w:rPr>
          <w:rFonts w:ascii="Times New Roman" w:hAnsi="Times New Roman" w:cs="Times New Roman"/>
          <w:sz w:val="21"/>
          <w:szCs w:val="21"/>
        </w:rPr>
        <w:fldChar w:fldCharType="begin"/>
      </w:r>
      <w:r w:rsidR="008C515F">
        <w:rPr>
          <w:rFonts w:ascii="Times New Roman" w:hAnsi="Times New Roman" w:cs="Times New Roman"/>
          <w:sz w:val="21"/>
          <w:szCs w:val="21"/>
        </w:rPr>
        <w:instrText xml:space="preserve"> ADDIN ZOTERO_ITEM CSL_CITATION {"citationID":"WcORSYIw","properties":{"formattedCitation":"(Wittenberg {\\i{}et al.}, 2018)","plainCitation":"(Wittenberg et al., 2018)","noteIndex":0},"citationItems":[{"id":38,"uris":["http://zotero.org/users/18416250/items/M3N23WFW"],"itemData":{"id":38,"type":"article-journal","abstract":"There has been tremendous growth in the amount of digital content created by libraries, publishers, cultural institutions and the general public. While there are great benefits to having content available in digital form, digital objects can be extremely short-lived unless proper attention is paid to preservation. Reflecting on our experience with the digital preservation service Portico, we provide background on Portico’s history and evolving practice of sustainable preservation of the digital artifacts of scholarly communications. We also provide an overview of the digital preservation landscape as we see it now, with some thoughts on current requirements for preservation, and thoughts on the opportunities and challenges that lie ahead.","container-title":"Insights","DOI":"10.1629/uksg.421","ISSN":"2048-7754","issue":"0","language":"en-US","source":"insights.uksg.org","title":"Challenges and opportunities in the evolving digital preservation landscape: reflections from Portico","title-short":"Challenges and opportunities in the evolving digital preservation landscape","URL":"https://insights.uksg.org/articles/10.1629/uksg.421","volume":"31","author":[{"family":"Wittenberg","given":"Kate"},{"family":"Glasser","given":"Sarah"},{"family":"Kirchhoff","given":"Amy"},{"family":"Morrissey","given":"Sheila"},{"family":"Orphan","given":"Stephanie"}],"accessed":{"date-parts":[["2025",12,5]]},"issued":{"date-parts":[["2018",7,17]]}}}],"schema":"https://github.com/citation-style-language/schema/raw/master/csl-citation.json"} </w:instrText>
      </w:r>
      <w:r w:rsidR="008C515F">
        <w:rPr>
          <w:rFonts w:ascii="Times New Roman" w:hAnsi="Times New Roman" w:cs="Times New Roman"/>
          <w:sz w:val="21"/>
          <w:szCs w:val="21"/>
        </w:rPr>
        <w:fldChar w:fldCharType="separate"/>
      </w:r>
      <w:r w:rsidR="008C515F" w:rsidRPr="008C515F">
        <w:rPr>
          <w:rFonts w:ascii="Times New Roman" w:hAnsi="Times New Roman" w:cs="Times New Roman"/>
          <w:kern w:val="0"/>
          <w:sz w:val="21"/>
        </w:rPr>
        <w:t xml:space="preserve">(Wittenberg </w:t>
      </w:r>
      <w:r w:rsidR="008C515F" w:rsidRPr="008C515F">
        <w:rPr>
          <w:rFonts w:ascii="Times New Roman" w:hAnsi="Times New Roman" w:cs="Times New Roman"/>
          <w:i/>
          <w:iCs/>
          <w:kern w:val="0"/>
          <w:sz w:val="21"/>
        </w:rPr>
        <w:t>et al.</w:t>
      </w:r>
      <w:r w:rsidR="008C515F" w:rsidRPr="008C515F">
        <w:rPr>
          <w:rFonts w:ascii="Times New Roman" w:hAnsi="Times New Roman" w:cs="Times New Roman"/>
          <w:kern w:val="0"/>
          <w:sz w:val="21"/>
        </w:rPr>
        <w:t>, 2018)</w:t>
      </w:r>
      <w:r w:rsidR="008C515F">
        <w:rPr>
          <w:rFonts w:ascii="Times New Roman" w:hAnsi="Times New Roman" w:cs="Times New Roman"/>
          <w:sz w:val="21"/>
          <w:szCs w:val="21"/>
        </w:rPr>
        <w:fldChar w:fldCharType="end"/>
      </w:r>
      <w:r w:rsidRPr="00FC3A7C">
        <w:rPr>
          <w:rFonts w:ascii="Times New Roman" w:hAnsi="Times New Roman" w:cs="Times New Roman"/>
          <w:sz w:val="21"/>
          <w:szCs w:val="21"/>
        </w:rPr>
        <w:t xml:space="preserve">. Since then, </w:t>
      </w:r>
      <w:proofErr w:type="spellStart"/>
      <w:r w:rsidRPr="00FC3A7C">
        <w:rPr>
          <w:rFonts w:ascii="Times New Roman" w:hAnsi="Times New Roman" w:cs="Times New Roman"/>
          <w:sz w:val="21"/>
          <w:szCs w:val="21"/>
        </w:rPr>
        <w:t>Potico's</w:t>
      </w:r>
      <w:proofErr w:type="spellEnd"/>
      <w:r w:rsidRPr="00FC3A7C">
        <w:rPr>
          <w:rFonts w:ascii="Times New Roman" w:hAnsi="Times New Roman" w:cs="Times New Roman"/>
          <w:sz w:val="21"/>
          <w:szCs w:val="21"/>
        </w:rPr>
        <w:t xml:space="preserve"> preservation scope has been further expanded to e-books and digital collections, which not only reflects the large scale of the problem </w:t>
      </w:r>
      <w:r w:rsidRPr="00FC3A7C">
        <w:rPr>
          <w:rFonts w:ascii="Times New Roman" w:hAnsi="Times New Roman" w:cs="Times New Roman"/>
          <w:sz w:val="21"/>
          <w:szCs w:val="21"/>
        </w:rPr>
        <w:lastRenderedPageBreak/>
        <w:t>of digital information preservation, but also reflects that the academic community has gradually realized that digital academic achievements need a long-term protection mechanism.</w:t>
      </w:r>
    </w:p>
    <w:p w14:paraId="6439CE28" w14:textId="5BDBD1F0" w:rsidR="00020C2B" w:rsidRPr="00FC3A7C" w:rsidRDefault="00020C2B" w:rsidP="00FC3A7C">
      <w:pPr>
        <w:ind w:firstLineChars="200" w:firstLine="420"/>
        <w:jc w:val="both"/>
        <w:rPr>
          <w:rFonts w:ascii="Times New Roman" w:hAnsi="Times New Roman" w:cs="Times New Roman"/>
          <w:sz w:val="21"/>
          <w:szCs w:val="21"/>
        </w:rPr>
      </w:pPr>
      <w:r w:rsidRPr="00FC3A7C">
        <w:rPr>
          <w:rFonts w:ascii="Times New Roman" w:hAnsi="Times New Roman" w:cs="Times New Roman"/>
          <w:sz w:val="21"/>
          <w:szCs w:val="21"/>
        </w:rPr>
        <w:t>In addition, the physical media used to store digital data - CD-ROM, digital multi-function CD-ROM, hard disk, USB flash drive and even cloud storage - all have inherent limitations. Although cloud services seem convenient, their operation still depends on the operational capabilities, server stability and long-term access policies of commercial service providers. In summary, digital information is embedded in a fragile and changing ecosystem, which means that in the digital age, it is essential to develop a forward-looking and sustainable preservation strategy.</w:t>
      </w:r>
    </w:p>
    <w:p w14:paraId="1DF2575D" w14:textId="6EDA436A" w:rsidR="00256636" w:rsidRPr="008C515F" w:rsidRDefault="00256636" w:rsidP="00FC3A7C">
      <w:pPr>
        <w:ind w:firstLineChars="200" w:firstLine="420"/>
        <w:jc w:val="both"/>
        <w:rPr>
          <w:rFonts w:ascii="Times New Roman" w:hAnsi="Times New Roman" w:cs="Times New Roman"/>
          <w:b/>
          <w:bCs/>
          <w:sz w:val="21"/>
          <w:szCs w:val="21"/>
        </w:rPr>
      </w:pPr>
      <w:r w:rsidRPr="008C515F">
        <w:rPr>
          <w:rFonts w:ascii="Times New Roman" w:hAnsi="Times New Roman" w:cs="Times New Roman"/>
          <w:b/>
          <w:bCs/>
          <w:sz w:val="21"/>
          <w:szCs w:val="21"/>
        </w:rPr>
        <w:t>2.3 Human Communication and the Limits of Machine Interaction</w:t>
      </w:r>
    </w:p>
    <w:p w14:paraId="5D04097F" w14:textId="0483CB67" w:rsidR="00715469" w:rsidRPr="00FC3A7C" w:rsidRDefault="00715469" w:rsidP="008C515F">
      <w:pPr>
        <w:ind w:firstLineChars="200" w:firstLine="420"/>
        <w:jc w:val="both"/>
        <w:rPr>
          <w:rFonts w:ascii="Times New Roman" w:hAnsi="Times New Roman" w:cs="Times New Roman"/>
          <w:sz w:val="21"/>
          <w:szCs w:val="21"/>
        </w:rPr>
      </w:pPr>
      <w:r w:rsidRPr="00FC3A7C">
        <w:rPr>
          <w:rFonts w:ascii="Times New Roman" w:hAnsi="Times New Roman" w:cs="Times New Roman"/>
          <w:sz w:val="21"/>
          <w:szCs w:val="21"/>
        </w:rPr>
        <w:t>Although artificial intelligence has shown remarkable capabilities in information processing, task execution and problem solving, machines have never been able to replace humans in the field of communication and emotional interaction. At the most core level of interpersonal relationships, no machine can truly replace real human beings.</w:t>
      </w:r>
    </w:p>
    <w:p w14:paraId="6E361160" w14:textId="3F7111D1" w:rsidR="00715469" w:rsidRPr="00FC3A7C" w:rsidRDefault="00715469" w:rsidP="008C515F">
      <w:pPr>
        <w:ind w:firstLineChars="200" w:firstLine="420"/>
        <w:jc w:val="both"/>
        <w:rPr>
          <w:rFonts w:ascii="Times New Roman" w:hAnsi="Times New Roman" w:cs="Times New Roman"/>
          <w:sz w:val="21"/>
          <w:szCs w:val="21"/>
        </w:rPr>
      </w:pPr>
      <w:r w:rsidRPr="00FC3A7C">
        <w:rPr>
          <w:rFonts w:ascii="Times New Roman" w:hAnsi="Times New Roman" w:cs="Times New Roman"/>
          <w:sz w:val="21"/>
          <w:szCs w:val="21"/>
        </w:rPr>
        <w:t>Human communication and behavior are always embedded in specific situations. People's language expression, understanding and response logic depend not only on the language itself, but also on the environment, interpersonal relationships, social clues and subtle changes in the process of interaction. However, the operation of the machine follows preset rules and patterns, and its response comes from the programmatic model algorithm, not the real participation in social situations</w:t>
      </w:r>
      <w:r w:rsidR="008C515F">
        <w:rPr>
          <w:rFonts w:ascii="Times New Roman" w:hAnsi="Times New Roman" w:cs="Times New Roman" w:hint="eastAsia"/>
          <w:sz w:val="21"/>
          <w:szCs w:val="21"/>
        </w:rPr>
        <w:t xml:space="preserve"> </w:t>
      </w:r>
      <w:r w:rsidR="008C515F">
        <w:rPr>
          <w:rFonts w:ascii="Times New Roman" w:hAnsi="Times New Roman" w:cs="Times New Roman"/>
          <w:sz w:val="21"/>
          <w:szCs w:val="21"/>
        </w:rPr>
        <w:fldChar w:fldCharType="begin"/>
      </w:r>
      <w:r w:rsidR="008C515F">
        <w:rPr>
          <w:rFonts w:ascii="Times New Roman" w:hAnsi="Times New Roman" w:cs="Times New Roman"/>
          <w:sz w:val="21"/>
          <w:szCs w:val="21"/>
        </w:rPr>
        <w:instrText xml:space="preserve"> ADDIN ZOTERO_ITEM CSL_CITATION {"citationID":"2LL4Itxh","properties":{"formattedCitation":"(Suchman, 2007)","plainCitation":"(Suchman, 2007)","noteIndex":0},"citationItems":[{"id":24,"uris":["http://zotero.org/users/18416250/items/XC6PB2IA"],"itemData":{"id":24,"type":"book","abstract":"This 2007 book considers how agencies are currently figured at the human-machine interface, and how they might be imaginatively and materially reconfigured. Contrary to the apparent enlivening of objects promised by the sciences of the artificial, the author proposes that the rhetorics and practices of those sciences work to obscure the performative nature of both persons and things. The question then shifts from debates over the status of human-like machines, to that of how humans and machines are enacted as similar or different in practice, and with what theoretical, practical and political consequences. Drawing on scholarship across the social sciences, humanities and computing, the author argues for research aimed at tracing the differences within specific sociomaterial arrangements without resorting to essentialist divides. This requires expanding our unit of analysis, while recognizing the inevitable cuts or boundaries through which technological systems are constituted.","ISBN":"978-0-521-67588-8","language":"en","number-of-pages":"332","publisher":"Cambridge University Press","source":"Google Books","title":"Human-Machine Reconfigurations: Plans and Situated Actions","title-short":"Human-Machine Reconfigurations","author":[{"family":"Suchman","given":"Lucille Alice"}],"issued":{"date-parts":[["2007"]]}}}],"schema":"https://github.com/citation-style-language/schema/raw/master/csl-citation.json"} </w:instrText>
      </w:r>
      <w:r w:rsidR="008C515F">
        <w:rPr>
          <w:rFonts w:ascii="Times New Roman" w:hAnsi="Times New Roman" w:cs="Times New Roman"/>
          <w:sz w:val="21"/>
          <w:szCs w:val="21"/>
        </w:rPr>
        <w:fldChar w:fldCharType="separate"/>
      </w:r>
      <w:r w:rsidR="008C515F" w:rsidRPr="008C515F">
        <w:rPr>
          <w:rFonts w:ascii="Times New Roman" w:hAnsi="Times New Roman" w:cs="Times New Roman" w:hint="eastAsia"/>
          <w:sz w:val="21"/>
        </w:rPr>
        <w:t>(Suchman, 2007)</w:t>
      </w:r>
      <w:r w:rsidR="008C515F">
        <w:rPr>
          <w:rFonts w:ascii="Times New Roman" w:hAnsi="Times New Roman" w:cs="Times New Roman"/>
          <w:sz w:val="21"/>
          <w:szCs w:val="21"/>
        </w:rPr>
        <w:fldChar w:fldCharType="end"/>
      </w:r>
      <w:r w:rsidRPr="00FC3A7C">
        <w:rPr>
          <w:rFonts w:ascii="Times New Roman" w:hAnsi="Times New Roman" w:cs="Times New Roman"/>
          <w:sz w:val="21"/>
          <w:szCs w:val="21"/>
        </w:rPr>
        <w:t>. Therefore, machines cannot integrate into interactive situations like humans, neither understand the deep meaning of specific words at a certain moment, nor interpret the meaning behind silence. Sachman's research profoundly reveals a core fact: human communication has innated situational and social embedding, which is fundamentally beyond the reach of machines.</w:t>
      </w:r>
    </w:p>
    <w:p w14:paraId="21E118A0" w14:textId="22F0E83F" w:rsidR="00715469" w:rsidRPr="00FC3A7C" w:rsidRDefault="00715469" w:rsidP="00000C5C">
      <w:pPr>
        <w:ind w:firstLineChars="200" w:firstLine="420"/>
        <w:jc w:val="both"/>
        <w:rPr>
          <w:rFonts w:ascii="Times New Roman" w:hAnsi="Times New Roman" w:cs="Times New Roman"/>
          <w:sz w:val="21"/>
          <w:szCs w:val="21"/>
        </w:rPr>
      </w:pPr>
      <w:r w:rsidRPr="00FC3A7C">
        <w:rPr>
          <w:rFonts w:ascii="Times New Roman" w:hAnsi="Times New Roman" w:cs="Times New Roman"/>
          <w:sz w:val="21"/>
          <w:szCs w:val="21"/>
        </w:rPr>
        <w:t xml:space="preserve">It is further revealed the limitations of machines at the emotional level. She pointed out that although machines can simulate the behavior of caring, empathetic or companionship, they do not have real emotional experiences </w:t>
      </w:r>
      <w:r w:rsidR="00000C5C">
        <w:rPr>
          <w:rFonts w:ascii="Times New Roman" w:hAnsi="Times New Roman" w:cs="Times New Roman"/>
          <w:sz w:val="21"/>
          <w:szCs w:val="21"/>
        </w:rPr>
        <w:fldChar w:fldCharType="begin"/>
      </w:r>
      <w:r w:rsidR="00000C5C">
        <w:rPr>
          <w:rFonts w:ascii="Times New Roman" w:hAnsi="Times New Roman" w:cs="Times New Roman"/>
          <w:sz w:val="21"/>
          <w:szCs w:val="21"/>
        </w:rPr>
        <w:instrText xml:space="preserve"> ADDIN ZOTERO_ITEM CSL_CITATION {"citationID":"ByoBSsMp","properties":{"formattedCitation":"(Arnd-Caddigan, 2015)","plainCitation":"(Arnd-Caddigan, 2015)","noteIndex":0},"citationItems":[{"id":42,"uris":["http://zotero.org/users/18416250/items/CJT3F2G6"],"itemData":{"id":42,"type":"article-journal","container-title":"Clinical Social Work Journal","DOI":"10.1007/s10615-014-0511-4","ISSN":"1573-3343","issue":"2","journalAbbreviation":"Clin Soc Work J","language":"en","page":"247-248","source":"Springer Link","title":"Sherry Turkle: Alone Together: Why We Expect More from Technology and Less from Each Other","title-short":"Sherry Turkle","volume":"43","author":[{"family":"Arnd-Caddigan","given":"Margaret"}],"issued":{"date-parts":[["2015",6,1]]}}}],"schema":"https://github.com/citation-style-language/schema/raw/master/csl-citation.json"} </w:instrText>
      </w:r>
      <w:r w:rsidR="00000C5C">
        <w:rPr>
          <w:rFonts w:ascii="Times New Roman" w:hAnsi="Times New Roman" w:cs="Times New Roman"/>
          <w:sz w:val="21"/>
          <w:szCs w:val="21"/>
        </w:rPr>
        <w:fldChar w:fldCharType="separate"/>
      </w:r>
      <w:r w:rsidR="00000C5C" w:rsidRPr="00000C5C">
        <w:rPr>
          <w:rFonts w:ascii="Times New Roman" w:hAnsi="Times New Roman" w:cs="Times New Roman" w:hint="eastAsia"/>
          <w:sz w:val="21"/>
        </w:rPr>
        <w:t>(Arnd-Caddigan, 2015)</w:t>
      </w:r>
      <w:r w:rsidR="00000C5C">
        <w:rPr>
          <w:rFonts w:ascii="Times New Roman" w:hAnsi="Times New Roman" w:cs="Times New Roman"/>
          <w:sz w:val="21"/>
          <w:szCs w:val="21"/>
        </w:rPr>
        <w:fldChar w:fldCharType="end"/>
      </w:r>
      <w:r w:rsidRPr="00FC3A7C">
        <w:rPr>
          <w:rFonts w:ascii="Times New Roman" w:hAnsi="Times New Roman" w:cs="Times New Roman"/>
          <w:sz w:val="21"/>
          <w:szCs w:val="21"/>
        </w:rPr>
        <w:t>. People may project their emotions on robots or digital assistants and regard them as "partners", but this relationship is essentially just an illusion. Turk described it as "the illusion of companionship without the responsibility of friendship". This kind of interaction may bring short-term comfort, but it cannot replace real interpersonal relationships based on mutual understanding, emotional resonance and responsibility sharing.</w:t>
      </w:r>
    </w:p>
    <w:p w14:paraId="6D65286F" w14:textId="0F0A7163" w:rsidR="00715469" w:rsidRPr="00FC3A7C" w:rsidRDefault="00715469" w:rsidP="00000C5C">
      <w:pPr>
        <w:ind w:firstLineChars="200" w:firstLine="420"/>
        <w:jc w:val="both"/>
        <w:rPr>
          <w:rFonts w:ascii="Times New Roman" w:hAnsi="Times New Roman" w:cs="Times New Roman"/>
          <w:sz w:val="21"/>
          <w:szCs w:val="21"/>
        </w:rPr>
      </w:pPr>
      <w:r w:rsidRPr="00FC3A7C">
        <w:rPr>
          <w:rFonts w:ascii="Times New Roman" w:hAnsi="Times New Roman" w:cs="Times New Roman"/>
          <w:sz w:val="21"/>
          <w:szCs w:val="21"/>
        </w:rPr>
        <w:t>Combining the above views, it can be concluded that although machines have outstanding capabilities, they cannot assume the core role of human communication. They may be able to support or imitate certain interaction patterns, but they cannot enter the social situation on which human relationships exist, let alone establish real emotional connections. With the increasing popularity of artificial intelligence interaction, it is crucial to understand the unique value of interpersonal communication to recognize the limitations of machines.</w:t>
      </w:r>
    </w:p>
    <w:p w14:paraId="41702235" w14:textId="1B6A8271" w:rsidR="00715469" w:rsidRPr="00000C5C" w:rsidRDefault="00715469" w:rsidP="00FC3A7C">
      <w:pPr>
        <w:ind w:firstLineChars="200" w:firstLine="480"/>
        <w:jc w:val="both"/>
        <w:rPr>
          <w:rFonts w:ascii="Times New Roman" w:hAnsi="Times New Roman" w:cs="Times New Roman"/>
          <w:b/>
          <w:bCs/>
          <w:sz w:val="24"/>
        </w:rPr>
      </w:pPr>
      <w:r w:rsidRPr="00000C5C">
        <w:rPr>
          <w:rFonts w:ascii="Times New Roman" w:hAnsi="Times New Roman" w:cs="Times New Roman"/>
          <w:b/>
          <w:bCs/>
          <w:sz w:val="24"/>
        </w:rPr>
        <w:lastRenderedPageBreak/>
        <w:t xml:space="preserve">Metadata, Power, and Digital Knowledge Politics </w:t>
      </w:r>
    </w:p>
    <w:p w14:paraId="2DF1306D" w14:textId="173197A3" w:rsidR="00715469" w:rsidRPr="00FC3A7C" w:rsidRDefault="00715469" w:rsidP="00000C5C">
      <w:pPr>
        <w:ind w:firstLineChars="200" w:firstLine="420"/>
        <w:jc w:val="both"/>
        <w:rPr>
          <w:rFonts w:ascii="Times New Roman" w:hAnsi="Times New Roman" w:cs="Times New Roman"/>
          <w:sz w:val="21"/>
          <w:szCs w:val="21"/>
        </w:rPr>
      </w:pPr>
      <w:r w:rsidRPr="00FC3A7C">
        <w:rPr>
          <w:rFonts w:ascii="Times New Roman" w:hAnsi="Times New Roman" w:cs="Times New Roman"/>
          <w:sz w:val="21"/>
          <w:szCs w:val="21"/>
        </w:rPr>
        <w:t>Although the second part has explained the reshaping role of digital tools in cognition and communication, to fully understand these changes, we must also examine the infrastructures that organize, classify and empower access to information. The structured way of digital knowledge - relying on metadata, algorithms and preservation systems - largely determines which groups of views and histories in the digital world can be presented.</w:t>
      </w:r>
    </w:p>
    <w:p w14:paraId="3C18E204" w14:textId="649313AA" w:rsidR="00715469" w:rsidRPr="00FC3A7C" w:rsidRDefault="00715469" w:rsidP="00000C5C">
      <w:pPr>
        <w:ind w:firstLineChars="200" w:firstLine="420"/>
        <w:jc w:val="both"/>
        <w:rPr>
          <w:rFonts w:ascii="Times New Roman" w:hAnsi="Times New Roman" w:cs="Times New Roman"/>
          <w:sz w:val="21"/>
          <w:szCs w:val="21"/>
        </w:rPr>
      </w:pPr>
      <w:r w:rsidRPr="00FC3A7C">
        <w:rPr>
          <w:rFonts w:ascii="Times New Roman" w:hAnsi="Times New Roman" w:cs="Times New Roman"/>
          <w:sz w:val="21"/>
          <w:szCs w:val="21"/>
        </w:rPr>
        <w:t>Therefore, the third part turns the research focus to the power game hidden in metadata and digital archives. Metadata is often regarded as a purely technical tool, but in fact it plays a strong political role: it determines the classification rules, presentation form and interpretation path of information, and deeply affects which information can enter the public's vision and which will be ignored or even forgotten. It can be seen that the construction of the metadata system is closely related to core issues such as attribution of power, historical characterization and cultural memory.</w:t>
      </w:r>
    </w:p>
    <w:p w14:paraId="03AD2026" w14:textId="3DC5B6F6" w:rsidR="00715469" w:rsidRPr="00FC3A7C" w:rsidRDefault="00715469" w:rsidP="00FC3A7C">
      <w:pPr>
        <w:ind w:firstLineChars="200" w:firstLine="420"/>
        <w:jc w:val="both"/>
        <w:rPr>
          <w:rFonts w:ascii="Times New Roman" w:hAnsi="Times New Roman" w:cs="Times New Roman"/>
          <w:sz w:val="21"/>
          <w:szCs w:val="21"/>
        </w:rPr>
      </w:pPr>
      <w:r w:rsidRPr="00FC3A7C">
        <w:rPr>
          <w:rFonts w:ascii="Times New Roman" w:hAnsi="Times New Roman" w:cs="Times New Roman"/>
          <w:sz w:val="21"/>
          <w:szCs w:val="21"/>
        </w:rPr>
        <w:t>This chapter explores the political attributes of metadata from three key dimensions: the political nature of the classification system, the operation mechanism of metadata as a "gatekeeper", the reproduction of bias and algorithms, and emerging alternatives such as community files and new ethical frameworks. The analysis of these dimensions together reveals that digital knowledge infrastructure is by no means a value-neutral existence, but is deeply embedded in a broader social and technological power relationship.</w:t>
      </w:r>
    </w:p>
    <w:p w14:paraId="1FC211B5" w14:textId="114FAF10" w:rsidR="00CF045F" w:rsidRPr="00000C5C" w:rsidRDefault="00CF045F" w:rsidP="00FC3A7C">
      <w:pPr>
        <w:ind w:firstLineChars="200" w:firstLine="420"/>
        <w:jc w:val="both"/>
        <w:rPr>
          <w:rFonts w:ascii="Times New Roman" w:hAnsi="Times New Roman" w:cs="Times New Roman"/>
          <w:b/>
          <w:bCs/>
          <w:sz w:val="21"/>
          <w:szCs w:val="21"/>
        </w:rPr>
      </w:pPr>
      <w:r w:rsidRPr="00000C5C">
        <w:rPr>
          <w:rFonts w:ascii="Times New Roman" w:hAnsi="Times New Roman" w:cs="Times New Roman"/>
          <w:b/>
          <w:bCs/>
          <w:sz w:val="21"/>
          <w:szCs w:val="21"/>
        </w:rPr>
        <w:t>3.1 Metadata Frameworks and the Politics of Classification</w:t>
      </w:r>
    </w:p>
    <w:p w14:paraId="732E1608" w14:textId="4F905E0B" w:rsidR="00CF045F" w:rsidRPr="00FC3A7C" w:rsidRDefault="00CF045F" w:rsidP="00FC3A7C">
      <w:pPr>
        <w:ind w:firstLineChars="200" w:firstLine="420"/>
        <w:jc w:val="both"/>
        <w:rPr>
          <w:rFonts w:ascii="Times New Roman" w:hAnsi="Times New Roman" w:cs="Times New Roman"/>
          <w:sz w:val="21"/>
          <w:szCs w:val="21"/>
        </w:rPr>
      </w:pPr>
      <w:r w:rsidRPr="00FC3A7C">
        <w:rPr>
          <w:rFonts w:ascii="Times New Roman" w:hAnsi="Times New Roman" w:cs="Times New Roman"/>
          <w:sz w:val="21"/>
          <w:szCs w:val="21"/>
        </w:rPr>
        <w:t xml:space="preserve">Metadata is often regarded as a neutral tool for describing and organizing data. However, </w:t>
      </w:r>
      <w:r w:rsidR="00985908" w:rsidRPr="00FC3A7C">
        <w:rPr>
          <w:rFonts w:ascii="Times New Roman" w:hAnsi="Times New Roman" w:cs="Times New Roman"/>
          <w:sz w:val="21"/>
          <w:szCs w:val="21"/>
        </w:rPr>
        <w:t xml:space="preserve">it is </w:t>
      </w:r>
      <w:r w:rsidRPr="00FC3A7C">
        <w:rPr>
          <w:rFonts w:ascii="Times New Roman" w:hAnsi="Times New Roman" w:cs="Times New Roman"/>
          <w:sz w:val="21"/>
          <w:szCs w:val="21"/>
        </w:rPr>
        <w:t xml:space="preserve">proposed in </w:t>
      </w:r>
      <w:r w:rsidR="00985908" w:rsidRPr="00FC3A7C">
        <w:rPr>
          <w:rFonts w:ascii="Times New Roman" w:hAnsi="Times New Roman" w:cs="Times New Roman"/>
          <w:sz w:val="21"/>
          <w:szCs w:val="21"/>
        </w:rPr>
        <w:t xml:space="preserve">the </w:t>
      </w:r>
      <w:r w:rsidRPr="00FC3A7C">
        <w:rPr>
          <w:rFonts w:ascii="Times New Roman" w:hAnsi="Times New Roman" w:cs="Times New Roman"/>
          <w:sz w:val="21"/>
          <w:szCs w:val="21"/>
        </w:rPr>
        <w:t>book Sorting Things Out that classification is essentially a power practice. Any classification system is not naturally formed or unvalued, but rooted in a specific historical, cultural and institutional context</w:t>
      </w:r>
      <w:r w:rsidR="00000C5C">
        <w:rPr>
          <w:rFonts w:ascii="Times New Roman" w:hAnsi="Times New Roman" w:cs="Times New Roman" w:hint="eastAsia"/>
          <w:sz w:val="21"/>
          <w:szCs w:val="21"/>
        </w:rPr>
        <w:t xml:space="preserve"> </w:t>
      </w:r>
      <w:r w:rsidR="00000C5C">
        <w:rPr>
          <w:rFonts w:ascii="Times New Roman" w:hAnsi="Times New Roman" w:cs="Times New Roman"/>
          <w:sz w:val="21"/>
          <w:szCs w:val="21"/>
        </w:rPr>
        <w:fldChar w:fldCharType="begin"/>
      </w:r>
      <w:r w:rsidR="00000C5C">
        <w:rPr>
          <w:rFonts w:ascii="Times New Roman" w:hAnsi="Times New Roman" w:cs="Times New Roman"/>
          <w:sz w:val="21"/>
          <w:szCs w:val="21"/>
        </w:rPr>
        <w:instrText xml:space="preserve"> ADDIN ZOTERO_ITEM CSL_CITATION {"citationID":"VPl2hoNA","properties":{"formattedCitation":"(Bowker and Star, 2000)","plainCitation":"(Bowker and Star, 2000)","noteIndex":0},"citationItems":[{"id":44,"uris":["http://zotero.org/users/18416250/items/QPT9ZI66"],"itemData":{"id":44,"type":"book","abstract":"A revealing and surprising look at how classification systems can shape both worldviews and social interactions.What do a seventeenth-century mortality table (whose causes of death include \"fainted in a bath,\" \"frighted,\" and \"itch\"); the identification of South Africans during apartheid as European, Asian, colored, or black; and the separation of machine- from hand-washables have in common? All are examples of classification—the scaffolding of information infrastructures.In Sorting Things Out, Geoffrey C. Bowker and Susan Leigh Star explore the role of categories and standards in shaping the modern world. In a clear and lively style, they investigate a variety of classification systems, including the International Classification of Diseases, the Nursing Interventions Classification, race classification under apartheid in South Africa, and the classification of viruses and of tuberculosis.The authors emphasize the role of invisibility in the process by which classification orders human interaction. They examine how categories are made and kept invisible, and how people can change this invisibility when necessary. They also explore systems of classification as part of the built information environment. Much as an urban historian would review highway permits and zoning decisions to tell a city's story, the authors review archives of classification design to understand how decisions have been made. Sorting Things Out has a moral agenda, for each standard and category valorizes some point of view and silences another. Standards and classifications produce advantage or suffering. Jobs are made and lost; some regions benefit at the expense of others. How these choices are made and how we think about that process are at the moral and political core of this work. The book is an important empirical source for understanding the building of information infrastructures.","ISBN":"978-0-262-26160-9","language":"en","note":"Google-Books-ID: xHlP8WqzizYC","number-of-pages":"396","publisher":"MIT Press","source":"Google Books","title":"Sorting Things Out: Classification and Its Consequences","title-short":"Sorting Things Out","author":[{"family":"Bowker","given":"Geoffrey C."},{"family":"Star","given":"Susan Leigh"}],"issued":{"date-parts":[["2000",8,25]]}}}],"schema":"https://github.com/citation-style-language/schema/raw/master/csl-citation.json"} </w:instrText>
      </w:r>
      <w:r w:rsidR="00000C5C">
        <w:rPr>
          <w:rFonts w:ascii="Times New Roman" w:hAnsi="Times New Roman" w:cs="Times New Roman"/>
          <w:sz w:val="21"/>
          <w:szCs w:val="21"/>
        </w:rPr>
        <w:fldChar w:fldCharType="separate"/>
      </w:r>
      <w:r w:rsidR="00000C5C" w:rsidRPr="00000C5C">
        <w:rPr>
          <w:rFonts w:ascii="Times New Roman" w:hAnsi="Times New Roman" w:cs="Times New Roman" w:hint="eastAsia"/>
          <w:sz w:val="21"/>
        </w:rPr>
        <w:t>(Bowker and Star, 2000)</w:t>
      </w:r>
      <w:r w:rsidR="00000C5C">
        <w:rPr>
          <w:rFonts w:ascii="Times New Roman" w:hAnsi="Times New Roman" w:cs="Times New Roman"/>
          <w:sz w:val="21"/>
          <w:szCs w:val="21"/>
        </w:rPr>
        <w:fldChar w:fldCharType="end"/>
      </w:r>
      <w:r w:rsidRPr="00FC3A7C">
        <w:rPr>
          <w:rFonts w:ascii="Times New Roman" w:hAnsi="Times New Roman" w:cs="Times New Roman"/>
          <w:sz w:val="21"/>
          <w:szCs w:val="21"/>
        </w:rPr>
        <w:t>. This means that metadata does not passively reflect the world, but actively shapes the world.</w:t>
      </w:r>
    </w:p>
    <w:p w14:paraId="682DA874" w14:textId="77777777" w:rsidR="00CF045F" w:rsidRPr="00FC3A7C" w:rsidRDefault="00CF045F" w:rsidP="00FC3A7C">
      <w:pPr>
        <w:ind w:firstLineChars="200" w:firstLine="420"/>
        <w:jc w:val="both"/>
        <w:rPr>
          <w:rFonts w:ascii="Times New Roman" w:hAnsi="Times New Roman" w:cs="Times New Roman"/>
          <w:sz w:val="21"/>
          <w:szCs w:val="21"/>
        </w:rPr>
      </w:pPr>
      <w:r w:rsidRPr="00FC3A7C">
        <w:rPr>
          <w:rFonts w:ascii="Times New Roman" w:hAnsi="Times New Roman" w:cs="Times New Roman"/>
          <w:sz w:val="21"/>
          <w:szCs w:val="21"/>
        </w:rPr>
        <w:t>When digital archives, databases or platforms decide which classification categories to adopt, how to define thematic terms, or which attributes are worth recording, they are actually restructuring the entire knowledge map. These decisions define what "important information" is, and also determine which content will be marginalized. For example, when key keywords such as gender, race or geography are missing from the metadata system, it is difficult to retrieve groups related to these dimensions, which exacerbates systemic inequality. In addition, once these structures are encoded as metadata standards, they will be difficult to challenge because of their seemingly "natural and reasonable" or "purely technical" appearance. Therefore, the metadata framework is not only a technical system, but also an important mechanism for allocating power and shaping cognitive authority.</w:t>
      </w:r>
    </w:p>
    <w:p w14:paraId="3AA45FA1" w14:textId="77777777" w:rsidR="00CF045F" w:rsidRPr="00FC3A7C" w:rsidRDefault="00CF045F" w:rsidP="00FC3A7C">
      <w:pPr>
        <w:ind w:firstLineChars="200" w:firstLine="420"/>
        <w:jc w:val="both"/>
        <w:rPr>
          <w:rFonts w:ascii="Times New Roman" w:hAnsi="Times New Roman" w:cs="Times New Roman"/>
          <w:sz w:val="21"/>
          <w:szCs w:val="21"/>
        </w:rPr>
      </w:pPr>
    </w:p>
    <w:p w14:paraId="39C1DD9A" w14:textId="04DC1092" w:rsidR="00CF045F" w:rsidRPr="00000C5C" w:rsidRDefault="00CF045F" w:rsidP="00FC3A7C">
      <w:pPr>
        <w:ind w:firstLineChars="200" w:firstLine="420"/>
        <w:jc w:val="both"/>
        <w:rPr>
          <w:rFonts w:ascii="Times New Roman" w:hAnsi="Times New Roman" w:cs="Times New Roman"/>
          <w:b/>
          <w:bCs/>
          <w:sz w:val="21"/>
          <w:szCs w:val="21"/>
        </w:rPr>
      </w:pPr>
      <w:r w:rsidRPr="00000C5C">
        <w:rPr>
          <w:rFonts w:ascii="Times New Roman" w:hAnsi="Times New Roman" w:cs="Times New Roman"/>
          <w:b/>
          <w:bCs/>
          <w:sz w:val="21"/>
          <w:szCs w:val="21"/>
        </w:rPr>
        <w:lastRenderedPageBreak/>
        <w:t xml:space="preserve">3.2 </w:t>
      </w:r>
      <w:r w:rsidR="00000C5C" w:rsidRPr="00000C5C">
        <w:rPr>
          <w:rFonts w:ascii="Times New Roman" w:hAnsi="Times New Roman" w:cs="Times New Roman"/>
          <w:b/>
          <w:bCs/>
          <w:sz w:val="24"/>
        </w:rPr>
        <w:t>Metadata as Gatekeeping</w:t>
      </w:r>
    </w:p>
    <w:p w14:paraId="2A803AC7" w14:textId="01B8742F" w:rsidR="00CF045F" w:rsidRPr="00FC3A7C" w:rsidRDefault="00CF045F" w:rsidP="00000C5C">
      <w:pPr>
        <w:ind w:firstLineChars="200" w:firstLine="420"/>
        <w:jc w:val="both"/>
        <w:rPr>
          <w:rFonts w:ascii="Times New Roman" w:hAnsi="Times New Roman" w:cs="Times New Roman"/>
          <w:sz w:val="21"/>
          <w:szCs w:val="21"/>
        </w:rPr>
      </w:pPr>
      <w:r w:rsidRPr="00FC3A7C">
        <w:rPr>
          <w:rFonts w:ascii="Times New Roman" w:hAnsi="Times New Roman" w:cs="Times New Roman"/>
          <w:sz w:val="21"/>
          <w:szCs w:val="21"/>
        </w:rPr>
        <w:t>If classification is a form of power, then metadata plays the role of "gatekeeper" in practice. archives do not simply preserve the past, but actively shape "contemporary memory". In other words, archives determine how society remembers history and how future generations interpret history</w:t>
      </w:r>
      <w:r w:rsidR="00000C5C">
        <w:rPr>
          <w:rFonts w:ascii="Times New Roman" w:hAnsi="Times New Roman" w:cs="Times New Roman" w:hint="eastAsia"/>
          <w:sz w:val="21"/>
          <w:szCs w:val="21"/>
        </w:rPr>
        <w:t xml:space="preserve"> </w:t>
      </w:r>
      <w:r w:rsidR="00000C5C">
        <w:rPr>
          <w:rFonts w:ascii="Times New Roman" w:hAnsi="Times New Roman" w:cs="Times New Roman"/>
          <w:sz w:val="21"/>
          <w:szCs w:val="21"/>
        </w:rPr>
        <w:fldChar w:fldCharType="begin"/>
      </w:r>
      <w:r w:rsidR="00000C5C">
        <w:rPr>
          <w:rFonts w:ascii="Times New Roman" w:hAnsi="Times New Roman" w:cs="Times New Roman"/>
          <w:sz w:val="21"/>
          <w:szCs w:val="21"/>
        </w:rPr>
        <w:instrText xml:space="preserve"> ADDIN ZOTERO_ITEM CSL_CITATION {"citationID":"tCj43xvi","properties":{"formattedCitation":"(Schwartz and Cook, 2002)","plainCitation":"(Schwartz and Cook, 2002)","noteIndex":0},"citationItems":[{"id":30,"uris":["http://zotero.org/users/18416250/items/V76HS2RC"],"itemData":{"id":30,"type":"article-journal","abstract":"This article serves as the general introduction by the guest editors to the first of two thematic issues ofArchival Science that will explore the theme, “archives, records, and power.” Archives as institutions and records as documents are generally seen by academic and other users, and by society generally, as passive resources to be exploited for various historical and cultural purposes. Historians since the mid-nineteenth century, in pursuing the new scientific history, needed an archive that was a neutral repositories of facts. Until very recently, archivists obliged by extolling their own professional myth of impartiality, neutrality, and objectivity. Yet archives are established by the powerful to protect or enhance their position in society. Through archives, the past is controlled. Certain stories are privileged and others marginalized. And archivists are an integral part of this story-telling. In the design of record-keeping systems, in the appraisal and selection of a tiny fragment of all possible records to enter the archive, in approaches to subsequent and ever-changing description and preservation of the archive, and in its patterns of communication and use, archivists continually reshape, reinterpret, and reinvent the archive. This represents enormous power over memory and identity, over the fundamental ways in which society seeks evidence of what its core values are and have been, where it has come from, and where it is going. Archives, then, are not passive storehouses of old stuff, but active sites where social power is negotiated, contested, confirmed. The power of archives, records, and archivists should no longer remain naturalized or denied, but opened to vital debate and transparent accountability.","container-title":"Archival Science","DOI":"10.1007/BF02435628","ISSN":"1573-7519","issue":"1","journalAbbreviation":"Archival Science","language":"en","page":"1-19","source":"Springer Link","title":"Archives, records, and power: The making of modern memory","title-short":"Archives, records, and power","volume":"2","author":[{"family":"Schwartz","given":"Joan M."},{"family":"Cook","given":"Terry"}],"issued":{"date-parts":[["2002",3,1]]}}}],"schema":"https://github.com/citation-style-language/schema/raw/master/csl-citation.json"} </w:instrText>
      </w:r>
      <w:r w:rsidR="00000C5C">
        <w:rPr>
          <w:rFonts w:ascii="Times New Roman" w:hAnsi="Times New Roman" w:cs="Times New Roman"/>
          <w:sz w:val="21"/>
          <w:szCs w:val="21"/>
        </w:rPr>
        <w:fldChar w:fldCharType="separate"/>
      </w:r>
      <w:r w:rsidR="00000C5C" w:rsidRPr="00000C5C">
        <w:rPr>
          <w:rFonts w:ascii="Times New Roman" w:hAnsi="Times New Roman" w:cs="Times New Roman" w:hint="eastAsia"/>
          <w:sz w:val="21"/>
        </w:rPr>
        <w:t>(Schwartz and Cook, 2002)</w:t>
      </w:r>
      <w:r w:rsidR="00000C5C">
        <w:rPr>
          <w:rFonts w:ascii="Times New Roman" w:hAnsi="Times New Roman" w:cs="Times New Roman"/>
          <w:sz w:val="21"/>
          <w:szCs w:val="21"/>
        </w:rPr>
        <w:fldChar w:fldCharType="end"/>
      </w:r>
      <w:r w:rsidRPr="00FC3A7C">
        <w:rPr>
          <w:rFonts w:ascii="Times New Roman" w:hAnsi="Times New Roman" w:cs="Times New Roman"/>
          <w:sz w:val="21"/>
          <w:szCs w:val="21"/>
        </w:rPr>
        <w:t>.</w:t>
      </w:r>
    </w:p>
    <w:p w14:paraId="1B6994C1" w14:textId="0BFB7C99" w:rsidR="00CF045F" w:rsidRPr="00FC3A7C" w:rsidRDefault="00985908" w:rsidP="00DB55B0">
      <w:pPr>
        <w:ind w:firstLineChars="200" w:firstLine="420"/>
        <w:jc w:val="both"/>
        <w:rPr>
          <w:rFonts w:ascii="Times New Roman" w:hAnsi="Times New Roman" w:cs="Times New Roman"/>
          <w:sz w:val="21"/>
          <w:szCs w:val="21"/>
        </w:rPr>
      </w:pPr>
      <w:r w:rsidRPr="00FC3A7C">
        <w:rPr>
          <w:rFonts w:ascii="Times New Roman" w:hAnsi="Times New Roman" w:cs="Times New Roman"/>
          <w:sz w:val="21"/>
          <w:szCs w:val="21"/>
        </w:rPr>
        <w:t xml:space="preserve">It is </w:t>
      </w:r>
      <w:r w:rsidR="00CF045F" w:rsidRPr="00FC3A7C">
        <w:rPr>
          <w:rFonts w:ascii="Times New Roman" w:hAnsi="Times New Roman" w:cs="Times New Roman"/>
          <w:sz w:val="21"/>
          <w:szCs w:val="21"/>
        </w:rPr>
        <w:t>further expanded this view through the concept of "symbolic annihilation": when the history of certain groups is absent from archival records, they will not only disappear from the documentary records, but also be excluded from the broader social thought. Outside the elephant</w:t>
      </w:r>
      <w:r w:rsidRPr="00FC3A7C">
        <w:rPr>
          <w:rFonts w:ascii="Times New Roman" w:hAnsi="Times New Roman" w:cs="Times New Roman"/>
          <w:sz w:val="21"/>
          <w:szCs w:val="21"/>
        </w:rPr>
        <w:t xml:space="preserve"> </w:t>
      </w:r>
      <w:r w:rsidR="00F965D3">
        <w:rPr>
          <w:rFonts w:ascii="Times New Roman" w:hAnsi="Times New Roman" w:cs="Times New Roman"/>
          <w:sz w:val="21"/>
          <w:szCs w:val="21"/>
        </w:rPr>
        <w:fldChar w:fldCharType="begin"/>
      </w:r>
      <w:r w:rsidR="00F965D3">
        <w:rPr>
          <w:rFonts w:ascii="Times New Roman" w:hAnsi="Times New Roman" w:cs="Times New Roman"/>
          <w:sz w:val="21"/>
          <w:szCs w:val="21"/>
        </w:rPr>
        <w:instrText xml:space="preserve"> ADDIN ZOTERO_ITEM CSL_CITATION {"citationID":"B8378Eaa","properties":{"formattedCitation":"(Caswell, 2014)","plainCitation":"(Caswell, 2014)","noteIndex":0},"citationItems":[{"id":47,"uris":["http://zotero.org/users/18416250/items/HIK52LZX"],"itemData":{"id":47,"type":"article-journal","abstract":"Building on the author’s experiences as the co-founder and a board member of the South Asian American Digital Archive (SAADA), this article posits that independent, community-based archives are crucial tools for ﬁghting the symbolic annihilation of historically marginalized groups.","container-title":"The Public Historian","DOI":"10.1525/tph.2014.36.4.26","ISSN":"0272-3433, 1533-8576","issue":"4","language":"en","page":"26-37","source":"DOI.org (Crossref)","title":"Seeing Yourself in History","volume":"36","author":[{"family":"Caswell","given":"Michelle"}],"issued":{"date-parts":[["2014",11,1]]}}}],"schema":"https://github.com/citation-style-language/schema/raw/master/csl-citation.json"} </w:instrText>
      </w:r>
      <w:r w:rsidR="00F965D3">
        <w:rPr>
          <w:rFonts w:ascii="Times New Roman" w:hAnsi="Times New Roman" w:cs="Times New Roman"/>
          <w:sz w:val="21"/>
          <w:szCs w:val="21"/>
        </w:rPr>
        <w:fldChar w:fldCharType="separate"/>
      </w:r>
      <w:r w:rsidR="00F965D3" w:rsidRPr="00F965D3">
        <w:rPr>
          <w:rFonts w:ascii="Times New Roman" w:hAnsi="Times New Roman" w:cs="Times New Roman" w:hint="eastAsia"/>
          <w:sz w:val="21"/>
        </w:rPr>
        <w:t>(Caswell, 2014)</w:t>
      </w:r>
      <w:r w:rsidR="00F965D3">
        <w:rPr>
          <w:rFonts w:ascii="Times New Roman" w:hAnsi="Times New Roman" w:cs="Times New Roman"/>
          <w:sz w:val="21"/>
          <w:szCs w:val="21"/>
        </w:rPr>
        <w:fldChar w:fldCharType="end"/>
      </w:r>
      <w:r w:rsidR="00CF045F" w:rsidRPr="00FC3A7C">
        <w:rPr>
          <w:rFonts w:ascii="Times New Roman" w:hAnsi="Times New Roman" w:cs="Times New Roman"/>
          <w:sz w:val="21"/>
          <w:szCs w:val="21"/>
        </w:rPr>
        <w:t>. For example, the narratives of aboriginal communities, immigrant groups and marginal social movements are often difficult to enter the collection system of official institutions. It can be seen that the impact of metadata far exceeds that of information organization at the technical level - it determines which stories can be discovered, preserved and recognized, and which groups of voices will be excluded.</w:t>
      </w:r>
    </w:p>
    <w:p w14:paraId="2E8906CE" w14:textId="3C7C769F" w:rsidR="00CF045F" w:rsidRPr="00FC3A7C" w:rsidRDefault="00CF045F" w:rsidP="00FC3A7C">
      <w:pPr>
        <w:ind w:firstLineChars="200" w:firstLine="420"/>
        <w:jc w:val="both"/>
        <w:rPr>
          <w:rFonts w:ascii="Times New Roman" w:hAnsi="Times New Roman" w:cs="Times New Roman"/>
          <w:sz w:val="21"/>
          <w:szCs w:val="21"/>
        </w:rPr>
      </w:pPr>
      <w:r w:rsidRPr="00FC3A7C">
        <w:rPr>
          <w:rFonts w:ascii="Times New Roman" w:hAnsi="Times New Roman" w:cs="Times New Roman"/>
          <w:sz w:val="21"/>
          <w:szCs w:val="21"/>
        </w:rPr>
        <w:t>Therefore, metadata bias is by no means a simple descriptive error, but a profound reflection of structural social inequality. When marginal groups are misclassified, inadequately described or completely ignored, their presence in the digital system will become weaker. This "invisibility" not only limits people's access to its history, but also has a profound impact on contemporary policymaking, cultural identity and social legitimacy.</w:t>
      </w:r>
    </w:p>
    <w:p w14:paraId="0616E21C" w14:textId="600EA144" w:rsidR="00985908" w:rsidRPr="00DB55B0" w:rsidRDefault="00985908" w:rsidP="00DB55B0">
      <w:pPr>
        <w:ind w:firstLineChars="200" w:firstLine="420"/>
        <w:jc w:val="both"/>
        <w:rPr>
          <w:rFonts w:ascii="Times New Roman" w:hAnsi="Times New Roman" w:cs="Times New Roman"/>
          <w:b/>
          <w:bCs/>
          <w:sz w:val="21"/>
          <w:szCs w:val="21"/>
        </w:rPr>
      </w:pPr>
      <w:r w:rsidRPr="00DB55B0">
        <w:rPr>
          <w:rFonts w:ascii="Times New Roman" w:hAnsi="Times New Roman" w:cs="Times New Roman"/>
          <w:b/>
          <w:bCs/>
          <w:sz w:val="21"/>
          <w:szCs w:val="21"/>
        </w:rPr>
        <w:t>3.3 Optical Character Recognition (OCR) Bias and Algorithm Bias</w:t>
      </w:r>
    </w:p>
    <w:p w14:paraId="3D7A1094" w14:textId="2C4D86F2" w:rsidR="00985908" w:rsidRPr="00FC3A7C" w:rsidRDefault="00985908" w:rsidP="00DB55B0">
      <w:pPr>
        <w:ind w:firstLineChars="200" w:firstLine="420"/>
        <w:jc w:val="both"/>
        <w:rPr>
          <w:rFonts w:ascii="Times New Roman" w:hAnsi="Times New Roman" w:cs="Times New Roman"/>
          <w:sz w:val="21"/>
          <w:szCs w:val="21"/>
        </w:rPr>
      </w:pPr>
      <w:r w:rsidRPr="00FC3A7C">
        <w:rPr>
          <w:rFonts w:ascii="Times New Roman" w:hAnsi="Times New Roman" w:cs="Times New Roman"/>
          <w:sz w:val="21"/>
          <w:szCs w:val="21"/>
        </w:rPr>
        <w:t>In addition to metadata classification, there is also structural inequality in the digitalization process itself. Take optical character recognition (OCR) technology as an example, the accuracy of processing Asian characters, non-Latin alphabets, old-fashioned fonts and handwritten texts is far lower than the level of processing standard Western printed texts. As a result, it is more difficult for some cultural materials to be digitized, retrieved and studied, and they fall into a dilemma of digital invisibility. Such errors will also produce cumulative effects: low-quality digital data will reduce the retrieval accuracy and weaken the discoverability, thus hindering the follow-up research of relevant collections.</w:t>
      </w:r>
    </w:p>
    <w:p w14:paraId="54173395" w14:textId="706C4506" w:rsidR="00DB55B0" w:rsidRDefault="00DB55B0" w:rsidP="00DB55B0">
      <w:pPr>
        <w:ind w:firstLineChars="200" w:firstLine="420"/>
        <w:jc w:val="both"/>
        <w:rPr>
          <w:rFonts w:ascii="Times New Roman" w:hAnsi="Times New Roman" w:cs="Times New Roman"/>
          <w:sz w:val="21"/>
          <w:szCs w:val="21"/>
        </w:rPr>
      </w:pPr>
      <w:r w:rsidRPr="00DB55B0">
        <w:rPr>
          <w:rFonts w:ascii="Times New Roman" w:hAnsi="Times New Roman" w:cs="Times New Roman" w:hint="eastAsia"/>
          <w:sz w:val="21"/>
          <w:szCs w:val="21"/>
        </w:rPr>
        <w:t xml:space="preserve">In the book Algorithms of Oppression, Noble argues that digital systems and search engines are not value-neutral; they reproduce social prejudices and often marginalize underrepresented groups in search results and digital records </w:t>
      </w:r>
      <w:r>
        <w:rPr>
          <w:rFonts w:ascii="Times New Roman" w:hAnsi="Times New Roman" w:cs="Times New Roman"/>
          <w:sz w:val="21"/>
          <w:szCs w:val="21"/>
        </w:rPr>
        <w:fldChar w:fldCharType="begin"/>
      </w:r>
      <w:r>
        <w:rPr>
          <w:rFonts w:ascii="Times New Roman" w:hAnsi="Times New Roman" w:cs="Times New Roman"/>
          <w:sz w:val="21"/>
          <w:szCs w:val="21"/>
        </w:rPr>
        <w:instrText xml:space="preserve"> ADDIN ZOTERO_ITEM CSL_CITATION {"citationID":"Ijf6vlcQ","properties":{"formattedCitation":"(Noble, 2018)","plainCitation":"(Noble, 2018)","noteIndex":0},"citationItems":[{"id":48,"uris":["http://zotero.org/users/18416250/items/XYPVA7VN"],"itemData":{"id":48,"type":"book","abstract":"A revealing look at how negative biases against women of color are embedded in search engine results and algorithms Run a Google search for “black girls”—what will you find? “Big Booty” and other sexually explicit terms are likely to come up as top search terms. But, if you type in “white girls,” the results are radically different. The suggested porn sites and un-moderated discussions about “why black women are so sassy” or “why black women are so angry” presents a disturbing portrait of black womanhood in modern society. In Algorithms of Oppression , Safiya Umoja Noble challenges the idea that search engines like Google offer an equal playing field for all forms of ideas, identities, and activities. Data discrimination is a real social problem; Noble argues that the combination of private interests in promoting certain sites, along with the monopoly status of a relatively small number of Internet search engines, leads to a biased set of search algorithms that privilege whiteness and discriminate against people of color, specifically women of color. Through an analysis of textual and media searches as well as extensive research on paid online advertising, Noble exposes a culture of racism and sexism in the way discoverability is created online. As search engines and their related companies grow in importance—operating as a source for email, a major vehicle for primary and secondary school learning, and beyond—understanding and reversing these disquieting trends and discriminatory practices is of utmost importance. An original, surprising and, at times, disturbing account of bias on the internet, Algorithms of Oppression contributes to our understanding of how racism is created, maintained, and disseminated in the 21st century.","ISBN":"978-1-4798-3364-1","language":"en","license":"De Gruyter expressly reserves the right to use all content for commercial text and data mining within the meaning of Section 44b of the German Copyright Act.","note":"DOI: 10.18574/nyu/9781479833641.001.0001","publisher":"New York University Press","source":"www.degruyterbrill.com","title":"Algorithms of Oppression: How Search Engines Reinforce Racism","title-short":"Algorithms of Oppression","URL":"https://www.degruyterbrill.com/document/doi/10.18574/nyu/9781479833641.001.0001/html","author":[{"family":"Noble","given":"Safiya Umoja"}],"accessed":{"date-parts":[["2025",12,5]]},"issued":{"date-parts":[["2018",2,20]]}}}],"schema":"https://github.com/citation-style-language/schema/raw/master/csl-citation.json"} </w:instrText>
      </w:r>
      <w:r>
        <w:rPr>
          <w:rFonts w:ascii="Times New Roman" w:hAnsi="Times New Roman" w:cs="Times New Roman"/>
          <w:sz w:val="21"/>
          <w:szCs w:val="21"/>
        </w:rPr>
        <w:fldChar w:fldCharType="separate"/>
      </w:r>
      <w:r w:rsidRPr="00DB55B0">
        <w:rPr>
          <w:rFonts w:ascii="Times New Roman" w:hAnsi="Times New Roman" w:cs="Times New Roman" w:hint="eastAsia"/>
          <w:sz w:val="21"/>
        </w:rPr>
        <w:t>(Noble, 2018)</w:t>
      </w:r>
      <w:r>
        <w:rPr>
          <w:rFonts w:ascii="Times New Roman" w:hAnsi="Times New Roman" w:cs="Times New Roman"/>
          <w:sz w:val="21"/>
          <w:szCs w:val="21"/>
        </w:rPr>
        <w:fldChar w:fldCharType="end"/>
      </w:r>
      <w:r w:rsidRPr="00DB55B0">
        <w:rPr>
          <w:rFonts w:ascii="Times New Roman" w:hAnsi="Times New Roman" w:cs="Times New Roman" w:hint="eastAsia"/>
          <w:sz w:val="21"/>
          <w:szCs w:val="21"/>
        </w:rPr>
        <w:t>. Similarly, Benjamin points out that technological systems frequently encode and reinforce racial inequality under the guise of neutrality (Benjamin, 2019).</w:t>
      </w:r>
    </w:p>
    <w:p w14:paraId="48EB6C94" w14:textId="78F46D6F" w:rsidR="00985908" w:rsidRPr="00FC3A7C" w:rsidRDefault="00985908" w:rsidP="00DB55B0">
      <w:pPr>
        <w:ind w:firstLineChars="200" w:firstLine="420"/>
        <w:jc w:val="both"/>
        <w:rPr>
          <w:rFonts w:ascii="Times New Roman" w:hAnsi="Times New Roman" w:cs="Times New Roman"/>
          <w:sz w:val="21"/>
          <w:szCs w:val="21"/>
        </w:rPr>
      </w:pPr>
      <w:r w:rsidRPr="00FC3A7C">
        <w:rPr>
          <w:rFonts w:ascii="Times New Roman" w:hAnsi="Times New Roman" w:cs="Times New Roman"/>
          <w:sz w:val="21"/>
          <w:szCs w:val="21"/>
        </w:rPr>
        <w:t xml:space="preserve">These cases show that digital tools and algorithms are not passive intermediaries, but actively shape the power pattern of digital knowledge. They determine which texts, cultures and history can successfully enter the digital field, and which content will be buried due to technical bias or </w:t>
      </w:r>
      <w:r w:rsidRPr="00FC3A7C">
        <w:rPr>
          <w:rFonts w:ascii="Times New Roman" w:hAnsi="Times New Roman" w:cs="Times New Roman"/>
          <w:sz w:val="21"/>
          <w:szCs w:val="21"/>
        </w:rPr>
        <w:lastRenderedPageBreak/>
        <w:t>cognitive bias. With the increasing importance of digital infrastructure in academic and public life, recognizing these prejudices is a key prerequisite for ensuring equitable access to knowledge.</w:t>
      </w:r>
    </w:p>
    <w:p w14:paraId="4DA0C14C" w14:textId="66C3F7B1" w:rsidR="00985908" w:rsidRPr="00FC3A7C" w:rsidRDefault="00985908" w:rsidP="00DB55B0">
      <w:pPr>
        <w:ind w:firstLineChars="200" w:firstLine="420"/>
        <w:jc w:val="both"/>
        <w:rPr>
          <w:rFonts w:ascii="Times New Roman" w:hAnsi="Times New Roman" w:cs="Times New Roman"/>
          <w:sz w:val="21"/>
          <w:szCs w:val="21"/>
        </w:rPr>
      </w:pPr>
      <w:r w:rsidRPr="00FC3A7C">
        <w:rPr>
          <w:rFonts w:ascii="Times New Roman" w:hAnsi="Times New Roman" w:cs="Times New Roman"/>
          <w:sz w:val="21"/>
          <w:szCs w:val="21"/>
        </w:rPr>
        <w:t>In summary, through the study of each chapter, this paper explores how digital technology can reshape human cognition, challenge the stability of digital information, and build the rules of knowledge acquisition through the political and cultural framework contained in the metadata system. Comprehensive analysis shows that digital technology is neither a pure auxiliary tool nor a neutral infrastructure, but has a dynamic power, which deeply affects what content is remembered, how knowledge is organized, and which groups are represented in digital cultural records. The second part reveals the cognitive impact of digital dependence, the vulnerability of digital information systems, and the irreplaceability of human communication. These research conclusions emphasize that human beings need to pay attention to the cultivation of intrinsic cognitive abilities, formulate perfect preservation strategies, and soberly realize the limitations of artificial intelligence systems in terms of emotional and situational understanding. The third part points out that metadata classification, archive description practice, optical character recognition (OCR) systems and algorithms all play a key role in shaping the "visible" and "invisible" pattern of the digital world. These structures not only affect the storage and retrieval of information, but also determine which groups and views can enter cultural memory and which will be systematically excluded. The rise of community archives and the introduction of ethical frameworks such as FAIR and CARE principles provide a feasible path for building a more inclusive and fair knowledge infrastructure.</w:t>
      </w:r>
    </w:p>
    <w:p w14:paraId="52555080" w14:textId="2B247127" w:rsidR="00985908" w:rsidRDefault="00985908" w:rsidP="00FC3A7C">
      <w:pPr>
        <w:ind w:firstLineChars="200" w:firstLine="420"/>
        <w:jc w:val="both"/>
        <w:rPr>
          <w:rFonts w:ascii="Times New Roman" w:hAnsi="Times New Roman" w:cs="Times New Roman"/>
          <w:sz w:val="21"/>
          <w:szCs w:val="21"/>
        </w:rPr>
      </w:pPr>
      <w:r w:rsidRPr="00FC3A7C">
        <w:rPr>
          <w:rFonts w:ascii="Times New Roman" w:hAnsi="Times New Roman" w:cs="Times New Roman"/>
          <w:sz w:val="21"/>
          <w:szCs w:val="21"/>
        </w:rPr>
        <w:t>Ultimately, while expanding human cognitive boundaries and cultural preservation capabilities, digital technology has also brought new dependency, risk challenges and power imbalances. Critical understanding of these dynamic relationships is the key to ensuring that digital systems help rather than weaken human autonomy, diversity and memory. With the continuous development of digital technology, future research and practice must give priority to the integration of ethical design, inclusive classification system, sustainable preservation strategies and responsible technology, so as to build a digital knowledge infrastructure that can reflect and serve the needs of all groups.</w:t>
      </w:r>
    </w:p>
    <w:p w14:paraId="55F9CCD5" w14:textId="77777777" w:rsidR="00EA36D4" w:rsidRDefault="00EA36D4" w:rsidP="00FC3A7C">
      <w:pPr>
        <w:ind w:firstLineChars="200" w:firstLine="420"/>
        <w:jc w:val="both"/>
        <w:rPr>
          <w:rFonts w:ascii="Times New Roman" w:hAnsi="Times New Roman" w:cs="Times New Roman"/>
          <w:sz w:val="21"/>
          <w:szCs w:val="21"/>
        </w:rPr>
      </w:pPr>
    </w:p>
    <w:p w14:paraId="3F56FE66" w14:textId="77777777" w:rsidR="00EA36D4" w:rsidRDefault="00EA36D4" w:rsidP="00FC3A7C">
      <w:pPr>
        <w:ind w:firstLineChars="200" w:firstLine="420"/>
        <w:jc w:val="both"/>
        <w:rPr>
          <w:rFonts w:ascii="Times New Roman" w:hAnsi="Times New Roman" w:cs="Times New Roman"/>
          <w:sz w:val="21"/>
          <w:szCs w:val="21"/>
        </w:rPr>
      </w:pPr>
    </w:p>
    <w:p w14:paraId="170F8E52" w14:textId="77777777" w:rsidR="00DB55B0" w:rsidRPr="00DB55B0" w:rsidRDefault="00EA36D4" w:rsidP="00DB55B0">
      <w:pPr>
        <w:pStyle w:val="af2"/>
        <w:rPr>
          <w:rFonts w:ascii="Times New Roman" w:hAnsi="Times New Roman" w:cs="Times New Roman"/>
          <w:sz w:val="21"/>
        </w:rPr>
      </w:pPr>
      <w:r>
        <w:rPr>
          <w:sz w:val="21"/>
          <w:szCs w:val="21"/>
        </w:rPr>
        <w:fldChar w:fldCharType="begin"/>
      </w:r>
      <w:r>
        <w:rPr>
          <w:sz w:val="21"/>
          <w:szCs w:val="21"/>
        </w:rPr>
        <w:instrText xml:space="preserve"> ADDIN ZOTERO_BIBL {"uncited":[],"omitted":[],"custom":[]} CSL_BIBLIOGRAPHY </w:instrText>
      </w:r>
      <w:r>
        <w:rPr>
          <w:sz w:val="21"/>
          <w:szCs w:val="21"/>
        </w:rPr>
        <w:fldChar w:fldCharType="separate"/>
      </w:r>
      <w:r w:rsidR="00DB55B0" w:rsidRPr="00DB55B0">
        <w:rPr>
          <w:rFonts w:ascii="Times New Roman" w:hAnsi="Times New Roman" w:cs="Times New Roman"/>
          <w:sz w:val="21"/>
        </w:rPr>
        <w:t xml:space="preserve">Arnd-Caddigan, M. (2015) “Sherry Turkle: Alone Together: Why We Expect More from Technology and Less from Each Other,” </w:t>
      </w:r>
      <w:r w:rsidR="00DB55B0" w:rsidRPr="00DB55B0">
        <w:rPr>
          <w:rFonts w:ascii="Times New Roman" w:hAnsi="Times New Roman" w:cs="Times New Roman"/>
          <w:i/>
          <w:iCs/>
          <w:sz w:val="21"/>
        </w:rPr>
        <w:t>Clinical Social Work Journal</w:t>
      </w:r>
      <w:r w:rsidR="00DB55B0" w:rsidRPr="00DB55B0">
        <w:rPr>
          <w:rFonts w:ascii="Times New Roman" w:hAnsi="Times New Roman" w:cs="Times New Roman"/>
          <w:sz w:val="21"/>
        </w:rPr>
        <w:t>, 43(2), pp. 247–248. Available at: https://doi.org/10.1007/s10615-014-0511-4.</w:t>
      </w:r>
    </w:p>
    <w:p w14:paraId="4AD3A2C6" w14:textId="77777777" w:rsidR="00DB55B0" w:rsidRPr="00DB55B0" w:rsidRDefault="00DB55B0" w:rsidP="00DB55B0">
      <w:pPr>
        <w:pStyle w:val="af2"/>
        <w:rPr>
          <w:rFonts w:ascii="Times New Roman" w:hAnsi="Times New Roman" w:cs="Times New Roman"/>
          <w:sz w:val="21"/>
        </w:rPr>
      </w:pPr>
      <w:r w:rsidRPr="00DB55B0">
        <w:rPr>
          <w:rFonts w:ascii="Times New Roman" w:hAnsi="Times New Roman" w:cs="Times New Roman"/>
          <w:sz w:val="21"/>
        </w:rPr>
        <w:t xml:space="preserve">Bowker, G.C. and Star, S.L. (2000) </w:t>
      </w:r>
      <w:r w:rsidRPr="00DB55B0">
        <w:rPr>
          <w:rFonts w:ascii="Times New Roman" w:hAnsi="Times New Roman" w:cs="Times New Roman"/>
          <w:i/>
          <w:iCs/>
          <w:sz w:val="21"/>
        </w:rPr>
        <w:t>Sorting Things Out: Classification and Its Consequences</w:t>
      </w:r>
      <w:r w:rsidRPr="00DB55B0">
        <w:rPr>
          <w:rFonts w:ascii="Times New Roman" w:hAnsi="Times New Roman" w:cs="Times New Roman"/>
          <w:sz w:val="21"/>
        </w:rPr>
        <w:t>. MIT Press.</w:t>
      </w:r>
    </w:p>
    <w:p w14:paraId="34186E9B" w14:textId="77777777" w:rsidR="00DB55B0" w:rsidRPr="00DB55B0" w:rsidRDefault="00DB55B0" w:rsidP="00DB55B0">
      <w:pPr>
        <w:pStyle w:val="af2"/>
        <w:rPr>
          <w:rFonts w:ascii="Times New Roman" w:hAnsi="Times New Roman" w:cs="Times New Roman"/>
          <w:sz w:val="21"/>
        </w:rPr>
      </w:pPr>
      <w:r w:rsidRPr="00DB55B0">
        <w:rPr>
          <w:rFonts w:ascii="Times New Roman" w:hAnsi="Times New Roman" w:cs="Times New Roman"/>
          <w:sz w:val="21"/>
        </w:rPr>
        <w:t xml:space="preserve">Caswell, M. (2014) “Seeing Yourself in History,” </w:t>
      </w:r>
      <w:r w:rsidRPr="00DB55B0">
        <w:rPr>
          <w:rFonts w:ascii="Times New Roman" w:hAnsi="Times New Roman" w:cs="Times New Roman"/>
          <w:i/>
          <w:iCs/>
          <w:sz w:val="21"/>
        </w:rPr>
        <w:t>The Public Historian</w:t>
      </w:r>
      <w:r w:rsidRPr="00DB55B0">
        <w:rPr>
          <w:rFonts w:ascii="Times New Roman" w:hAnsi="Times New Roman" w:cs="Times New Roman"/>
          <w:sz w:val="21"/>
        </w:rPr>
        <w:t>, 36(4), pp. 26–37. Available at: https://doi.org/10.1525/tph.2014.36.4.26.</w:t>
      </w:r>
    </w:p>
    <w:p w14:paraId="285800A2" w14:textId="77777777" w:rsidR="00DB55B0" w:rsidRPr="00DB55B0" w:rsidRDefault="00DB55B0" w:rsidP="00DB55B0">
      <w:pPr>
        <w:pStyle w:val="af2"/>
        <w:rPr>
          <w:rFonts w:ascii="Times New Roman" w:hAnsi="Times New Roman" w:cs="Times New Roman"/>
          <w:sz w:val="21"/>
        </w:rPr>
      </w:pPr>
      <w:r w:rsidRPr="00DB55B0">
        <w:rPr>
          <w:rFonts w:ascii="Times New Roman" w:hAnsi="Times New Roman" w:cs="Times New Roman"/>
          <w:sz w:val="21"/>
        </w:rPr>
        <w:lastRenderedPageBreak/>
        <w:t xml:space="preserve">Clark, A. and Chalmers, D. (1998) “The Extended Mind,” </w:t>
      </w:r>
      <w:r w:rsidRPr="00DB55B0">
        <w:rPr>
          <w:rFonts w:ascii="Times New Roman" w:hAnsi="Times New Roman" w:cs="Times New Roman"/>
          <w:i/>
          <w:iCs/>
          <w:sz w:val="21"/>
        </w:rPr>
        <w:t>Analysis</w:t>
      </w:r>
      <w:r w:rsidRPr="00DB55B0">
        <w:rPr>
          <w:rFonts w:ascii="Times New Roman" w:hAnsi="Times New Roman" w:cs="Times New Roman"/>
          <w:sz w:val="21"/>
        </w:rPr>
        <w:t>, 58(1), pp. 7–19.</w:t>
      </w:r>
    </w:p>
    <w:p w14:paraId="531D15E6" w14:textId="77777777" w:rsidR="00DB55B0" w:rsidRPr="00DB55B0" w:rsidRDefault="00DB55B0" w:rsidP="00DB55B0">
      <w:pPr>
        <w:pStyle w:val="af2"/>
        <w:rPr>
          <w:rFonts w:ascii="Times New Roman" w:hAnsi="Times New Roman" w:cs="Times New Roman"/>
          <w:sz w:val="21"/>
        </w:rPr>
      </w:pPr>
      <w:r w:rsidRPr="00DB55B0">
        <w:rPr>
          <w:rFonts w:ascii="Times New Roman" w:hAnsi="Times New Roman" w:cs="Times New Roman"/>
          <w:sz w:val="21"/>
        </w:rPr>
        <w:t xml:space="preserve">Kirchhoff, A.J. (2008) “Digital preservation: challenges and implementation,” </w:t>
      </w:r>
      <w:r w:rsidRPr="00DB55B0">
        <w:rPr>
          <w:rFonts w:ascii="Times New Roman" w:hAnsi="Times New Roman" w:cs="Times New Roman"/>
          <w:i/>
          <w:iCs/>
          <w:sz w:val="21"/>
        </w:rPr>
        <w:t>Learned Publishing</w:t>
      </w:r>
      <w:r w:rsidRPr="00DB55B0">
        <w:rPr>
          <w:rFonts w:ascii="Times New Roman" w:hAnsi="Times New Roman" w:cs="Times New Roman"/>
          <w:sz w:val="21"/>
        </w:rPr>
        <w:t>, 21(4), pp. 285–294. Available at: https://doi.org/10.1087/095315108X356716.</w:t>
      </w:r>
    </w:p>
    <w:p w14:paraId="1DDE0A99" w14:textId="77777777" w:rsidR="00DB55B0" w:rsidRPr="00DB55B0" w:rsidRDefault="00DB55B0" w:rsidP="00DB55B0">
      <w:pPr>
        <w:pStyle w:val="af2"/>
        <w:rPr>
          <w:rFonts w:ascii="Times New Roman" w:hAnsi="Times New Roman" w:cs="Times New Roman"/>
          <w:sz w:val="21"/>
        </w:rPr>
      </w:pPr>
      <w:r w:rsidRPr="00DB55B0">
        <w:rPr>
          <w:rFonts w:ascii="Times New Roman" w:hAnsi="Times New Roman" w:cs="Times New Roman"/>
          <w:sz w:val="21"/>
        </w:rPr>
        <w:t xml:space="preserve">Lodha, P. (2019) “Digital Amnesia: are we headed towards another amnesia,” </w:t>
      </w:r>
      <w:r w:rsidRPr="00DB55B0">
        <w:rPr>
          <w:rFonts w:ascii="Times New Roman" w:hAnsi="Times New Roman" w:cs="Times New Roman"/>
          <w:i/>
          <w:iCs/>
          <w:sz w:val="21"/>
        </w:rPr>
        <w:t>Indian Journal of Mental Health</w:t>
      </w:r>
      <w:r w:rsidRPr="00DB55B0">
        <w:rPr>
          <w:rFonts w:ascii="Times New Roman" w:hAnsi="Times New Roman" w:cs="Times New Roman"/>
          <w:sz w:val="21"/>
        </w:rPr>
        <w:t>, 6(1), p. 18. Available at: https://doi.org/10.30877/IJMH.6.1.2019.18-22.</w:t>
      </w:r>
    </w:p>
    <w:p w14:paraId="6A495497" w14:textId="77777777" w:rsidR="00DB55B0" w:rsidRPr="00DB55B0" w:rsidRDefault="00DB55B0" w:rsidP="00DB55B0">
      <w:pPr>
        <w:pStyle w:val="af2"/>
        <w:rPr>
          <w:rFonts w:ascii="Times New Roman" w:hAnsi="Times New Roman" w:cs="Times New Roman"/>
          <w:sz w:val="21"/>
        </w:rPr>
      </w:pPr>
      <w:r w:rsidRPr="00DB55B0">
        <w:rPr>
          <w:rFonts w:ascii="Times New Roman" w:hAnsi="Times New Roman" w:cs="Times New Roman"/>
          <w:sz w:val="21"/>
        </w:rPr>
        <w:t xml:space="preserve">Lorie, R.A. (2001) “Long term preservation of digital information,” in </w:t>
      </w:r>
      <w:r w:rsidRPr="00DB55B0">
        <w:rPr>
          <w:rFonts w:ascii="Times New Roman" w:hAnsi="Times New Roman" w:cs="Times New Roman"/>
          <w:i/>
          <w:iCs/>
          <w:sz w:val="21"/>
        </w:rPr>
        <w:t>Proceedings of the 1st ACM/IEEE-CS joint conference on Digital libraries</w:t>
      </w:r>
      <w:r w:rsidRPr="00DB55B0">
        <w:rPr>
          <w:rFonts w:ascii="Times New Roman" w:hAnsi="Times New Roman" w:cs="Times New Roman"/>
          <w:sz w:val="21"/>
        </w:rPr>
        <w:t xml:space="preserve">. </w:t>
      </w:r>
      <w:r w:rsidRPr="00DB55B0">
        <w:rPr>
          <w:rFonts w:ascii="Times New Roman" w:hAnsi="Times New Roman" w:cs="Times New Roman"/>
          <w:i/>
          <w:iCs/>
          <w:sz w:val="21"/>
        </w:rPr>
        <w:t>JCDL01: 1st ACM/IEEE-CS Joint Conference on Digital Libraries</w:t>
      </w:r>
      <w:r w:rsidRPr="00DB55B0">
        <w:rPr>
          <w:rFonts w:ascii="Times New Roman" w:hAnsi="Times New Roman" w:cs="Times New Roman"/>
          <w:sz w:val="21"/>
        </w:rPr>
        <w:t>, Roanoke Virginia USA: ACM, pp. 346–352. Available at: https://doi.org/10.1145/379437.379726.</w:t>
      </w:r>
    </w:p>
    <w:p w14:paraId="1A3F09DD" w14:textId="77777777" w:rsidR="00DB55B0" w:rsidRPr="00DB55B0" w:rsidRDefault="00DB55B0" w:rsidP="00DB55B0">
      <w:pPr>
        <w:pStyle w:val="af2"/>
        <w:rPr>
          <w:rFonts w:ascii="Times New Roman" w:hAnsi="Times New Roman" w:cs="Times New Roman"/>
          <w:sz w:val="21"/>
        </w:rPr>
      </w:pPr>
      <w:r w:rsidRPr="00DB55B0">
        <w:rPr>
          <w:rFonts w:ascii="Times New Roman" w:hAnsi="Times New Roman" w:cs="Times New Roman"/>
          <w:sz w:val="21"/>
        </w:rPr>
        <w:t xml:space="preserve">Noble, S.U. (2018) </w:t>
      </w:r>
      <w:r w:rsidRPr="00DB55B0">
        <w:rPr>
          <w:rFonts w:ascii="Times New Roman" w:hAnsi="Times New Roman" w:cs="Times New Roman"/>
          <w:i/>
          <w:iCs/>
          <w:sz w:val="21"/>
        </w:rPr>
        <w:t>Algorithms of Oppression: How Search Engines Reinforce Racism</w:t>
      </w:r>
      <w:r w:rsidRPr="00DB55B0">
        <w:rPr>
          <w:rFonts w:ascii="Times New Roman" w:hAnsi="Times New Roman" w:cs="Times New Roman"/>
          <w:sz w:val="21"/>
        </w:rPr>
        <w:t>. New York University Press. Available at: https://doi.org/10.18574/nyu/9781479833641.001.0001.</w:t>
      </w:r>
    </w:p>
    <w:p w14:paraId="7F6A1110" w14:textId="77777777" w:rsidR="00DB55B0" w:rsidRPr="00DB55B0" w:rsidRDefault="00DB55B0" w:rsidP="00DB55B0">
      <w:pPr>
        <w:pStyle w:val="af2"/>
        <w:rPr>
          <w:rFonts w:ascii="Times New Roman" w:hAnsi="Times New Roman" w:cs="Times New Roman"/>
          <w:sz w:val="21"/>
        </w:rPr>
      </w:pPr>
      <w:r w:rsidRPr="00DB55B0">
        <w:rPr>
          <w:rFonts w:ascii="Times New Roman" w:hAnsi="Times New Roman" w:cs="Times New Roman"/>
          <w:sz w:val="21"/>
        </w:rPr>
        <w:t xml:space="preserve">Schwartz, J.M. and Cook, T. (2002) “Archives, records, and power: The making of modern memory,” </w:t>
      </w:r>
      <w:r w:rsidRPr="00DB55B0">
        <w:rPr>
          <w:rFonts w:ascii="Times New Roman" w:hAnsi="Times New Roman" w:cs="Times New Roman"/>
          <w:i/>
          <w:iCs/>
          <w:sz w:val="21"/>
        </w:rPr>
        <w:t>Archival Science</w:t>
      </w:r>
      <w:r w:rsidRPr="00DB55B0">
        <w:rPr>
          <w:rFonts w:ascii="Times New Roman" w:hAnsi="Times New Roman" w:cs="Times New Roman"/>
          <w:sz w:val="21"/>
        </w:rPr>
        <w:t>, 2(1), pp. 1–19. Available at: https://doi.org/10.1007/BF02435628.</w:t>
      </w:r>
    </w:p>
    <w:p w14:paraId="231D9258" w14:textId="77777777" w:rsidR="00DB55B0" w:rsidRPr="00DB55B0" w:rsidRDefault="00DB55B0" w:rsidP="00DB55B0">
      <w:pPr>
        <w:pStyle w:val="af2"/>
        <w:rPr>
          <w:rFonts w:ascii="Times New Roman" w:hAnsi="Times New Roman" w:cs="Times New Roman"/>
          <w:sz w:val="21"/>
        </w:rPr>
      </w:pPr>
      <w:r w:rsidRPr="00DB55B0">
        <w:rPr>
          <w:rFonts w:ascii="Times New Roman" w:hAnsi="Times New Roman" w:cs="Times New Roman"/>
          <w:sz w:val="21"/>
        </w:rPr>
        <w:t xml:space="preserve">Sparrow, B., Liu, J. and Wegner, D.M. (2011) “Google Effects on Memory: Cognitive Consequences of Having Information at Our Fingertips,” </w:t>
      </w:r>
      <w:r w:rsidRPr="00DB55B0">
        <w:rPr>
          <w:rFonts w:ascii="Times New Roman" w:hAnsi="Times New Roman" w:cs="Times New Roman"/>
          <w:i/>
          <w:iCs/>
          <w:sz w:val="21"/>
        </w:rPr>
        <w:t>Science</w:t>
      </w:r>
      <w:r w:rsidRPr="00DB55B0">
        <w:rPr>
          <w:rFonts w:ascii="Times New Roman" w:hAnsi="Times New Roman" w:cs="Times New Roman"/>
          <w:sz w:val="21"/>
        </w:rPr>
        <w:t>, 333(6043), pp. 776–778. Available at: https://doi.org/10.1126/science.1207745.</w:t>
      </w:r>
    </w:p>
    <w:p w14:paraId="4083F370" w14:textId="77777777" w:rsidR="00DB55B0" w:rsidRPr="00DB55B0" w:rsidRDefault="00DB55B0" w:rsidP="00DB55B0">
      <w:pPr>
        <w:pStyle w:val="af2"/>
        <w:rPr>
          <w:rFonts w:ascii="Times New Roman" w:hAnsi="Times New Roman" w:cs="Times New Roman"/>
          <w:sz w:val="21"/>
        </w:rPr>
      </w:pPr>
      <w:r w:rsidRPr="00DB55B0">
        <w:rPr>
          <w:rFonts w:ascii="Times New Roman" w:hAnsi="Times New Roman" w:cs="Times New Roman"/>
          <w:sz w:val="21"/>
        </w:rPr>
        <w:t xml:space="preserve">Suchman, L.A. (2007) </w:t>
      </w:r>
      <w:r w:rsidRPr="00DB55B0">
        <w:rPr>
          <w:rFonts w:ascii="Times New Roman" w:hAnsi="Times New Roman" w:cs="Times New Roman"/>
          <w:i/>
          <w:iCs/>
          <w:sz w:val="21"/>
        </w:rPr>
        <w:t>Human-Machine Reconfigurations: Plans and Situated Actions</w:t>
      </w:r>
      <w:r w:rsidRPr="00DB55B0">
        <w:rPr>
          <w:rFonts w:ascii="Times New Roman" w:hAnsi="Times New Roman" w:cs="Times New Roman"/>
          <w:sz w:val="21"/>
        </w:rPr>
        <w:t>. Cambridge University Press.</w:t>
      </w:r>
    </w:p>
    <w:p w14:paraId="211EF5BE" w14:textId="77777777" w:rsidR="00DB55B0" w:rsidRPr="00DB55B0" w:rsidRDefault="00DB55B0" w:rsidP="00DB55B0">
      <w:pPr>
        <w:pStyle w:val="af2"/>
        <w:rPr>
          <w:rFonts w:ascii="Times New Roman" w:hAnsi="Times New Roman" w:cs="Times New Roman"/>
          <w:sz w:val="21"/>
        </w:rPr>
      </w:pPr>
      <w:r w:rsidRPr="00DB55B0">
        <w:rPr>
          <w:rFonts w:ascii="Times New Roman" w:hAnsi="Times New Roman" w:cs="Times New Roman"/>
          <w:sz w:val="21"/>
        </w:rPr>
        <w:t xml:space="preserve">Wittenberg, K. </w:t>
      </w:r>
      <w:r w:rsidRPr="00DB55B0">
        <w:rPr>
          <w:rFonts w:ascii="Times New Roman" w:hAnsi="Times New Roman" w:cs="Times New Roman"/>
          <w:i/>
          <w:iCs/>
          <w:sz w:val="21"/>
        </w:rPr>
        <w:t>et al.</w:t>
      </w:r>
      <w:r w:rsidRPr="00DB55B0">
        <w:rPr>
          <w:rFonts w:ascii="Times New Roman" w:hAnsi="Times New Roman" w:cs="Times New Roman"/>
          <w:sz w:val="21"/>
        </w:rPr>
        <w:t xml:space="preserve"> (2018) “Challenges and opportunities in the evolving digital preservation landscape: reflections from Portico,” </w:t>
      </w:r>
      <w:r w:rsidRPr="00DB55B0">
        <w:rPr>
          <w:rFonts w:ascii="Times New Roman" w:hAnsi="Times New Roman" w:cs="Times New Roman"/>
          <w:i/>
          <w:iCs/>
          <w:sz w:val="21"/>
        </w:rPr>
        <w:t>Insights</w:t>
      </w:r>
      <w:r w:rsidRPr="00DB55B0">
        <w:rPr>
          <w:rFonts w:ascii="Times New Roman" w:hAnsi="Times New Roman" w:cs="Times New Roman"/>
          <w:sz w:val="21"/>
        </w:rPr>
        <w:t>, 31(0). Available at: https://doi.org/10.1629/uksg.421.</w:t>
      </w:r>
    </w:p>
    <w:p w14:paraId="15168F98" w14:textId="0A15544B" w:rsidR="00EA36D4" w:rsidRPr="00FC3A7C" w:rsidRDefault="00EA36D4" w:rsidP="00FC3A7C">
      <w:pPr>
        <w:ind w:firstLineChars="200" w:firstLine="420"/>
        <w:jc w:val="both"/>
        <w:rPr>
          <w:rFonts w:ascii="Times New Roman" w:hAnsi="Times New Roman" w:cs="Times New Roman"/>
          <w:sz w:val="21"/>
          <w:szCs w:val="21"/>
        </w:rPr>
      </w:pPr>
      <w:r>
        <w:rPr>
          <w:rFonts w:ascii="Times New Roman" w:hAnsi="Times New Roman" w:cs="Times New Roman"/>
          <w:sz w:val="21"/>
          <w:szCs w:val="21"/>
        </w:rPr>
        <w:fldChar w:fldCharType="end"/>
      </w:r>
    </w:p>
    <w:sectPr w:rsidR="00EA36D4" w:rsidRPr="00FC3A7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B7D33" w14:textId="77777777" w:rsidR="0013244E" w:rsidRDefault="0013244E" w:rsidP="003C3458">
      <w:pPr>
        <w:spacing w:after="0" w:line="240" w:lineRule="auto"/>
        <w:rPr>
          <w:rFonts w:hint="eastAsia"/>
        </w:rPr>
      </w:pPr>
      <w:r>
        <w:separator/>
      </w:r>
    </w:p>
  </w:endnote>
  <w:endnote w:type="continuationSeparator" w:id="0">
    <w:p w14:paraId="69100DCA" w14:textId="77777777" w:rsidR="0013244E" w:rsidRDefault="0013244E" w:rsidP="003C345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30C5A" w14:textId="77777777" w:rsidR="0013244E" w:rsidRDefault="0013244E" w:rsidP="003C3458">
      <w:pPr>
        <w:spacing w:after="0" w:line="240" w:lineRule="auto"/>
        <w:rPr>
          <w:rFonts w:hint="eastAsia"/>
        </w:rPr>
      </w:pPr>
      <w:r>
        <w:separator/>
      </w:r>
    </w:p>
  </w:footnote>
  <w:footnote w:type="continuationSeparator" w:id="0">
    <w:p w14:paraId="2284C736" w14:textId="77777777" w:rsidR="0013244E" w:rsidRDefault="0013244E" w:rsidP="003C3458">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69D"/>
    <w:rsid w:val="00000C5C"/>
    <w:rsid w:val="00020C2B"/>
    <w:rsid w:val="0013244E"/>
    <w:rsid w:val="001D529F"/>
    <w:rsid w:val="00256636"/>
    <w:rsid w:val="00256F0A"/>
    <w:rsid w:val="003C1B67"/>
    <w:rsid w:val="003C3458"/>
    <w:rsid w:val="0043269D"/>
    <w:rsid w:val="006E77BF"/>
    <w:rsid w:val="00715469"/>
    <w:rsid w:val="00774D25"/>
    <w:rsid w:val="00875800"/>
    <w:rsid w:val="008C515F"/>
    <w:rsid w:val="00985908"/>
    <w:rsid w:val="00B37F8D"/>
    <w:rsid w:val="00C1221A"/>
    <w:rsid w:val="00CF045F"/>
    <w:rsid w:val="00D7367D"/>
    <w:rsid w:val="00DB55B0"/>
    <w:rsid w:val="00EA36D4"/>
    <w:rsid w:val="00F165AE"/>
    <w:rsid w:val="00F965D3"/>
    <w:rsid w:val="00FC3A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433186"/>
  <w15:chartTrackingRefBased/>
  <w15:docId w15:val="{C80F31B7-7104-4D17-A08D-A6D5E74BB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C3458"/>
    <w:pPr>
      <w:widowControl w:val="0"/>
    </w:pPr>
  </w:style>
  <w:style w:type="paragraph" w:styleId="1">
    <w:name w:val="heading 1"/>
    <w:basedOn w:val="a"/>
    <w:next w:val="a"/>
    <w:link w:val="10"/>
    <w:uiPriority w:val="9"/>
    <w:qFormat/>
    <w:rsid w:val="0043269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3269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3269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3269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3269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3269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3269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3269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3269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3269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3269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3269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3269D"/>
    <w:rPr>
      <w:rFonts w:cstheme="majorBidi"/>
      <w:color w:val="0F4761" w:themeColor="accent1" w:themeShade="BF"/>
      <w:sz w:val="28"/>
      <w:szCs w:val="28"/>
    </w:rPr>
  </w:style>
  <w:style w:type="character" w:customStyle="1" w:styleId="50">
    <w:name w:val="标题 5 字符"/>
    <w:basedOn w:val="a0"/>
    <w:link w:val="5"/>
    <w:uiPriority w:val="9"/>
    <w:semiHidden/>
    <w:rsid w:val="0043269D"/>
    <w:rPr>
      <w:rFonts w:cstheme="majorBidi"/>
      <w:color w:val="0F4761" w:themeColor="accent1" w:themeShade="BF"/>
      <w:sz w:val="24"/>
    </w:rPr>
  </w:style>
  <w:style w:type="character" w:customStyle="1" w:styleId="60">
    <w:name w:val="标题 6 字符"/>
    <w:basedOn w:val="a0"/>
    <w:link w:val="6"/>
    <w:uiPriority w:val="9"/>
    <w:semiHidden/>
    <w:rsid w:val="0043269D"/>
    <w:rPr>
      <w:rFonts w:cstheme="majorBidi"/>
      <w:b/>
      <w:bCs/>
      <w:color w:val="0F4761" w:themeColor="accent1" w:themeShade="BF"/>
    </w:rPr>
  </w:style>
  <w:style w:type="character" w:customStyle="1" w:styleId="70">
    <w:name w:val="标题 7 字符"/>
    <w:basedOn w:val="a0"/>
    <w:link w:val="7"/>
    <w:uiPriority w:val="9"/>
    <w:semiHidden/>
    <w:rsid w:val="0043269D"/>
    <w:rPr>
      <w:rFonts w:cstheme="majorBidi"/>
      <w:b/>
      <w:bCs/>
      <w:color w:val="595959" w:themeColor="text1" w:themeTint="A6"/>
    </w:rPr>
  </w:style>
  <w:style w:type="character" w:customStyle="1" w:styleId="80">
    <w:name w:val="标题 8 字符"/>
    <w:basedOn w:val="a0"/>
    <w:link w:val="8"/>
    <w:uiPriority w:val="9"/>
    <w:semiHidden/>
    <w:rsid w:val="0043269D"/>
    <w:rPr>
      <w:rFonts w:cstheme="majorBidi"/>
      <w:color w:val="595959" w:themeColor="text1" w:themeTint="A6"/>
    </w:rPr>
  </w:style>
  <w:style w:type="character" w:customStyle="1" w:styleId="90">
    <w:name w:val="标题 9 字符"/>
    <w:basedOn w:val="a0"/>
    <w:link w:val="9"/>
    <w:uiPriority w:val="9"/>
    <w:semiHidden/>
    <w:rsid w:val="0043269D"/>
    <w:rPr>
      <w:rFonts w:eastAsiaTheme="majorEastAsia" w:cstheme="majorBidi"/>
      <w:color w:val="595959" w:themeColor="text1" w:themeTint="A6"/>
    </w:rPr>
  </w:style>
  <w:style w:type="paragraph" w:styleId="a3">
    <w:name w:val="Title"/>
    <w:basedOn w:val="a"/>
    <w:next w:val="a"/>
    <w:link w:val="a4"/>
    <w:uiPriority w:val="10"/>
    <w:qFormat/>
    <w:rsid w:val="0043269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3269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3269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3269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3269D"/>
    <w:pPr>
      <w:spacing w:before="160"/>
      <w:jc w:val="center"/>
    </w:pPr>
    <w:rPr>
      <w:i/>
      <w:iCs/>
      <w:color w:val="404040" w:themeColor="text1" w:themeTint="BF"/>
    </w:rPr>
  </w:style>
  <w:style w:type="character" w:customStyle="1" w:styleId="a8">
    <w:name w:val="引用 字符"/>
    <w:basedOn w:val="a0"/>
    <w:link w:val="a7"/>
    <w:uiPriority w:val="29"/>
    <w:rsid w:val="0043269D"/>
    <w:rPr>
      <w:i/>
      <w:iCs/>
      <w:color w:val="404040" w:themeColor="text1" w:themeTint="BF"/>
    </w:rPr>
  </w:style>
  <w:style w:type="paragraph" w:styleId="a9">
    <w:name w:val="List Paragraph"/>
    <w:basedOn w:val="a"/>
    <w:uiPriority w:val="34"/>
    <w:qFormat/>
    <w:rsid w:val="0043269D"/>
    <w:pPr>
      <w:ind w:left="720"/>
      <w:contextualSpacing/>
    </w:pPr>
  </w:style>
  <w:style w:type="character" w:styleId="aa">
    <w:name w:val="Intense Emphasis"/>
    <w:basedOn w:val="a0"/>
    <w:uiPriority w:val="21"/>
    <w:qFormat/>
    <w:rsid w:val="0043269D"/>
    <w:rPr>
      <w:i/>
      <w:iCs/>
      <w:color w:val="0F4761" w:themeColor="accent1" w:themeShade="BF"/>
    </w:rPr>
  </w:style>
  <w:style w:type="paragraph" w:styleId="ab">
    <w:name w:val="Intense Quote"/>
    <w:basedOn w:val="a"/>
    <w:next w:val="a"/>
    <w:link w:val="ac"/>
    <w:uiPriority w:val="30"/>
    <w:qFormat/>
    <w:rsid w:val="004326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3269D"/>
    <w:rPr>
      <w:i/>
      <w:iCs/>
      <w:color w:val="0F4761" w:themeColor="accent1" w:themeShade="BF"/>
    </w:rPr>
  </w:style>
  <w:style w:type="character" w:styleId="ad">
    <w:name w:val="Intense Reference"/>
    <w:basedOn w:val="a0"/>
    <w:uiPriority w:val="32"/>
    <w:qFormat/>
    <w:rsid w:val="0043269D"/>
    <w:rPr>
      <w:b/>
      <w:bCs/>
      <w:smallCaps/>
      <w:color w:val="0F4761" w:themeColor="accent1" w:themeShade="BF"/>
      <w:spacing w:val="5"/>
    </w:rPr>
  </w:style>
  <w:style w:type="paragraph" w:styleId="ae">
    <w:name w:val="header"/>
    <w:basedOn w:val="a"/>
    <w:link w:val="af"/>
    <w:uiPriority w:val="99"/>
    <w:unhideWhenUsed/>
    <w:rsid w:val="003C345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3C3458"/>
    <w:rPr>
      <w:sz w:val="18"/>
      <w:szCs w:val="18"/>
    </w:rPr>
  </w:style>
  <w:style w:type="paragraph" w:styleId="af0">
    <w:name w:val="footer"/>
    <w:basedOn w:val="a"/>
    <w:link w:val="af1"/>
    <w:uiPriority w:val="99"/>
    <w:unhideWhenUsed/>
    <w:rsid w:val="003C345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3C3458"/>
    <w:rPr>
      <w:sz w:val="18"/>
      <w:szCs w:val="18"/>
    </w:rPr>
  </w:style>
  <w:style w:type="paragraph" w:styleId="af2">
    <w:name w:val="Bibliography"/>
    <w:basedOn w:val="a"/>
    <w:next w:val="a"/>
    <w:uiPriority w:val="37"/>
    <w:unhideWhenUsed/>
    <w:rsid w:val="00EA36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TotalTime>
  <Pages>8</Pages>
  <Words>6219</Words>
  <Characters>37129</Characters>
  <Application>Microsoft Office Word</Application>
  <DocSecurity>0</DocSecurity>
  <Lines>501</Lines>
  <Paragraphs>105</Paragraphs>
  <ScaleCrop>false</ScaleCrop>
  <Company/>
  <LinksUpToDate>false</LinksUpToDate>
  <CharactersWithSpaces>43243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倩 杨</dc:creator>
  <cp:keywords/>
  <dc:description/>
  <cp:lastModifiedBy>倩 杨</cp:lastModifiedBy>
  <cp:revision>7</cp:revision>
  <dcterms:created xsi:type="dcterms:W3CDTF">2025-12-04T23:02:00Z</dcterms:created>
  <dcterms:modified xsi:type="dcterms:W3CDTF">2025-12-05T02:25:00Z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id="UEEIXN3j"/&gt;&lt;style id="http://www.zotero.org/styles/harvard-cite-them-right" locale="en-US"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