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SimHei" w:cs="SimHei" w:eastAsia="SimHei" w:hAnsi="SimHei"/>
          <w:b/>
          <w:bCs/>
          <w:color w:val="020617"/>
          <w:sz w:val="56"/>
          <w:szCs w:val="56"/>
        </w:rPr>
        <w:t xml:space="preserve">Meta-Rec-Cold-Start 项目</w:t>
      </w:r>
    </w:p>
    <w:p>
      <w:pPr>
        <w:spacing w:before="200"/>
        <w:jc w:val="center"/>
      </w:pPr>
      <w:r>
        <w:rPr>
          <w:rFonts w:ascii="SimHei" w:cs="SimHei" w:eastAsia="SimHei" w:hAnsi="SimHei"/>
          <w:color w:val="1E293B"/>
          <w:sz w:val="40"/>
          <w:szCs w:val="40"/>
        </w:rPr>
        <w:t xml:space="preserve">面试题与答案详解</w:t>
      </w:r>
    </w:p>
    <w:p>
      <w:pPr>
        <w:spacing w:before="400"/>
        <w:jc w:val="center"/>
      </w:pPr>
      <w:r>
        <w:rPr>
          <w:rFonts w:ascii="SimSun" w:cs="SimSun" w:eastAsia="SimSun" w:hAnsi="SimSun"/>
          <w:color w:val="64748B"/>
          <w:sz w:val="24"/>
          <w:szCs w:val="24"/>
        </w:rPr>
        <w:t xml:space="preserve">—— 元学习冷启动推荐系统深度解析 ——</w:t>
      </w:r>
    </w:p>
    <w:p>
      <w:pPr>
        <w:spacing w:before="2000"/>
      </w:pPr>
    </w:p>
    <w:p>
      <w:pPr>
        <w:jc w:val="center"/>
      </w:pPr>
      <w:r>
        <w:rPr>
          <w:rFonts w:ascii="SimSun" w:cs="SimSun" w:eastAsia="SimSun" w:hAnsi="SimSun"/>
          <w:color w:val="94A3B8"/>
          <w:sz w:val="22"/>
          <w:szCs w:val="22"/>
        </w:rPr>
        <w:t xml:space="preserve">涵盖领域：数据处理 | 算法原理 | 后端工程 | 系统上线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color w:val="94A3B8"/>
          <w:sz w:val="22"/>
          <w:szCs w:val="22"/>
        </w:rPr>
        <w:t xml:space="preserve">GitHub: qian9332/meta-rec-cold-start</w:t>
      </w:r>
    </w:p>
    <w:p>
      <w:r>
        <w:br w:type="page"/>
      </w:r>
    </w:p>
    <w:p>
      <w:pPr>
        <w:pStyle w:val="Heading1"/>
      </w:pPr>
      <w:r>
        <w:t xml:space="preserve">一、数据处理相关问题</w:t>
      </w:r>
    </w:p>
    <w:p>
      <w:pPr>
        <w:pStyle w:val="Heading2"/>
      </w:pPr>
      <w:r>
        <w:t xml:space="preserve">1.1 数据集构建与元学习任务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请详细说明项目中如何将MovieLens-1M数据集转换为元学习任务？Support Set和Query Set的划分逻辑是什么？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97706"/>
          <w:sz w:val="20"/>
          <w:szCs w:val="20"/>
        </w:rPr>
        <w:t xml:space="preserve">中等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项目采用用户交互序列构建元学习任务。每个用户的评分历史按时间戳排序后，前K条交互作为Support Set（模拟冷启动用户的少量已知行为），后续Q条交互作为Query Set（用于评估模型适配效果）。具体实现中，默认support_size=5，query_size=10。对于冷启动评估，筛选交互数≤cold_threshold的用户作为测试任务。这种划分方式确保了训练任务有足够数据用于元学习，而评估任务模拟真实的冷启动场景。数据集还包含负采样机制，默认neg_ratio=1，为每个正样本配对一个负样本，构建二分类任务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在元学习任务构建中，如何处理不同用户交互数量差异大的问题？代码中的fallback策略是什么？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97706"/>
          <w:sz w:val="20"/>
          <w:szCs w:val="20"/>
        </w:rPr>
        <w:t xml:space="preserve">中等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项目采用分层策略处理交互数量差异。训练模式下，只选择交互数≥support_size+query_size的用户，确保每个任务有足够数据。评估模式下，首先筛选cold_threshold&lt;交互数&lt;support_size+query_size+5的用户；若筛选结果为空，则fallback到按交互数升序排列的前500个用户中满足最小要求的子集。在__getitem__方法中，还通过min()函数动态调整support和query的实际大小，确保不会超出用户实际交互数。这种设计保证了数据集的鲁棒性，避免因数据不足导致的训练失败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负采样策略在推荐系统中至关重要。请分析项目中负采样的实现方式，以及可能存在的问题和改进方向。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项目采用简单的随机负采样：从全量物品中随机选择用户未交互过的物品作为负样本。这种方式实现简单，但存在几个问题：（1）未考虑物品流行度，可能采样到过于简单的负样本；（2）未利用用户-物品的隐式负反馈信号；（3）采样效率低，需要循环检查是否为正样本。改进方向包括：基于流行度的负采样（更符合真实分布）、动态难负样本挖掘（提升模型判别能力）、预计算用户-物品负样本池（提升效率）。此外，可以引入对比学习框架，将负采样与模型训练联合优化。</w:t>
      </w:r>
    </w:p>
    <w:p>
      <w:pPr>
        <w:pStyle w:val="Heading2"/>
      </w:pPr>
      <w:r>
        <w:t xml:space="preserve">1.2 数据预处理与特征工程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推荐系统中Embedding层的设计直接影响模型效果。请分析项目中用户和物品Embedding的处理方式，以及冷启动场景下的特殊考虑。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项目采用标准的ID-based Embedding方案，用户和物品分别映射到固定维度的向量空间。Embedding维度通常为64或128，通过nn.Embedding层实现。在冷启动场景下，核心挑战是新用户/新物品没有预训练的Embedding。项目通过元学习框架解决：学习一个良好的初始化参数，使得新用户只需少量交互即可快速适配。此外，Meta-Embedding模块实现了梯度解耦和低频ID补偿，缓解了Embedding层在元学习中的梯度消失问题。实际工程中，还可以考虑使用Side Information（如用户画像、物品属性）增强冷启动Embedding表示。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数据泄露是推荐系统训练中的常见问题。请分析项目中的数据划分方式是否存在数据泄露风险，以及如何规避。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97706"/>
          <w:sz w:val="20"/>
          <w:szCs w:val="20"/>
        </w:rPr>
        <w:t xml:space="preserve">中等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项目的时间序列划分方式基本规避了数据泄露风险：Support Set使用前K条交互，Query Set使用后续交互，严格遵循时间顺序。但存在潜在风险：（1）负采样时使用了全局正样本集user_pos_items，可能包含Query Set中的物品信息；（2）训练和评估使用相同的数据集，可能存在信息泄露。改进方案：负采样时只使用Support Set已知的正样本信息；采用更严格的时间切分，如按时间戳划分训练/验证/测试集；在评估时完全隔离不同时间窗口的数据。</w:t>
      </w:r>
    </w:p>
    <w:p>
      <w:pPr>
        <w:pStyle w:val="Heading1"/>
      </w:pPr>
      <w:r>
        <w:t xml:space="preserve">二、算法原理相关问题</w:t>
      </w:r>
    </w:p>
    <w:p>
      <w:pPr>
        <w:pStyle w:val="Heading2"/>
      </w:pPr>
      <w:r>
        <w:t xml:space="preserve">2.1 MAML元学习框架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请详细推导MAML的外循环梯度更新公式，并解释为什么需要计算Hessian矩阵。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MAML的目标是学习一个良好的初始化参数θ*，使得对任意新任务只需几步梯度更新即可达到较好效果。内循环更新：θ'_u = θ - α∇_θ L_support(f_θ, S_u)。外循环目标：min_θ Σ_u L_query(f_{θ'_u}, Q_u)。关键在于外循环梯度需要通过链式法则展开：∇_θ L_query(f_{θ'_u}) = ∇_{θ'} L_query · ∂θ'/∂θ = ∇_{θ'} L_query · (I - α∇²_θ L_support) = ∇_{θ'} L_query - α∇_{θ'} L_query · H。其中H是Hessian矩阵，捕捉了内循环更新对初始参数的二阶依赖关系。忽略Hessian项即为一阶近似FOMAML。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项目中选择FOMAML而非完整MAML的工程依据是什么？请从计算复杂度和效果损失两个角度分析。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工程选择基于ROI分析。计算复杂度：Full MAML需要计算Hessian-vector product，内存O(|θ|)，时间O(|θ|) per product，且需要create_graph=True保留计算图；FOMAML只需一阶梯度，内存和时间均为O(|θ|)。对于推荐模型，|θ_emb| &gt;&gt; |θ_dense|（通常100x以上），且H_emb,emb极度稀疏（仅batch中ID有非零值），H_emb,dense近似为零。实验表明，FOMAML相比Full MAML：AUC损失&lt;0.5pp，训练时间降低60%+，内存占用减半。考虑到推荐系统对在线延迟的严格要求，FOMAML是工程最优选择。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请解释MAML中内循环步数(inner_steps)和学习率(inner_lr)的选择策略，以及它们对模型收敛的影响。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97706"/>
          <w:sz w:val="20"/>
          <w:szCs w:val="20"/>
        </w:rPr>
        <w:t xml:space="preserve">中等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内循环步数和学习率是MAML的关键超参数。inner_steps通常设为1-5步：步数过少导致适配不充分，过多则增加计算开销且可能导致过拟合。inner_lr控制每次更新的步长：过大可能震荡，过小则收敛慢。项目默认inner_steps=3，inner_lr=0.01。实践中，可以采用自适应策略：根据Support Set loss动态调整步数；使用学习率衰减；对不同参数层使用不同学习率（如项目的解耦学习率）。理论上，MAML收敛性依赖于这些超参数的合理设置，需要通过网格搜索或贝叶斯优化确定最优组合。</w:t>
      </w:r>
    </w:p>
    <w:p>
      <w:pPr>
        <w:pStyle w:val="Heading2"/>
      </w:pPr>
      <w:r>
        <w:t xml:space="preserve">2.2 Meta-Embedding梯度优化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请详细解释Embedding层在MAML内循环中面临的梯度消失问题，以及项目中梯度解耦方案的原理。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问题根源：Embedding查找操作e = W[id]只涉及一行，梯度∂e/∂W是选择矩阵（one-hot），仅被查询ID有梯度。在元学习框架下，低频ID在多个任务中很少被采样，Embedding几乎得不到有效更新，导致冷启动时适配效果差。梯度解耦方案：对Embedding层和Dense层使用不同学习率，θ'_emb = θ_emb - α_emb·∇L，θ'_dense = θ_dense - α_dense·∇L，其中α_emb &gt; α_dense（如0.02 vs 0.005）。原理是Embedding梯度天然稀疏，需要更大步长补偿更新不足。实验表明，冷启动AUC提升约1-2pp。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除了学习率解耦，项目还实现了低频ID梯度补偿机制。请分析其数学原理和实现细节。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低频ID梯度补偿是对学习率解耦的辅助方案。核心思想：对频率低于阈值τ的ID，梯度乘以补偿系数γ。公式：g'_emb[id] = γ·g_emb[id] if freq(id) &lt; τ，否则保持原梯度。其中γ = s·τ/max(freq(id), 1)，s为基础补偿系数。实现上，需要预先统计ID频率分布，在训练时动态计算补偿系数。这种方案本质上是重要性采样的逆过程：低频ID获得更高权重，确保它们在元训练中得到充分更新。但需要注意过度补偿可能导致高频ID学习不足，需要平衡调整。</w:t>
      </w:r>
    </w:p>
    <w:p>
      <w:pPr>
        <w:pStyle w:val="Heading2"/>
      </w:pPr>
      <w:r>
        <w:t xml:space="preserve">2.3 Reptile与ANIL分层架构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请对比Reptile和MAML的优化目标，解释为什么Reptile适合作为backbone预训练方法。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MAML优化目标：min_θ E_T[L(f_{θ'}(T))]，其中θ'是内循环适配后的参数，目标是找到对梯度更新敏感的初始化。Reptile更新规则：θ ← θ + ε(θ' - θ)，等价于优化min_θ E_T[L(θ') + 1/(2αk)||θ' - θ||²]，即在任务适配后的性能与参数不要偏离初始值太远之间权衡。Reptile的优势：（1）无需二阶梯度，计算高效；（2）隐式正则化防止过拟合；（3）学到的表示具有更好的泛化性。因此适合作为backbone预训练，为后续ANIL适配提供良好的特征提取基础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ANIL (Almost No Inner Loop)的核心思想是什么？为什么在推荐系统中效果接近完整MAML？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ANIL基于Raghu et al. 2020的发现：MAML的成功主要来自特征复用而非快速学习。核心思想：内循环只更新head（最后一层），冻结backbone。实现上，backbone通过Reptile预训练后固定，在线只适配head参数。推荐系统中效果接近MAML的原因：（1）推荐模型的特征提取层（Embedding + MLP低层）学习的是用户-物品的通用表示，具有良好的迁移性；（2）head层（预测层）参数量小（如64*1=65），适配速度快；（3）用户偏好变化主要体现在预测层而非特征层。实验表明，ANIL适配参数量从~800K降至~100，速度提升100x+，效果损失可忽略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请分析Reptile+ANIL分层架构在工程实践中的优势，以及可能面临的挑战。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97706"/>
          <w:sz w:val="20"/>
          <w:szCs w:val="20"/>
        </w:rPr>
        <w:t xml:space="preserve">中等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工程优势：（1）训练效率：Reptile预训练可离线完成，ANIL在线适配只需更新head，延迟极低；（2）可扩展性：backbone可复用于多个下游任务；（3）内存友好：在线服务只需存储backbone和少量head参数。潜在挑战：（1）预训练-适配分离：需要定期更新backbone以适应数据分布变化；（2）特征复用假设：当用户偏好发生根本性变化时，冻结的backbone可能失效；（3）超参数调优：Reptile和ANIL各有超参数，需要协调优化。解决方案包括：增量预训练、backbone微调、多任务学习等。</w:t>
      </w:r>
    </w:p>
    <w:p>
      <w:pPr>
        <w:pStyle w:val="Heading1"/>
      </w:pPr>
      <w:r>
        <w:t xml:space="preserve">三、后端工程相关问题</w:t>
      </w:r>
    </w:p>
    <w:p>
      <w:pPr>
        <w:pStyle w:val="Heading2"/>
      </w:pPr>
      <w:r>
        <w:t xml:space="preserve">3.1 模型架构与实现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项目中的基础推荐模型(base_rec_model)采用了Embedding + MLP架构。请分析这种架构的优缺点，以及可能的改进方向。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97706"/>
          <w:sz w:val="20"/>
          <w:szCs w:val="20"/>
        </w:rPr>
        <w:t xml:space="preserve">中等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Embedding + MLP是经典的双塔架构简化版。优点：（1）实现简单，易于部署；（2）Embedding层可预训练，支持增量更新；（3）MLP层可学习高阶特征交互。缺点：（1）未显式建模用户-物品交互；（2）MLP难以有效学习交叉特征；（3）对冷启动场景支持有限。改进方向：（1）引入显式交叉层（如DCN、DeepFM）；（2）使用注意力机制建模用户历史序列；（3）结合Side Information增强Embedding表示；（4）采用图神经网络建模用户-物品二部图。项目中通过元学习框架弥补了架构本身的不足。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在PyTorch中实现MAML需要处理参数的克隆和梯度计算图。请解释项目中inner_loop方法的实现细节，特别是create_graph参数的作用。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inner_loop实现关键点：（1）参数克隆：params = {name: param.clone() for name, param in model.named_parameters()}，避免修改原始参数；（2）梯度计算：grads = torch.autograd.grad(loss, params.values(), create_graph=not first_order)。create_graph=True时，PyTorch会保留梯度计算图，允许对梯度再求导（计算二阶梯度）；create_graph=False时，梯度被视为常数，无法反向传播。FOMAML使用create_graph=False，MAML使用create_graph=True。参数更新后，通过params字典传递给compute_loss方法，实现临时参数的前向传播，而不修改模型原始参数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项目中的meta_collate_fn为什么不对batch进行stack操作？这种设计有什么优缺点？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97706"/>
          <w:sz w:val="20"/>
          <w:szCs w:val="20"/>
        </w:rPr>
        <w:t xml:space="preserve">中等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不stack的原因：每个元学习任务的大小可能不同。Support Set和Query Set的大小取决于用户的实际交互数，即使用min()动态调整，不同用户仍可能产生不同大小的tensor。如果强制stack，需要padding到统一大小，引入额外开销和噪声。缺点：（1）无法利用batch并行计算优势；（2）需要逐任务处理，效率较低。改进方案：（1）按任务大小分组batch；（2）使用padding + mask处理变长序列；（3）采用RNN/Transformer等支持变长输入的模型架构。当前设计在灵活性和效率之间取得了平衡。</w:t>
      </w:r>
    </w:p>
    <w:p>
      <w:pPr>
        <w:pStyle w:val="Heading2"/>
      </w:pPr>
      <w:r>
        <w:t xml:space="preserve">3.2 训练流程与优化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请分析项目中MAMLTrainer的训练流程，特别是外循环优化器的选择和梯度裁剪的作用。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97706"/>
          <w:sz w:val="20"/>
          <w:szCs w:val="20"/>
        </w:rPr>
        <w:t xml:space="preserve">中等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训练流程：对每个batch中的任务，执行内循环适配→计算Query Loss→累加meta_loss→外循环更新。外循环优化器选择Adam而非SGD，原因：（1）Adam自适应学习率更适合元学习的非凸优化；（2）动量机制加速收敛；（3）对超参数不敏感。梯度裁剪（grad_clip_norm=1.0）的作用：（1）防止梯度爆炸，特别是在二阶MAML中；（2）限制参数更新幅度，提高训练稳定性；（3）配合学习率解耦，平衡不同层的更新速度。实践中，梯度裁剪阈值需要根据模型规模和任务难度调整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项目实现了compare_first_vs_second_order方法用于对比FOMAML和MAML。请分析这个方法的实现逻辑，以及如何解读其输出结果。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97706"/>
          <w:sz w:val="20"/>
          <w:szCs w:val="20"/>
        </w:rPr>
        <w:t xml:space="preserve">中等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方法逻辑：（1）对同一任务分别执行FOMAML和MAML的内循环；（2）计算Query Loss并反向传播得到meta梯度；（3）比较两种方法的梯度差异（范数差、余弦相似度）和计算时间。输出解读：fomaml_time_ms vs maml_time_ms反映计算效率差异；avg_grad_cosine_similarity接近1说明一阶近似很好，二阶项影响小；query_loss差异反映优化目标的偏差。实验结论：MAML慢2-5x，但梯度相似度&gt;0.95，Query Loss差异&lt;0.5%，验证了FOMAML的工程合理性。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在分布式训练场景下，MAML的实现面临哪些挑战？如何设计分布式元学习训练框架？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挑战：（1）任务并行：不同GPU处理不同任务，需要同步外循环梯度；（2）内存开销：每个任务需要克隆参数，显存压力大；（3）负载均衡：任务大小不一，容易造成GPU空闲。分布式设计方案：（1）数据并行：每个GPU处理一批任务，AllReduce同步外循环梯度；（2）模型并行：将大模型拆分到多个GPU，适用于超大规模Embedding；（3）混合并行：结合数据并行和模型并行。关键优化：梯度压缩减少通信开销；异步更新提高吞吐量；动态批处理平衡负载。业界实践如MetaOptNet、MetaSGD等提供了参考实现。</w:t>
      </w:r>
    </w:p>
    <w:p>
      <w:pPr>
        <w:pStyle w:val="Heading1"/>
      </w:pPr>
      <w:r>
        <w:t xml:space="preserve">四、系统上线相关问题</w:t>
      </w:r>
    </w:p>
    <w:p>
      <w:pPr>
        <w:pStyle w:val="Heading2"/>
      </w:pPr>
      <w:r>
        <w:t xml:space="preserve">4.1 在线服务架构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将元学习推荐模型部署为在线服务，需要考虑哪些架构设计？请描述完整的请求处理流程。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在线服务架构设计：（1）模型存储：backbone参数存储在参数服务器，head参数可按用户缓存；（2）请求处理：用户请求→特征提取（backbone前向）→head适配→预测排序→返回结果；（3）适配策略：新用户使用ANIL在Support Set上快速适配head，老用户直接使用缓存的head参数。请求处理流程：1) 接收用户ID和候选物品列表；2) 查询用户历史交互作为Support Set；3) 加载backbone参数执行前向传播；4) 在Support Set上适配head（几步梯度下降）；5) 对候选物品打分排序；6) 返回Top-K推荐结果。关键优化：预计算backbone特征、head参数缓存、异步更新。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在线推理的延迟是推荐系统的关键指标。请分析元学习模型在线推理的延迟瓶颈，以及优化策略。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延迟瓶颈分析：（1）Support Set适配：每次请求需要执行内循环梯度更新；（2）Embedding查找：大规模ID的查表操作；（3）MLP前向：多层神经网络计算。优化策略：（1）ANIL架构：只适配head，参数量从~800K降至~100，适配速度提升100x+；（2）特征预计算：backbone输出可缓存，避免重复计算；（3）近似最近邻：使用FAISS等工具加速物品检索；（4）模型量化：INT8量化减少计算量和内存占用；（5）批处理推理：合并多个用户请求并行处理。目标延迟：P99 &lt; 50ms，P50 &lt; 20ms。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如何设计A/B测试来评估元学习冷启动模型的效果？需要关注哪些指标？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97706"/>
          <w:sz w:val="20"/>
          <w:szCs w:val="20"/>
        </w:rPr>
        <w:t xml:space="preserve">中等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A/B测试设计：（1）实验分组：对照组使用传统冷启动方案（如热门推荐、内容推荐），实验组使用元学习模型；（2）流量分配：通常1%-5%流量用于实验，确保统计显著性；（3）实验周期：至少2周，覆盖用户行为周期。关键指标：（1）核心指标：冷启动用户点击率CTR、转化率CVR、留存率；（2）业务指标：GMV、用户时长、活跃度；（3）系统指标：推理延迟、服务可用性。分析维度：按用户冷启动程度分层分析；按时间窗口观察效果衰减；对比不同元学习方法的差异。注意：冷启动场景样本量小，需要更长的实验周期或更大的流量比例。</w:t>
      </w:r>
    </w:p>
    <w:p>
      <w:pPr>
        <w:pStyle w:val="Heading2"/>
      </w:pPr>
      <w:r>
        <w:t xml:space="preserve">4.2 模型更新与维护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推荐系统的数据分布会随时间变化（概念漂移）。元学习模型如何应对这种变化？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概念漂移应对策略：（1）增量预训练：定期使用新数据更新Reptile backbone，保持特征提取器的时效性；（2）在线学习：实时收集用户反馈，更新head参数；（3）滑动窗口：只使用最近N天的数据训练，丢弃过时模式；（4）多版本部署：同时运行多个版本的模型，根据用户活跃度路由。元学习框架的优势：良好的初始化使得模型能快速适应新分布，只需少量新数据即可更新。实践中，建议每日增量更新backbone，实时更新活跃用户的head参数，定期（如每周）全量重训验证效果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如何监控元学习推荐模型的线上效果？设计一套完整的监控告警体系。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97706"/>
          <w:sz w:val="20"/>
          <w:szCs w:val="20"/>
        </w:rPr>
        <w:t xml:space="preserve">中等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监控体系设计：（1）实时指标监控：QPS、延迟P50/P99、错误率、GPU利用率；（2）业务效果监控：CTR、CVR实时曲线，冷启动用户占比，推荐多样性；（3）模型健康监控：预测分布漂移、特征缺失率、Embedding异常值。告警规则：（1）延迟P99 &gt; 100ms触发告警；（2）CTR下降超过10%触发告警；（3）模型预测分布KL散度超过阈值触发告警。监控工具：Prometheus + Grafana实现指标采集和可视化；ELK实现日志分析；自定义Dashboard展示冷启动专项指标。关键：区分全局指标和冷启动专项指标，后者需要单独监控。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元学习模型的回滚策略是什么？当新模型效果不佳时，如何快速恢复服务？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97706"/>
          <w:sz w:val="20"/>
          <w:szCs w:val="20"/>
        </w:rPr>
        <w:t xml:space="preserve">中等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回滚策略：（1）模型版本管理：每次发布保留历史版本，支持快速切换；（2）灰度发布：新模型先小流量验证，逐步放量；（3）一键回滚：配置中心支持秒级切换模型版本。具体实现：（1）参数服务器存储多版本模型，通过版本号路由；（2）head参数缓存支持版本隔离，回滚时清除缓存；（3）A/B平台支持实验组快速下线。回滚决策：（1）自动化：核心指标下降超过阈值自动回滚；（2）人工确认：业务指标异常需人工评估后决定。最佳实践：每次发布前在离线环境验证，确保回滚流程可用。</w:t>
      </w:r>
    </w:p>
    <w:p>
      <w:pPr>
        <w:pStyle w:val="Heading2"/>
      </w:pPr>
      <w:r>
        <w:t xml:space="preserve">4.3 扩展性与性能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当用户规模从百万扩展到亿级时，元学习模型面临哪些挑战？如何设计可扩展的架构？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亿级规模挑战：（1）Embedding表规模：亿级用户×百维Embedding = 数百GB内存；（2）在线适配延迟：每个用户的head适配需要额外计算；（3）训练效率：元学习需要遍历大量用户任务。可扩展架构设计：（1）Embedding分片：按用户ID哈希分片存储在多个参数服务器；（2）分层存储：活跃用户Embedding放内存，冷用户放SSD；（3）近似适配：使用低秩近似减少head参数量；（4）异步训练：参数服务器架构支持异步更新；（5）增量学习：只训练新增用户，避免全量重训。业界实践：阿里XDL、腾讯Multitask PS等框架提供了大规模推荐系统的解决方案。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请分析项目中评估指标(AUC, HR@K, NDCG@K)的选择依据，以及它们在冷启动场景下的局限性。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指标选择依据：（1）AUC：衡量整体排序能力，对类别不平衡鲁棒；（2）HR@K：衡量Top-K召回率，直接反映推荐效果；（3）NDCG@K：考虑位置权重，衡量排序质量。冷启动场景局限性：（1）AUC可能被高频用户主导，掩盖冷启动效果；（2）HR@K和NDCG@K依赖候选集构建方式，可能引入偏差；（3）这些指标都是离线指标，与在线业务效果存在gap。改进方案：（1）分层评估：单独报告冷启动用户指标；（2）归一化指标：如RelaImpr = (AUC_model - AUC_base) / (1 - AUC_base)；（3）在线A/B测试：最终以业务指标为准。项目应补充冷启动专项指标，如首次点击时间、冷启动用户留存率等。</w:t>
      </w:r>
    </w:p>
    <w:p>
      <w:pPr>
        <w:pStyle w:val="Heading1"/>
      </w:pPr>
      <w:r>
        <w:t xml:space="preserve">五、综合与前沿问题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请对比元学习冷启动方案与其他冷启动解决方案（如迁移学习、多任务学习、图神经网络）的优缺点。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方案对比：（1）元学习：优点是快速适配、理论优雅；缺点是训练复杂、需要任务构建。（2）迁移学习：从源域迁移知识到目标域；优点是简单直接；缺点是域差异大时效果差。（3）多任务学习：共享表示学习多个任务；优点是信息共享；缺点是任务冲突。（4）图神经网络：建模用户-物品图结构；优点是利用高阶关系；缺点是计算复杂度高。元学习的独特优势：专门针对"少量样本快速适配"设计，与冷启动场景高度契合。实践中，可以组合使用：如GNN提取图特征作为元学习的输入，多任务学习辅助元训练等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大语言模型(LLM)在推荐系统中的应用日益广泛。请分析LLM与元学习冷启动方案的结合可能性。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LLM与元学习结合方向：（1）Side Information增强：使用LLM提取物品文本特征，作为冷启动Embedding初始化；（2）用户理解：LLM分析用户历史行为生成偏好描述，辅助元学习任务构建；（3）生成式推荐：LLM直接生成推荐结果，元学习提供个性化prompt；（4）知识蒸馏：将LLM的推荐能力蒸馏到小模型，元学习加速适配。挑战：（1）LLM推理延迟高，难以满足在线服务要求；（2）LLM与元学习的训练目标不一致；（3）计算资源需求大。可行方案：离线使用LLM增强特征和任务构建，在线使用元学习模型推理。</w:t>
      </w:r>
    </w:p>
    <w:p>
      <w:pPr>
        <w:spacing w:after="100" w:before="300"/>
      </w:pPr>
      <w:r>
        <w:rPr>
          <w:rFonts w:ascii="SimHei" w:cs="SimHei" w:eastAsia="SimHei" w:hAnsi="SimHei"/>
          <w:b/>
          <w:bCs/>
          <w:color w:val="020617"/>
          <w:sz w:val="24"/>
          <w:szCs w:val="24"/>
        </w:rPr>
        <w:t xml:space="preserve">问题：</w:t>
      </w:r>
      <w:r>
        <w:rPr>
          <w:rFonts w:ascii="SimSun" w:cs="SimSun" w:eastAsia="SimSun" w:hAnsi="SimSun"/>
          <w:color w:val="1E293B"/>
          <w:sz w:val="24"/>
          <w:szCs w:val="24"/>
        </w:rPr>
        <w:t xml:space="preserve">如果你是技术负责人，如何评估是否应该在生产环境中引入元学习冷启动方案？请给出决策框架。</w:t>
      </w:r>
    </w:p>
    <w:p>
      <w:pPr>
        <w:spacing w:after="50"/>
      </w:pPr>
      <w:r>
        <w:rPr>
          <w:rFonts w:ascii="SimHei" w:cs="SimHei" w:eastAsia="SimHei" w:hAnsi="SimHei"/>
          <w:b/>
          <w:bCs/>
          <w:color w:val="64748B"/>
          <w:sz w:val="20"/>
          <w:szCs w:val="20"/>
        </w:rPr>
        <w:t xml:space="preserve">难度：</w:t>
      </w:r>
      <w:r>
        <w:rPr>
          <w:rFonts w:ascii="SimSun" w:cs="SimSun" w:eastAsia="SimSun" w:hAnsi="SimSun"/>
          <w:color w:val="DC2626"/>
          <w:sz w:val="20"/>
          <w:szCs w:val="20"/>
        </w:rPr>
        <w:t xml:space="preserve">困难</w:t>
      </w:r>
    </w:p>
    <w:p>
      <w:pPr>
        <w:spacing w:after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答案：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决策框架：（1）问题诊断：当前冷启动方案的效果gap有多大？用户流失率与冷启动的相关性？（2）技术可行性：是否有足够的工程资源？团队对元学习的理解程度？（3）ROI评估：预期效果提升 vs 开发维护成本；A/B测试的流量和时间成本。（4）风险评估：模型复杂度增加带来的稳定性风险；回滚方案是否完善？（5）长期规划：元学习方案的可扩展性；与其他技术路线的兼容性。决策建议：如果冷启动用户占比&gt;20%且当前效果明显不足，值得投入；否则优先优化现有方案。建议先小规模验证，再决定是否全面推广。</w:t>
      </w:r>
    </w:p>
    <w:p>
      <w:pPr>
        <w:pStyle w:val="Heading1"/>
      </w:pPr>
      <w:r>
        <w:t xml:space="preserve">六、关键实验结果汇总</w:t>
      </w:r>
    </w:p>
    <w:p>
      <w:pPr>
        <w:spacing w:after="200" w:before="20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下表汇总了项目中各方法的关键性能指标，供面试时参考：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Cold-Start AUC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训练时间(相对)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Baseline (MLP)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~0.68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1.0x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无元学习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MAML (Full 2nd-order)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~0.72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5.0x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二阶梯度，计算昂贵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FOMAML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~0.715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2.0x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AUC损失&lt;0.5pp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FOMAML + Meta-Emb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~0.735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2.2x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+梯度解耦+低频补偿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Reptile + ANIL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~0.740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1.8x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分层架构最优</w:t>
            </w:r>
          </w:p>
        </w:tc>
      </w:tr>
    </w:tbl>
    <w:p>
      <w:pPr>
        <w:spacing w:before="200"/>
        <w:jc w:val="center"/>
      </w:pPr>
      <w:r>
        <w:rPr>
          <w:rFonts w:ascii="SimSun" w:cs="SimSun" w:eastAsia="SimSun" w:hAnsi="SimSun"/>
          <w:color w:val="64748B"/>
          <w:sz w:val="18"/>
          <w:szCs w:val="18"/>
        </w:rPr>
        <w:t xml:space="preserve">表1：各方法性能对比</w:t>
      </w:r>
    </w:p>
    <w:p>
      <w:pPr>
        <w:pStyle w:val="Heading1"/>
      </w:pPr>
      <w:r>
        <w:t xml:space="preserve">七、参考文献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Finn et al., "Model-Agnostic Meta-Learning for Fast Adaptation of Deep Networks", ICML 2017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Nichol et al., "On First-Order Meta-Learning Algorithms", arXiv 2018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Raghu et al., "Rapid Learning or Feature Reuse? Towards Understanding the Effectiveness of MAML", ICLR 2020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Lee et al., "MeLU: Meta-Learned User Preference Estimator for Cold-Start Recommendation", KDD 2019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64748B"/>
        <w:sz w:val="20"/>
        <w:szCs w:val="20"/>
      </w:rPr>
      <w:t xml:space="preserve">第 </w:t>
    </w:r>
    <w:r>
      <w:rPr>
        <w:rFonts w:ascii="SimSun" w:cs="SimSun" w:eastAsia="SimSun" w:hAnsi="SimSun"/>
        <w:color w:val="64748B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64748B"/>
        <w:sz w:val="20"/>
        <w:szCs w:val="20"/>
      </w:rPr>
      <w:t xml:space="preserve"> 页 / 共 </w:t>
    </w:r>
    <w:r>
      <w:rPr>
        <w:rFonts w:ascii="SimSun" w:cs="SimSun" w:eastAsia="SimSun" w:hAnsi="SimSun"/>
        <w:color w:val="64748B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rFonts w:ascii="SimSun" w:cs="SimSun" w:eastAsia="SimSun" w:hAnsi="SimSun"/>
        <w:color w:val="64748B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Hei" w:cs="SimHei" w:eastAsia="SimHei" w:hAnsi="SimHei"/>
        <w:color w:val="64748B"/>
        <w:sz w:val="20"/>
        <w:szCs w:val="20"/>
      </w:rPr>
      <w:t xml:space="preserve">Meta-Rec-Cold-Start 项目面试题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SimHei" w:cs="SimHei" w:eastAsia="SimHei" w:hAnsi="SimHei"/>
      <w:b/>
      <w:bCs/>
      <w:color w:val="02061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imHei" w:cs="SimHei" w:eastAsia="SimHei" w:hAnsi="SimHei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SimHei" w:cs="SimHei" w:eastAsia="SimHei" w:hAnsi="SimHe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imHei" w:cs="SimHei" w:eastAsia="SimHei" w:hAnsi="SimHei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2026-03-10T06:20:09.001Z</dcterms:created>
  <dcterms:modified xsi:type="dcterms:W3CDTF">2026-03-10T06:20:09.001Z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