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600"/>
      </w:pPr>
      <w:r>
        <w:rPr>
          <w:rFonts w:ascii="微软雅黑" w:hAnsi="微软雅黑" w:eastAsia="微软雅黑" w:cs="微软雅黑"/>
          <w:b w:val="0"/>
          <w:color w:val="595959"/>
          <w:sz w:val="26"/>
        </w:rPr>
        <w:t>紧凑净化除湿器 R26</w:t>
      </w:r>
    </w:p>
    <w:p>
      <w:pPr>
        <w:spacing w:after="80" w:before="0"/>
      </w:pPr>
      <w:r>
        <w:rPr>
          <w:rFonts w:ascii="微软雅黑" w:hAnsi="微软雅黑" w:eastAsia="微软雅黑" w:cs="微软雅黑"/>
          <w:b/>
          <w:sz w:val="52"/>
        </w:rPr>
        <w:t>CMF 规格书（厂家对接版）</w:t>
      </w:r>
    </w:p>
    <w:p>
      <w:pPr>
        <w:spacing w:after="200" w:before="0"/>
      </w:pPr>
      <w:r>
        <w:rPr>
          <w:rFonts w:ascii="微软雅黑" w:hAnsi="微软雅黑" w:eastAsia="微软雅黑" w:cs="微软雅黑"/>
          <w:b w:val="0"/>
          <w:color w:val="A0522D"/>
          <w:sz w:val="26"/>
        </w:rPr>
        <w:t>雾银 × 玫瑰金阳极铝 × 2700K 暖黄光　|　v2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2232000" cy="3013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cover_v2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32000" cy="30132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jc w:val="center"/>
        <w:tblLook w:firstColumn="1" w:firstRow="1" w:lastColumn="0" w:lastRow="0" w:noHBand="0" w:noVBand="1" w:val="04A0"/>
        <w:tblW w:w="9638" w:type="dxa"/>
        <w:tblLayout w:type="fixed"/>
      </w:tblPr>
      <w:tblGrid>
        <w:gridCol w:w="1814"/>
        <w:gridCol w:w="7824"/>
      </w:tblGrid>
      <w:tr>
        <w:tc>
          <w:tcPr>
            <w:tcW w:type="dxa" w:w="1814"/>
            <w:shd w:val="clear" w:color="auto" w:fill="EEF2F7"/>
          </w:tcPr>
          <w:p>
            <w:pPr>
              <w:spacing w:after="0"/>
            </w:pPr>
            <w:r/>
            <w:r>
              <w:rPr>
                <w:rFonts w:ascii="微软雅黑" w:hAnsi="微软雅黑" w:eastAsia="微软雅黑" w:cs="微软雅黑"/>
                <w:b/>
                <w:color w:val="1F3A5F"/>
                <w:sz w:val="18"/>
              </w:rPr>
              <w:t>产品</w:t>
            </w:r>
          </w:p>
        </w:tc>
        <w:tc>
          <w:tcPr>
            <w:tcW w:type="dxa" w:w="7824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紧凑净化除湿器 R26（型号：【待填】）</w:t>
            </w:r>
          </w:p>
        </w:tc>
      </w:tr>
      <w:tr>
        <w:tc>
          <w:tcPr>
            <w:tcW w:type="dxa" w:w="1814"/>
            <w:shd w:val="clear" w:color="auto" w:fill="EEF2F7"/>
          </w:tcPr>
          <w:p>
            <w:pPr>
              <w:spacing w:after="0"/>
            </w:pPr>
            <w:r/>
            <w:r>
              <w:rPr>
                <w:rFonts w:ascii="微软雅黑" w:hAnsi="微软雅黑" w:eastAsia="微软雅黑" w:cs="微软雅黑"/>
                <w:b/>
                <w:color w:val="1F3A5F"/>
                <w:sz w:val="18"/>
              </w:rPr>
              <w:t>文件版本</w:t>
            </w:r>
          </w:p>
        </w:tc>
        <w:tc>
          <w:tcPr>
            <w:tcW w:type="dxa" w:w="7824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v2　2026-10-09</w:t>
            </w:r>
          </w:p>
        </w:tc>
      </w:tr>
      <w:tr>
        <w:tc>
          <w:tcPr>
            <w:tcW w:type="dxa" w:w="1814"/>
            <w:shd w:val="clear" w:color="auto" w:fill="EEF2F7"/>
          </w:tcPr>
          <w:p>
            <w:pPr>
              <w:spacing w:after="0"/>
            </w:pPr>
            <w:r/>
            <w:r>
              <w:rPr>
                <w:rFonts w:ascii="微软雅黑" w:hAnsi="微软雅黑" w:eastAsia="微软雅黑" w:cs="微软雅黑"/>
                <w:b/>
                <w:color w:val="1F3A5F"/>
                <w:sz w:val="18"/>
              </w:rPr>
              <w:t>委托方 / 联系人</w:t>
            </w:r>
          </w:p>
        </w:tc>
        <w:tc>
          <w:tcPr>
            <w:tcW w:type="dxa" w:w="7824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【待填】　电话 / 微信：【待填】</w:t>
            </w:r>
          </w:p>
        </w:tc>
      </w:tr>
      <w:tr>
        <w:tc>
          <w:tcPr>
            <w:tcW w:type="dxa" w:w="1814"/>
            <w:shd w:val="clear" w:color="auto" w:fill="EEF2F7"/>
          </w:tcPr>
          <w:p>
            <w:pPr>
              <w:spacing w:after="0"/>
            </w:pPr>
            <w:r/>
            <w:r>
              <w:rPr>
                <w:rFonts w:ascii="微软雅黑" w:hAnsi="微软雅黑" w:eastAsia="微软雅黑" w:cs="微软雅黑"/>
                <w:b/>
                <w:color w:val="1F3A5F"/>
                <w:sz w:val="18"/>
              </w:rPr>
              <w:t>随附文件</w:t>
            </w:r>
          </w:p>
        </w:tc>
        <w:tc>
          <w:tcPr>
            <w:tcW w:type="dxa" w:w="7824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3D 模型 STP：【待填】；2D 图纸：【待填】；效果图：见第 2 章与附件</w:t>
            </w:r>
          </w:p>
        </w:tc>
      </w:tr>
      <w:tr>
        <w:tc>
          <w:tcPr>
            <w:tcW w:type="dxa" w:w="1814"/>
            <w:shd w:val="clear" w:color="auto" w:fill="EEF2F7"/>
          </w:tcPr>
          <w:p>
            <w:pPr>
              <w:spacing w:after="0"/>
            </w:pPr>
            <w:r/>
            <w:r>
              <w:rPr>
                <w:rFonts w:ascii="微软雅黑" w:hAnsi="微软雅黑" w:eastAsia="微软雅黑" w:cs="微软雅黑"/>
                <w:b/>
                <w:color w:val="1F3A5F"/>
                <w:sz w:val="18"/>
              </w:rPr>
              <w:t>数量与时间</w:t>
            </w:r>
          </w:p>
        </w:tc>
        <w:tc>
          <w:tcPr>
            <w:tcW w:type="dxa" w:w="7824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首批数量：【待填】　年用量：【待填】　打样数量：【待填】　期望交样日期：【待填】</w:t>
            </w:r>
          </w:p>
        </w:tc>
      </w:tr>
    </w:tbl>
    <w:p>
      <w:pPr>
        <w:spacing w:after="40"/>
      </w:pPr>
    </w:p>
    <w:p>
      <w:pPr>
        <w:spacing w:after="80" w:before="120"/>
      </w:pPr>
      <w:r>
        <w:rPr>
          <w:rFonts w:ascii="微软雅黑" w:hAnsi="微软雅黑" w:eastAsia="微软雅黑" w:cs="微软雅黑"/>
          <w:b/>
          <w:sz w:val="20"/>
        </w:rPr>
        <w:t>请厂家注意：</w:t>
      </w:r>
    </w:p>
    <w:p>
      <w:pPr>
        <w:spacing w:after="60"/>
        <w:ind w:left="340" w:hanging="227"/>
      </w:pPr>
      <w:r>
        <w:rPr>
          <w:rFonts w:ascii="微软雅黑" w:hAnsi="微软雅黑" w:eastAsia="微软雅黑" w:cs="微软雅黑"/>
          <w:b w:val="0"/>
          <w:sz w:val="20"/>
        </w:rPr>
        <w:t>• 量产颜色以双方签字的实物色板和限度样为准，本文件中的渲染图和色值只作视觉参考。</w:t>
      </w:r>
    </w:p>
    <w:p>
      <w:pPr>
        <w:spacing w:after="60"/>
        <w:ind w:left="340" w:hanging="227"/>
      </w:pPr>
      <w:r>
        <w:rPr>
          <w:rFonts w:ascii="微软雅黑" w:hAnsi="微软雅黑" w:eastAsia="微软雅黑" w:cs="微软雅黑"/>
          <w:b w:val="0"/>
          <w:sz w:val="20"/>
        </w:rPr>
        <w:t>• 标注“建议值”或“双方约定”的数值不是国家标准的规定，请贵司按工艺能力给出可达值，双方商定后写入技术协议。</w:t>
      </w:r>
    </w:p>
    <w:p>
      <w:pPr>
        <w:spacing w:after="60"/>
        <w:ind w:left="340" w:hanging="227"/>
      </w:pPr>
      <w:r>
        <w:rPr>
          <w:rFonts w:ascii="微软雅黑" w:hAnsi="微软雅黑" w:eastAsia="微软雅黑" w:cs="微软雅黑"/>
          <w:b w:val="0"/>
          <w:sz w:val="20"/>
        </w:rPr>
        <w:t>• 如有无法实现或建议调整的项目，请在第 8 章《厂家反馈表》中填写后返回。</w:t>
      </w:r>
    </w:p>
    <w:p>
      <w:r>
        <w:br w:type="page"/>
      </w:r>
    </w:p>
    <w:p>
      <w:pPr>
        <w:keepNext/>
        <w:spacing w:after="120" w:before="200"/>
      </w:pPr>
      <w:r>
        <w:rPr>
          <w:rFonts w:ascii="微软雅黑" w:hAnsi="微软雅黑" w:eastAsia="微软雅黑" w:cs="微软雅黑"/>
          <w:b/>
          <w:color w:val="1F3A5F"/>
          <w:sz w:val="30"/>
        </w:rPr>
        <w:t>1　产品概况</w:t>
      </w:r>
    </w:p>
    <w:tbl>
      <w:tblPr>
        <w:tblStyle w:val="TableGrid"/>
        <w:jc w:val="center"/>
        <w:tblLook w:firstColumn="1" w:firstRow="1" w:lastColumn="0" w:lastRow="0" w:noHBand="0" w:noVBand="1" w:val="04A0"/>
        <w:tblW w:w="9638" w:type="dxa"/>
        <w:tblLayout w:type="fixed"/>
      </w:tblPr>
      <w:tblGrid>
        <w:gridCol w:w="1814"/>
        <w:gridCol w:w="7824"/>
      </w:tblGrid>
      <w:tr>
        <w:tc>
          <w:tcPr>
            <w:tcW w:type="dxa" w:w="1814"/>
            <w:shd w:val="clear" w:color="auto" w:fill="EEF2F7"/>
          </w:tcPr>
          <w:p>
            <w:pPr>
              <w:spacing w:after="0"/>
            </w:pPr>
            <w:r/>
            <w:r>
              <w:rPr>
                <w:rFonts w:ascii="微软雅黑" w:hAnsi="微软雅黑" w:eastAsia="微软雅黑" w:cs="微软雅黑"/>
                <w:b/>
                <w:color w:val="1F3A5F"/>
                <w:sz w:val="18"/>
              </w:rPr>
              <w:t>外形</w:t>
            </w:r>
          </w:p>
        </w:tc>
        <w:tc>
          <w:tcPr>
            <w:tcW w:type="dxa" w:w="7824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Ø74.7 × H155.0 mm 竖向圆柱（模型实测）</w:t>
            </w:r>
          </w:p>
        </w:tc>
      </w:tr>
      <w:tr>
        <w:tc>
          <w:tcPr>
            <w:tcW w:type="dxa" w:w="1814"/>
            <w:shd w:val="clear" w:color="auto" w:fill="EEF2F7"/>
          </w:tcPr>
          <w:p>
            <w:pPr>
              <w:spacing w:after="0"/>
            </w:pPr>
            <w:r/>
            <w:r>
              <w:rPr>
                <w:rFonts w:ascii="微软雅黑" w:hAnsi="微软雅黑" w:eastAsia="微软雅黑" w:cs="微软雅黑"/>
                <w:b/>
                <w:color w:val="1F3A5F"/>
                <w:sz w:val="18"/>
              </w:rPr>
              <w:t>正面定义</w:t>
            </w:r>
          </w:p>
        </w:tc>
        <w:tc>
          <w:tcPr>
            <w:tcW w:type="dxa" w:w="7824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抽屉面；Type-C 口位于 658 盖板，方位右后 45°</w:t>
            </w:r>
          </w:p>
        </w:tc>
      </w:tr>
      <w:tr>
        <w:tc>
          <w:tcPr>
            <w:tcW w:type="dxa" w:w="1814"/>
            <w:shd w:val="clear" w:color="auto" w:fill="EEF2F7"/>
          </w:tcPr>
          <w:p>
            <w:pPr>
              <w:spacing w:after="0"/>
            </w:pPr>
            <w:r/>
            <w:r>
              <w:rPr>
                <w:rFonts w:ascii="微软雅黑" w:hAnsi="微软雅黑" w:eastAsia="微软雅黑" w:cs="微软雅黑"/>
                <w:b/>
                <w:color w:val="1F3A5F"/>
                <w:sz w:val="18"/>
              </w:rPr>
              <w:t>外观构成（从上到下）</w:t>
            </w:r>
          </w:p>
        </w:tc>
        <w:tc>
          <w:tcPr>
            <w:tcW w:type="dxa" w:w="7824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玫瑰金顶部出风格栅 → 雾银上盖 → 暖光灯圈（腰线）→ 雾银孔阵前壳与抽屉 → 玫瑰金底部增高圈</w:t>
            </w:r>
          </w:p>
        </w:tc>
      </w:tr>
      <w:tr>
        <w:tc>
          <w:tcPr>
            <w:tcW w:type="dxa" w:w="1814"/>
            <w:shd w:val="clear" w:color="auto" w:fill="EEF2F7"/>
          </w:tcPr>
          <w:p>
            <w:pPr>
              <w:spacing w:after="0"/>
            </w:pPr>
            <w:r/>
            <w:r>
              <w:rPr>
                <w:rFonts w:ascii="微软雅黑" w:hAnsi="微软雅黑" w:eastAsia="微软雅黑" w:cs="微软雅黑"/>
                <w:b/>
                <w:color w:val="1F3A5F"/>
                <w:sz w:val="18"/>
              </w:rPr>
              <w:t>CMF 面积占比（估算）</w:t>
            </w:r>
          </w:p>
        </w:tc>
        <w:tc>
          <w:tcPr>
            <w:tcW w:type="dxa" w:w="7824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雾银约 81%、玫瑰金约 17%（顶 13% + 底 4%）、灯圈约 2%</w:t>
            </w:r>
          </w:p>
        </w:tc>
      </w:tr>
      <w:tr>
        <w:tc>
          <w:tcPr>
            <w:tcW w:type="dxa" w:w="1814"/>
            <w:shd w:val="clear" w:color="auto" w:fill="EEF2F7"/>
          </w:tcPr>
          <w:p>
            <w:pPr>
              <w:spacing w:after="0"/>
            </w:pPr>
            <w:r/>
            <w:r>
              <w:rPr>
                <w:rFonts w:ascii="微软雅黑" w:hAnsi="微软雅黑" w:eastAsia="微软雅黑" w:cs="微软雅黑"/>
                <w:b/>
                <w:color w:val="1F3A5F"/>
                <w:sz w:val="18"/>
              </w:rPr>
              <w:t>设计要点</w:t>
            </w:r>
          </w:p>
        </w:tc>
        <w:tc>
          <w:tcPr>
            <w:tcW w:type="dxa" w:w="7824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大面积雾银细砂哑光（厚重的喷涂金属感）+ 两端高光玫瑰金铝点缀 + 腰线 2700K 暖光。除按键和底面外，机身可见面（含孔内壁、内侧面、灯座唇边）统一为雾银</w:t>
            </w:r>
          </w:p>
        </w:tc>
      </w:tr>
    </w:tbl>
    <w:p>
      <w:pPr>
        <w:spacing w:after="40"/>
      </w:pPr>
    </w:p>
    <w:p>
      <w:pPr>
        <w:keepNext/>
        <w:spacing w:after="120" w:before="200"/>
      </w:pPr>
      <w:r>
        <w:rPr>
          <w:rFonts w:ascii="微软雅黑" w:hAnsi="微软雅黑" w:eastAsia="微软雅黑" w:cs="微软雅黑"/>
          <w:b/>
          <w:color w:val="1F3A5F"/>
          <w:sz w:val="30"/>
        </w:rPr>
        <w:t>2　CMF 标注图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120000" cy="300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callout_factory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00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微软雅黑" w:hAnsi="微软雅黑" w:eastAsia="微软雅黑" w:cs="微软雅黑"/>
          <w:b w:val="0"/>
          <w:color w:val="595959"/>
          <w:sz w:val="18"/>
        </w:rPr>
        <w:t>图 2-1　CMF 编号标注（渲染图，颜色仅作参考）</w:t>
      </w:r>
    </w:p>
    <w:p>
      <w:r>
        <w:br w:type="page"/>
      </w:r>
    </w:p>
    <w:p>
      <w:pPr>
        <w:keepNext/>
        <w:spacing w:after="120" w:before="200"/>
      </w:pPr>
      <w:r>
        <w:rPr>
          <w:rFonts w:ascii="微软雅黑" w:hAnsi="微软雅黑" w:eastAsia="微软雅黑" w:cs="微软雅黑"/>
          <w:b/>
          <w:color w:val="1F3A5F"/>
          <w:sz w:val="30"/>
        </w:rPr>
        <w:t>3　CMF 总表</w:t>
      </w:r>
    </w:p>
    <w:tbl>
      <w:tblPr>
        <w:tblStyle w:val="TableGrid"/>
        <w:jc w:val="center"/>
        <w:tblLayout w:type="fixed"/>
        <w:tblLook w:firstColumn="1" w:firstRow="1" w:lastColumn="0" w:lastRow="0" w:noHBand="0" w:noVBand="1" w:val="04A0"/>
        <w:tblW w:w="9637" w:type="dxa"/>
        <w:tblLayout w:type="fixed"/>
      </w:tblPr>
      <w:tblGrid>
        <w:gridCol w:w="1020"/>
        <w:gridCol w:w="2608"/>
        <w:gridCol w:w="2041"/>
        <w:gridCol w:w="2608"/>
        <w:gridCol w:w="1360"/>
      </w:tblGrid>
      <w:tr>
        <w:trPr>
          <w:tblHeader w:val="true"/>
        </w:trPr>
        <w:tc>
          <w:tcPr>
            <w:tcW w:type="dxa" w:w="1020"/>
            <w:shd w:val="clear" w:color="auto" w:fill="1F3A5F"/>
          </w:tcPr>
          <w:p>
            <w:pPr>
              <w:spacing w:after="0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编号</w:t>
            </w:r>
          </w:p>
        </w:tc>
        <w:tc>
          <w:tcPr>
            <w:tcW w:type="dxa" w:w="2608"/>
            <w:shd w:val="clear" w:color="auto" w:fill="1F3A5F"/>
          </w:tcPr>
          <w:p>
            <w:pPr>
              <w:spacing w:after="0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部位（模型零件号）</w:t>
            </w:r>
          </w:p>
        </w:tc>
        <w:tc>
          <w:tcPr>
            <w:tcW w:type="dxa" w:w="2041"/>
            <w:shd w:val="clear" w:color="auto" w:fill="1F3A5F"/>
          </w:tcPr>
          <w:p>
            <w:pPr>
              <w:spacing w:after="0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材料</w:t>
            </w:r>
          </w:p>
        </w:tc>
        <w:tc>
          <w:tcPr>
            <w:tcW w:type="dxa" w:w="2608"/>
            <w:shd w:val="clear" w:color="auto" w:fill="1F3A5F"/>
          </w:tcPr>
          <w:p>
            <w:pPr>
              <w:spacing w:after="0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工艺流程</w:t>
            </w:r>
          </w:p>
        </w:tc>
        <w:tc>
          <w:tcPr>
            <w:tcW w:type="dxa" w:w="1361"/>
            <w:shd w:val="clear" w:color="auto" w:fill="1F3A5F"/>
          </w:tcPr>
          <w:p>
            <w:pPr>
              <w:spacing w:after="0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颜色 / 表面</w:t>
            </w:r>
          </w:p>
        </w:tc>
      </w:tr>
      <w:tr>
        <w:tc>
          <w:tcPr>
            <w:tcW w:type="dxa" w:w="1020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CMF01</w:t>
            </w:r>
          </w:p>
          <w:p>
            <w:pPr>
              <w:spacing w:after="0" w:line="276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雾银</w:t>
            </w:r>
          </w:p>
        </w:tc>
        <w:tc>
          <w:tcPr>
            <w:tcW w:type="dxa" w:w="2608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上盖 645、孔阵前壳 644、抽屉 648、Type-C 盖板 658 的全部可见面（含孔内壁、内侧面、格栅下方环带、抽屉拉手槽）；灯座承托件外露唇边</w:t>
            </w:r>
          </w:p>
        </w:tc>
        <w:tc>
          <w:tcPr>
            <w:tcW w:type="dxa" w:w="204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PC/ABS（示例：SABIC CYCOLOY C1200HF / 科思创 Bayblend T85 XF 或同级）；灯座承托件按结构用料</w:t>
            </w:r>
          </w:p>
        </w:tc>
        <w:tc>
          <w:tcPr>
            <w:tcW w:type="dxa" w:w="2608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注塑（模具外观面细喷砂或 VDI 24–30）→ 底漆 → 细银粉金属色漆 → 哑光面漆（PU 或 UV）</w:t>
            </w:r>
          </w:p>
        </w:tc>
        <w:tc>
          <w:tcPr>
            <w:tcW w:type="dxa" w:w="136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雾银；细砂哑光</w:t>
            </w:r>
          </w:p>
        </w:tc>
      </w:tr>
      <w:tr>
        <w:tc>
          <w:tcPr>
            <w:tcW w:type="dxa" w:w="1020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CMF02</w:t>
            </w:r>
          </w:p>
          <w:p>
            <w:pPr>
              <w:spacing w:after="0" w:line="276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玫瑰金</w:t>
            </w:r>
          </w:p>
        </w:tc>
        <w:tc>
          <w:tcPr>
            <w:tcW w:type="dxa" w:w="2608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顶部出风格栅；底部增高圈</w:t>
            </w:r>
          </w:p>
        </w:tc>
        <w:tc>
          <w:tcPr>
            <w:tcW w:type="dxa" w:w="204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铝合金 6063 或 6061（两件同一牌号）</w:t>
            </w:r>
          </w:p>
        </w:tc>
        <w:tc>
          <w:tcPr>
            <w:tcW w:type="dxa" w:w="2608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CNC / 车削 → 抛光 → 阳极氧化 → 染玫瑰金 → 封孔</w:t>
            </w:r>
          </w:p>
        </w:tc>
        <w:tc>
          <w:tcPr>
            <w:tcW w:type="dxa" w:w="136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玫瑰金；高光，不喷砂、不拉丝</w:t>
            </w:r>
          </w:p>
        </w:tc>
      </w:tr>
      <w:tr>
        <w:tc>
          <w:tcPr>
            <w:tcW w:type="dxa" w:w="1020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CMF03</w:t>
            </w:r>
          </w:p>
          <w:p>
            <w:pPr>
              <w:spacing w:after="0" w:line="276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扩散罩</w:t>
            </w:r>
          </w:p>
        </w:tc>
        <w:tc>
          <w:tcPr>
            <w:tcW w:type="dxa" w:w="2608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灯圈外壳</w:t>
            </w:r>
          </w:p>
        </w:tc>
        <w:tc>
          <w:tcPr>
            <w:tcW w:type="dxa" w:w="204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扩散级 PC；或透明 PC</w:t>
            </w:r>
          </w:p>
        </w:tc>
        <w:tc>
          <w:tcPr>
            <w:tcW w:type="dxa" w:w="2608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注塑；内外表面细喷砂或咬花（二选一，打样定）</w:t>
            </w:r>
          </w:p>
        </w:tc>
        <w:tc>
          <w:tcPr>
            <w:tcW w:type="dxa" w:w="136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乳白半透；雾面</w:t>
            </w:r>
          </w:p>
        </w:tc>
      </w:tr>
      <w:tr>
        <w:tc>
          <w:tcPr>
            <w:tcW w:type="dxa" w:w="1020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CMF04</w:t>
            </w:r>
          </w:p>
          <w:p>
            <w:pPr>
              <w:spacing w:after="0" w:line="276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灯</w:t>
            </w:r>
          </w:p>
        </w:tc>
        <w:tc>
          <w:tcPr>
            <w:tcW w:type="dxa" w:w="2608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灯圈内 LED</w:t>
            </w:r>
          </w:p>
        </w:tc>
        <w:tc>
          <w:tcPr>
            <w:tcW w:type="dxa" w:w="204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暖黄 LED（灯板）</w:t>
            </w:r>
          </w:p>
        </w:tc>
        <w:tc>
          <w:tcPr>
            <w:tcW w:type="dxa" w:w="2608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供应商标准品</w:t>
            </w:r>
          </w:p>
        </w:tc>
        <w:tc>
          <w:tcPr>
            <w:tcW w:type="dxa" w:w="136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2700K 暖黄</w:t>
            </w:r>
          </w:p>
        </w:tc>
      </w:tr>
      <w:tr>
        <w:tc>
          <w:tcPr>
            <w:tcW w:type="dxa" w:w="1020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G1</w:t>
            </w:r>
          </w:p>
          <w:p>
            <w:pPr>
              <w:spacing w:after="0" w:line="276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石墨深灰</w:t>
            </w:r>
          </w:p>
        </w:tc>
        <w:tc>
          <w:tcPr>
            <w:tcW w:type="dxa" w:w="2608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按键；底盖 652 底面与沉孔</w:t>
            </w:r>
          </w:p>
        </w:tc>
        <w:tc>
          <w:tcPr>
            <w:tcW w:type="dxa" w:w="204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按结构用料</w:t>
            </w:r>
          </w:p>
        </w:tc>
        <w:tc>
          <w:tcPr>
            <w:tcW w:type="dxa" w:w="2608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前期方案为喷涂哑光漆；也可深灰色母本色注塑，请按成本与外观建议</w:t>
            </w:r>
          </w:p>
        </w:tc>
        <w:tc>
          <w:tcPr>
            <w:tcW w:type="dxa" w:w="136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石墨深灰；哑光</w:t>
            </w:r>
          </w:p>
        </w:tc>
      </w:tr>
      <w:tr>
        <w:tc>
          <w:tcPr>
            <w:tcW w:type="dxa" w:w="1020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K1</w:t>
            </w:r>
          </w:p>
          <w:p>
            <w:pPr>
              <w:spacing w:after="0" w:line="276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内件黑</w:t>
            </w:r>
          </w:p>
        </w:tc>
        <w:tc>
          <w:tcPr>
            <w:tcW w:type="dxa" w:w="2608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内部件（风道、灯板支架、风扇等）</w:t>
            </w:r>
          </w:p>
        </w:tc>
        <w:tc>
          <w:tcPr>
            <w:tcW w:type="dxa" w:w="204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按结构用料</w:t>
            </w:r>
          </w:p>
        </w:tc>
        <w:tc>
          <w:tcPr>
            <w:tcW w:type="dxa" w:w="2608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—</w:t>
            </w:r>
          </w:p>
        </w:tc>
        <w:tc>
          <w:tcPr>
            <w:tcW w:type="dxa" w:w="136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黑色；非外观件</w:t>
            </w:r>
          </w:p>
        </w:tc>
      </w:tr>
    </w:tbl>
    <w:p>
      <w:pPr>
        <w:spacing w:after="40"/>
      </w:pPr>
    </w:p>
    <w:p>
      <w:pPr>
        <w:keepNext/>
        <w:spacing w:after="120" w:before="200"/>
      </w:pPr>
      <w:r>
        <w:rPr>
          <w:rFonts w:ascii="微软雅黑" w:hAnsi="微软雅黑" w:eastAsia="微软雅黑" w:cs="微软雅黑"/>
          <w:b/>
          <w:color w:val="1F3A5F"/>
          <w:sz w:val="30"/>
        </w:rPr>
        <w:t>4　分项规格</w:t>
      </w:r>
    </w:p>
    <w:p>
      <w:pPr>
        <w:keepNext/>
        <w:spacing w:after="80" w:before="160"/>
      </w:pPr>
      <w:r>
        <w:rPr>
          <w:rFonts w:ascii="微软雅黑" w:hAnsi="微软雅黑" w:eastAsia="微软雅黑" w:cs="微软雅黑"/>
          <w:b/>
          <w:color w:val="1F3A5F"/>
          <w:sz w:val="23"/>
        </w:rPr>
        <w:t>CMF01 · 雾银（喷涂件）</w:t>
      </w:r>
    </w:p>
    <w:tbl>
      <w:tblPr>
        <w:tblStyle w:val="TableGrid"/>
        <w:jc w:val="center"/>
        <w:tblLook w:firstColumn="1" w:firstRow="1" w:lastColumn="0" w:lastRow="0" w:noHBand="0" w:noVBand="1" w:val="04A0"/>
        <w:tblW w:w="9638" w:type="dxa"/>
        <w:tblLayout w:type="fixed"/>
      </w:tblPr>
      <w:tblGrid>
        <w:gridCol w:w="1814"/>
        <w:gridCol w:w="7824"/>
      </w:tblGrid>
      <w:tr>
        <w:tc>
          <w:tcPr>
            <w:tcW w:type="dxa" w:w="1814"/>
            <w:shd w:val="clear" w:color="auto" w:fill="EEF2F7"/>
          </w:tcPr>
          <w:p>
            <w:pPr>
              <w:spacing w:after="0"/>
            </w:pPr>
            <w:r/>
            <w:r>
              <w:rPr>
                <w:rFonts w:ascii="微软雅黑" w:hAnsi="微软雅黑" w:eastAsia="微软雅黑" w:cs="微软雅黑"/>
                <w:b/>
                <w:color w:val="1F3A5F"/>
                <w:sz w:val="18"/>
              </w:rPr>
              <w:t>部位</w:t>
            </w:r>
          </w:p>
        </w:tc>
        <w:tc>
          <w:tcPr>
            <w:tcW w:type="dxa" w:w="7824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上盖 645、孔阵前壳 644、抽屉 648、Type-C 盖板 658 的全部可见面，包括孔内壁、内侧面、格栅下方环带、抽屉拉手槽；灯座承托件（R26_DUCT_MNO2_LIGHTRING_CARRIER）的外露唇边</w:t>
            </w:r>
          </w:p>
        </w:tc>
      </w:tr>
      <w:tr>
        <w:tc>
          <w:tcPr>
            <w:tcW w:type="dxa" w:w="1814"/>
            <w:shd w:val="clear" w:color="auto" w:fill="EEF2F7"/>
          </w:tcPr>
          <w:p>
            <w:pPr>
              <w:spacing w:after="0"/>
            </w:pPr>
            <w:r/>
            <w:r>
              <w:rPr>
                <w:rFonts w:ascii="微软雅黑" w:hAnsi="微软雅黑" w:eastAsia="微软雅黑" w:cs="微软雅黑"/>
                <w:b/>
                <w:color w:val="1F3A5F"/>
                <w:sz w:val="18"/>
              </w:rPr>
              <w:t>材料</w:t>
            </w:r>
          </w:p>
        </w:tc>
        <w:tc>
          <w:tcPr>
            <w:tcW w:type="dxa" w:w="7824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PC/ABS，示例牌号 SABIC CYCOLOY C1200HF、科思创 Bayblend T85 XF，可用同级替代，以注塑厂、喷涂厂试样为准。灯座承托件按结构原定用料（前期为白色 PC），外露唇边喷涂</w:t>
            </w:r>
          </w:p>
        </w:tc>
      </w:tr>
      <w:tr>
        <w:tc>
          <w:tcPr>
            <w:tcW w:type="dxa" w:w="1814"/>
            <w:shd w:val="clear" w:color="auto" w:fill="EEF2F7"/>
          </w:tcPr>
          <w:p>
            <w:pPr>
              <w:spacing w:after="0"/>
            </w:pPr>
            <w:r/>
            <w:r>
              <w:rPr>
                <w:rFonts w:ascii="微软雅黑" w:hAnsi="微软雅黑" w:eastAsia="微软雅黑" w:cs="微软雅黑"/>
                <w:b/>
                <w:color w:val="1F3A5F"/>
                <w:sz w:val="18"/>
              </w:rPr>
              <w:t>素材颜色</w:t>
            </w:r>
          </w:p>
        </w:tc>
        <w:tc>
          <w:tcPr>
            <w:tcW w:type="dxa" w:w="7824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建议用接近雾银的浅银灰色母调色，使喷不到的孔内壁、内侧面不露深色（以打样为准）</w:t>
            </w:r>
          </w:p>
        </w:tc>
      </w:tr>
      <w:tr>
        <w:tc>
          <w:tcPr>
            <w:tcW w:type="dxa" w:w="1814"/>
            <w:shd w:val="clear" w:color="auto" w:fill="EEF2F7"/>
          </w:tcPr>
          <w:p>
            <w:pPr>
              <w:spacing w:after="0"/>
            </w:pPr>
            <w:r/>
            <w:r>
              <w:rPr>
                <w:rFonts w:ascii="微软雅黑" w:hAnsi="微软雅黑" w:eastAsia="微软雅黑" w:cs="微软雅黑"/>
                <w:b/>
                <w:color w:val="1F3A5F"/>
                <w:sz w:val="18"/>
              </w:rPr>
              <w:t>模具外观面</w:t>
            </w:r>
          </w:p>
        </w:tc>
        <w:tc>
          <w:tcPr>
            <w:tcW w:type="dxa" w:w="7824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细喷砂，或 VDI 3400 火花纹，在 VDI 24–30（Ra 约 1.60–3.15 µm）区间打样选定。目的：喷涂后仍保留细砂质感</w:t>
            </w:r>
          </w:p>
        </w:tc>
      </w:tr>
      <w:tr>
        <w:tc>
          <w:tcPr>
            <w:tcW w:type="dxa" w:w="1814"/>
            <w:shd w:val="clear" w:color="auto" w:fill="EEF2F7"/>
          </w:tcPr>
          <w:p>
            <w:pPr>
              <w:spacing w:after="0"/>
            </w:pPr>
            <w:r/>
            <w:r>
              <w:rPr>
                <w:rFonts w:ascii="微软雅黑" w:hAnsi="微软雅黑" w:eastAsia="微软雅黑" w:cs="微软雅黑"/>
                <w:b/>
                <w:color w:val="1F3A5F"/>
                <w:sz w:val="18"/>
              </w:rPr>
              <w:t>喷涂体系</w:t>
            </w:r>
          </w:p>
        </w:tc>
        <w:tc>
          <w:tcPr>
            <w:tcW w:type="dxa" w:w="7824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底漆 → 细银粉金属色漆 → 哑光面漆（PU 或 UV，由喷涂厂按耐磨要求建议）。银粉要细、低闪烁，避免出现汽车漆式闪粉</w:t>
            </w:r>
          </w:p>
        </w:tc>
      </w:tr>
      <w:tr>
        <w:tc>
          <w:tcPr>
            <w:tcW w:type="dxa" w:w="1814"/>
            <w:shd w:val="clear" w:color="auto" w:fill="EEF2F7"/>
          </w:tcPr>
          <w:p>
            <w:pPr>
              <w:spacing w:after="0"/>
            </w:pPr>
            <w:r/>
            <w:r>
              <w:rPr>
                <w:rFonts w:ascii="微软雅黑" w:hAnsi="微软雅黑" w:eastAsia="微软雅黑" w:cs="微软雅黑"/>
                <w:b/>
                <w:color w:val="1F3A5F"/>
                <w:sz w:val="18"/>
              </w:rPr>
              <w:t>颜色</w:t>
            </w:r>
          </w:p>
        </w:tc>
        <w:tc>
          <w:tcPr>
            <w:tcW w:type="dxa" w:w="7824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雾银：中性略偏冷的柔和银，不偏蓝、不偏黄。以签字色板为准；多角度测色 15° / 45° / 110°（参考 ASTM E2194），D65 光源；建议起点 45° ΔE*ab ≤ 1.0–1.5（建议值，双方约定）</w:t>
            </w:r>
          </w:p>
        </w:tc>
      </w:tr>
      <w:tr>
        <w:tc>
          <w:tcPr>
            <w:tcW w:type="dxa" w:w="1814"/>
            <w:shd w:val="clear" w:color="auto" w:fill="EEF2F7"/>
          </w:tcPr>
          <w:p>
            <w:pPr>
              <w:spacing w:after="0"/>
            </w:pPr>
            <w:r/>
            <w:r>
              <w:rPr>
                <w:rFonts w:ascii="微软雅黑" w:hAnsi="微软雅黑" w:eastAsia="微软雅黑" w:cs="微软雅黑"/>
                <w:b/>
                <w:color w:val="1F3A5F"/>
                <w:sz w:val="18"/>
              </w:rPr>
              <w:t>光泽</w:t>
            </w:r>
          </w:p>
        </w:tc>
        <w:tc>
          <w:tcPr>
            <w:tcW w:type="dxa" w:w="7824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低光泽哑光，以签样板 60° 实测值为基准，容差双方约定（金属漆不在 GB/T 9754 的适用范围，读数只作同一台仪器的对比）</w:t>
            </w:r>
          </w:p>
        </w:tc>
      </w:tr>
      <w:tr>
        <w:tc>
          <w:tcPr>
            <w:tcW w:type="dxa" w:w="1814"/>
            <w:shd w:val="clear" w:color="auto" w:fill="EEF2F7"/>
          </w:tcPr>
          <w:p>
            <w:pPr>
              <w:spacing w:after="0"/>
            </w:pPr>
            <w:r/>
            <w:r>
              <w:rPr>
                <w:rFonts w:ascii="微软雅黑" w:hAnsi="微软雅黑" w:eastAsia="微软雅黑" w:cs="微软雅黑"/>
                <w:b/>
                <w:color w:val="1F3A5F"/>
                <w:sz w:val="18"/>
              </w:rPr>
              <w:t>质感</w:t>
            </w:r>
          </w:p>
        </w:tc>
        <w:tc>
          <w:tcPr>
            <w:tcW w:type="dxa" w:w="7824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细砂颗粒均匀可见、不反光、有厚重感；不出现粗颗粒、银粉发花</w:t>
            </w:r>
          </w:p>
        </w:tc>
      </w:tr>
      <w:tr>
        <w:tc>
          <w:tcPr>
            <w:tcW w:type="dxa" w:w="1814"/>
            <w:shd w:val="clear" w:color="auto" w:fill="EEF2F7"/>
          </w:tcPr>
          <w:p>
            <w:pPr>
              <w:spacing w:after="0"/>
            </w:pPr>
            <w:r/>
            <w:r>
              <w:rPr>
                <w:rFonts w:ascii="微软雅黑" w:hAnsi="微软雅黑" w:eastAsia="微软雅黑" w:cs="微软雅黑"/>
                <w:b/>
                <w:color w:val="1F3A5F"/>
                <w:sz w:val="18"/>
              </w:rPr>
              <w:t>膜厚</w:t>
            </w:r>
          </w:p>
        </w:tc>
        <w:tc>
          <w:tcPr>
            <w:tcW w:type="dxa" w:w="7824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由喷涂厂按工艺给出并双方确认：【待填】µm</w:t>
            </w:r>
          </w:p>
        </w:tc>
      </w:tr>
      <w:tr>
        <w:tc>
          <w:tcPr>
            <w:tcW w:type="dxa" w:w="1814"/>
            <w:shd w:val="clear" w:color="auto" w:fill="EEF2F7"/>
          </w:tcPr>
          <w:p>
            <w:pPr>
              <w:spacing w:after="0"/>
            </w:pPr>
            <w:r/>
            <w:r>
              <w:rPr>
                <w:rFonts w:ascii="微软雅黑" w:hAnsi="微软雅黑" w:eastAsia="微软雅黑" w:cs="微软雅黑"/>
                <w:b/>
                <w:color w:val="1F3A5F"/>
                <w:sz w:val="18"/>
              </w:rPr>
              <w:t>一致性</w:t>
            </w:r>
          </w:p>
        </w:tc>
        <w:tc>
          <w:tcPr>
            <w:tcW w:type="dxa" w:w="7824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上盖、前壳、抽屉、Type-C 盖板、灯座承托件同一套漆、同一批次喷涂，装配后相邻件不能有可见色差</w:t>
            </w:r>
          </w:p>
        </w:tc>
      </w:tr>
      <w:tr>
        <w:tc>
          <w:tcPr>
            <w:tcW w:type="dxa" w:w="1814"/>
            <w:shd w:val="clear" w:color="auto" w:fill="EEF2F7"/>
          </w:tcPr>
          <w:p>
            <w:pPr>
              <w:spacing w:after="0"/>
            </w:pPr>
            <w:r/>
            <w:r>
              <w:rPr>
                <w:rFonts w:ascii="微软雅黑" w:hAnsi="微软雅黑" w:eastAsia="微软雅黑" w:cs="微软雅黑"/>
                <w:b/>
                <w:color w:val="1F3A5F"/>
                <w:sz w:val="18"/>
              </w:rPr>
              <w:t>测试</w:t>
            </w:r>
          </w:p>
        </w:tc>
        <w:tc>
          <w:tcPr>
            <w:tcW w:type="dxa" w:w="7824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见第 6 章 T01–T07、T13–T15</w:t>
            </w:r>
          </w:p>
        </w:tc>
      </w:tr>
      <w:tr>
        <w:tc>
          <w:tcPr>
            <w:tcW w:type="dxa" w:w="1814"/>
            <w:shd w:val="clear" w:color="auto" w:fill="EEF2F7"/>
          </w:tcPr>
          <w:p>
            <w:pPr>
              <w:spacing w:after="0"/>
            </w:pPr>
            <w:r/>
            <w:r>
              <w:rPr>
                <w:rFonts w:ascii="微软雅黑" w:hAnsi="微软雅黑" w:eastAsia="微软雅黑" w:cs="微软雅黑"/>
                <w:b/>
                <w:color w:val="1F3A5F"/>
                <w:sz w:val="18"/>
              </w:rPr>
              <w:t>渲染参考色</w:t>
            </w:r>
          </w:p>
        </w:tc>
        <w:tc>
          <w:tcPr>
            <w:tcW w:type="dxa" w:w="7824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中性光下渲染 sRGB ≈ 153 / 154 / 155（仅视觉参考）</w:t>
            </w:r>
          </w:p>
        </w:tc>
      </w:tr>
      <w:tr>
        <w:tc>
          <w:tcPr>
            <w:tcW w:type="dxa" w:w="1814"/>
            <w:shd w:val="clear" w:color="auto" w:fill="EEF2F7"/>
          </w:tcPr>
          <w:p>
            <w:pPr>
              <w:spacing w:after="0"/>
            </w:pPr>
            <w:r/>
            <w:r>
              <w:rPr>
                <w:rFonts w:ascii="微软雅黑" w:hAnsi="微软雅黑" w:eastAsia="微软雅黑" w:cs="微软雅黑"/>
                <w:b/>
                <w:color w:val="1F3A5F"/>
                <w:sz w:val="18"/>
              </w:rPr>
              <w:t>待确认</w:t>
            </w:r>
          </w:p>
        </w:tc>
        <w:tc>
          <w:tcPr>
            <w:tcW w:type="dxa" w:w="7824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喷涂后纹理保留度；光泽值；膜厚；孔口积漆与孔内覆盖深度；素材调色；灯座承托件遮蔽范围与附着力</w:t>
            </w:r>
          </w:p>
        </w:tc>
      </w:tr>
    </w:tbl>
    <w:p>
      <w:pPr>
        <w:spacing w:after="40"/>
      </w:pPr>
    </w:p>
    <w:p>
      <w:pPr>
        <w:keepNext/>
        <w:spacing w:after="80" w:before="160"/>
      </w:pPr>
      <w:r>
        <w:rPr>
          <w:rFonts w:ascii="微软雅黑" w:hAnsi="微软雅黑" w:eastAsia="微软雅黑" w:cs="微软雅黑"/>
          <w:b/>
          <w:color w:val="1F3A5F"/>
          <w:sz w:val="23"/>
        </w:rPr>
        <w:t>CMF02 · 玫瑰金阳极铝（顶部出风格栅 + 底部增高圈）</w:t>
      </w:r>
    </w:p>
    <w:tbl>
      <w:tblPr>
        <w:tblStyle w:val="TableGrid"/>
        <w:jc w:val="center"/>
        <w:tblLook w:firstColumn="1" w:firstRow="1" w:lastColumn="0" w:lastRow="0" w:noHBand="0" w:noVBand="1" w:val="04A0"/>
        <w:tblW w:w="9638" w:type="dxa"/>
        <w:tblLayout w:type="fixed"/>
      </w:tblPr>
      <w:tblGrid>
        <w:gridCol w:w="1814"/>
        <w:gridCol w:w="7824"/>
      </w:tblGrid>
      <w:tr>
        <w:tc>
          <w:tcPr>
            <w:tcW w:type="dxa" w:w="1814"/>
            <w:shd w:val="clear" w:color="auto" w:fill="EEF2F7"/>
          </w:tcPr>
          <w:p>
            <w:pPr>
              <w:spacing w:after="0"/>
            </w:pPr>
            <w:r/>
            <w:r>
              <w:rPr>
                <w:rFonts w:ascii="微软雅黑" w:hAnsi="微软雅黑" w:eastAsia="微软雅黑" w:cs="微软雅黑"/>
                <w:b/>
                <w:color w:val="1F3A5F"/>
                <w:sz w:val="18"/>
              </w:rPr>
              <w:t>部位与成型</w:t>
            </w:r>
          </w:p>
        </w:tc>
        <w:tc>
          <w:tcPr>
            <w:tcW w:type="dxa" w:w="7824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顶部出风格栅：立体旋叶格栅，Ø73.3 mm、高 6.0 mm，CNC 加工。底部增高圈：6063 管材或型材，车削或 CNC（见第 5 章第 1 条：需从塑胶底盖拆件）</w:t>
            </w:r>
          </w:p>
        </w:tc>
      </w:tr>
      <w:tr>
        <w:tc>
          <w:tcPr>
            <w:tcW w:type="dxa" w:w="1814"/>
            <w:shd w:val="clear" w:color="auto" w:fill="EEF2F7"/>
          </w:tcPr>
          <w:p>
            <w:pPr>
              <w:spacing w:after="0"/>
            </w:pPr>
            <w:r/>
            <w:r>
              <w:rPr>
                <w:rFonts w:ascii="微软雅黑" w:hAnsi="微软雅黑" w:eastAsia="微软雅黑" w:cs="微软雅黑"/>
                <w:b/>
                <w:color w:val="1F3A5F"/>
                <w:sz w:val="18"/>
              </w:rPr>
              <w:t>材料</w:t>
            </w:r>
          </w:p>
        </w:tc>
        <w:tc>
          <w:tcPr>
            <w:tcW w:type="dxa" w:w="7824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6063 或 6061，两件必须同一牌号。不建议 5052（资料指出 5052 阳极后偏黄，难与 6 系件配色）</w:t>
            </w:r>
          </w:p>
        </w:tc>
      </w:tr>
      <w:tr>
        <w:tc>
          <w:tcPr>
            <w:tcW w:type="dxa" w:w="1814"/>
            <w:shd w:val="clear" w:color="auto" w:fill="EEF2F7"/>
          </w:tcPr>
          <w:p>
            <w:pPr>
              <w:spacing w:after="0"/>
            </w:pPr>
            <w:r/>
            <w:r>
              <w:rPr>
                <w:rFonts w:ascii="微软雅黑" w:hAnsi="微软雅黑" w:eastAsia="微软雅黑" w:cs="微软雅黑"/>
                <w:b/>
                <w:color w:val="1F3A5F"/>
                <w:sz w:val="18"/>
              </w:rPr>
              <w:t>工艺流程</w:t>
            </w:r>
          </w:p>
        </w:tc>
        <w:tc>
          <w:tcPr>
            <w:tcW w:type="dxa" w:w="7824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机加 → 抛光 → 阳极氧化 → 染玫瑰金 → 封孔。高光，全程不喷砂、不拉丝。格栅叶片多、缝窄，抛光方式与可行性请贵司评估</w:t>
            </w:r>
          </w:p>
        </w:tc>
      </w:tr>
      <w:tr>
        <w:tc>
          <w:tcPr>
            <w:tcW w:type="dxa" w:w="1814"/>
            <w:shd w:val="clear" w:color="auto" w:fill="EEF2F7"/>
          </w:tcPr>
          <w:p>
            <w:pPr>
              <w:spacing w:after="0"/>
            </w:pPr>
            <w:r/>
            <w:r>
              <w:rPr>
                <w:rFonts w:ascii="微软雅黑" w:hAnsi="微软雅黑" w:eastAsia="微软雅黑" w:cs="微软雅黑"/>
                <w:b/>
                <w:color w:val="1F3A5F"/>
                <w:sz w:val="18"/>
              </w:rPr>
              <w:t>颜色</w:t>
            </w:r>
          </w:p>
        </w:tc>
        <w:tc>
          <w:tcPr>
            <w:tcW w:type="dxa" w:w="7824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玫瑰金：柔和的香槟粉金，不偏橙铜色、不偏艳粉。签字色板 + 深、浅两块限度样，颜色落在限度样之间为合格</w:t>
            </w:r>
          </w:p>
        </w:tc>
      </w:tr>
      <w:tr>
        <w:tc>
          <w:tcPr>
            <w:tcW w:type="dxa" w:w="1814"/>
            <w:shd w:val="clear" w:color="auto" w:fill="EEF2F7"/>
          </w:tcPr>
          <w:p>
            <w:pPr>
              <w:spacing w:after="0"/>
            </w:pPr>
            <w:r/>
            <w:r>
              <w:rPr>
                <w:rFonts w:ascii="微软雅黑" w:hAnsi="微软雅黑" w:eastAsia="微软雅黑" w:cs="微软雅黑"/>
                <w:b/>
                <w:color w:val="1F3A5F"/>
                <w:sz w:val="18"/>
              </w:rPr>
              <w:t>膜厚</w:t>
            </w:r>
          </w:p>
        </w:tc>
        <w:tc>
          <w:tcPr>
            <w:tcW w:type="dxa" w:w="7824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AA10：平均膜厚 ≥ 10 µm（GB/T 8013.1-2018，AA 后数字为最小平均膜厚），涡流法测量（GB/T 4957-2003）</w:t>
            </w:r>
          </w:p>
        </w:tc>
      </w:tr>
      <w:tr>
        <w:tc>
          <w:tcPr>
            <w:tcW w:type="dxa" w:w="1814"/>
            <w:shd w:val="clear" w:color="auto" w:fill="EEF2F7"/>
          </w:tcPr>
          <w:p>
            <w:pPr>
              <w:spacing w:after="0"/>
            </w:pPr>
            <w:r/>
            <w:r>
              <w:rPr>
                <w:rFonts w:ascii="微软雅黑" w:hAnsi="微软雅黑" w:eastAsia="微软雅黑" w:cs="微软雅黑"/>
                <w:b/>
                <w:color w:val="1F3A5F"/>
                <w:sz w:val="18"/>
              </w:rPr>
              <w:t>一致性</w:t>
            </w:r>
          </w:p>
        </w:tc>
        <w:tc>
          <w:tcPr>
            <w:tcW w:type="dxa" w:w="7824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两件同牌号、同槽同批阳极，一起签色板；装配后顶、底两件不能有可见色差</w:t>
            </w:r>
          </w:p>
        </w:tc>
      </w:tr>
      <w:tr>
        <w:tc>
          <w:tcPr>
            <w:tcW w:type="dxa" w:w="1814"/>
            <w:shd w:val="clear" w:color="auto" w:fill="EEF2F7"/>
          </w:tcPr>
          <w:p>
            <w:pPr>
              <w:spacing w:after="0"/>
            </w:pPr>
            <w:r/>
            <w:r>
              <w:rPr>
                <w:rFonts w:ascii="微软雅黑" w:hAnsi="微软雅黑" w:eastAsia="微软雅黑" w:cs="微软雅黑"/>
                <w:b/>
                <w:color w:val="1F3A5F"/>
                <w:sz w:val="18"/>
              </w:rPr>
              <w:t>包装</w:t>
            </w:r>
          </w:p>
        </w:tc>
        <w:tc>
          <w:tcPr>
            <w:tcW w:type="dxa" w:w="7824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高光面易留指纹和划痕，出货贴保护膜</w:t>
            </w:r>
          </w:p>
        </w:tc>
      </w:tr>
      <w:tr>
        <w:tc>
          <w:tcPr>
            <w:tcW w:type="dxa" w:w="1814"/>
            <w:shd w:val="clear" w:color="auto" w:fill="EEF2F7"/>
          </w:tcPr>
          <w:p>
            <w:pPr>
              <w:spacing w:after="0"/>
            </w:pPr>
            <w:r/>
            <w:r>
              <w:rPr>
                <w:rFonts w:ascii="微软雅黑" w:hAnsi="微软雅黑" w:eastAsia="微软雅黑" w:cs="微软雅黑"/>
                <w:b/>
                <w:color w:val="1F3A5F"/>
                <w:sz w:val="18"/>
              </w:rPr>
              <w:t>测试</w:t>
            </w:r>
          </w:p>
        </w:tc>
        <w:tc>
          <w:tcPr>
            <w:tcW w:type="dxa" w:w="7824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见第 6 章 T07–T11、T13–T15</w:t>
            </w:r>
          </w:p>
        </w:tc>
      </w:tr>
      <w:tr>
        <w:tc>
          <w:tcPr>
            <w:tcW w:type="dxa" w:w="1814"/>
            <w:shd w:val="clear" w:color="auto" w:fill="EEF2F7"/>
          </w:tcPr>
          <w:p>
            <w:pPr>
              <w:spacing w:after="0"/>
            </w:pPr>
            <w:r/>
            <w:r>
              <w:rPr>
                <w:rFonts w:ascii="微软雅黑" w:hAnsi="微软雅黑" w:eastAsia="微软雅黑" w:cs="微软雅黑"/>
                <w:b/>
                <w:color w:val="1F3A5F"/>
                <w:sz w:val="18"/>
              </w:rPr>
              <w:t>渲染参考色</w:t>
            </w:r>
          </w:p>
        </w:tc>
        <w:tc>
          <w:tcPr>
            <w:tcW w:type="dxa" w:w="7824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#E6BAAA（RGB 230 / 186 / 170，仅视觉参考）</w:t>
            </w:r>
          </w:p>
        </w:tc>
      </w:tr>
      <w:tr>
        <w:tc>
          <w:tcPr>
            <w:tcW w:type="dxa" w:w="1814"/>
            <w:shd w:val="clear" w:color="auto" w:fill="EEF2F7"/>
          </w:tcPr>
          <w:p>
            <w:pPr>
              <w:spacing w:after="0"/>
            </w:pPr>
            <w:r/>
            <w:r>
              <w:rPr>
                <w:rFonts w:ascii="微软雅黑" w:hAnsi="微软雅黑" w:eastAsia="微软雅黑" w:cs="微软雅黑"/>
                <w:b/>
                <w:color w:val="1F3A5F"/>
                <w:sz w:val="18"/>
              </w:rPr>
              <w:t>待确认</w:t>
            </w:r>
          </w:p>
        </w:tc>
        <w:tc>
          <w:tcPr>
            <w:tcW w:type="dxa" w:w="7824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格栅 CNC 工时与成本；抛光方式；两件合金牌号；色板与限度样</w:t>
            </w:r>
          </w:p>
        </w:tc>
      </w:tr>
    </w:tbl>
    <w:p>
      <w:pPr>
        <w:spacing w:after="40"/>
      </w:pPr>
    </w:p>
    <w:p>
      <w:pPr>
        <w:keepNext/>
        <w:spacing w:after="80" w:before="160"/>
      </w:pPr>
      <w:r>
        <w:rPr>
          <w:rFonts w:ascii="微软雅黑" w:hAnsi="微软雅黑" w:eastAsia="微软雅黑" w:cs="微软雅黑"/>
          <w:b/>
          <w:color w:val="1F3A5F"/>
          <w:sz w:val="23"/>
        </w:rPr>
        <w:t>CMF03 · 磨砂扩散罩（灯圈外壳）</w:t>
      </w:r>
    </w:p>
    <w:tbl>
      <w:tblPr>
        <w:tblStyle w:val="TableGrid"/>
        <w:jc w:val="center"/>
        <w:tblLook w:firstColumn="1" w:firstRow="1" w:lastColumn="0" w:lastRow="0" w:noHBand="0" w:noVBand="1" w:val="04A0"/>
        <w:tblW w:w="9638" w:type="dxa"/>
        <w:tblLayout w:type="fixed"/>
      </w:tblPr>
      <w:tblGrid>
        <w:gridCol w:w="1814"/>
        <w:gridCol w:w="7824"/>
      </w:tblGrid>
      <w:tr>
        <w:tc>
          <w:tcPr>
            <w:tcW w:type="dxa" w:w="1814"/>
            <w:shd w:val="clear" w:color="auto" w:fill="EEF2F7"/>
          </w:tcPr>
          <w:p>
            <w:pPr>
              <w:spacing w:after="0"/>
            </w:pPr>
            <w:r/>
            <w:r>
              <w:rPr>
                <w:rFonts w:ascii="微软雅黑" w:hAnsi="微软雅黑" w:eastAsia="微软雅黑" w:cs="微软雅黑"/>
                <w:b/>
                <w:color w:val="1F3A5F"/>
                <w:sz w:val="18"/>
              </w:rPr>
              <w:t>材料与工艺</w:t>
            </w:r>
          </w:p>
        </w:tc>
        <w:tc>
          <w:tcPr>
            <w:tcW w:type="dxa" w:w="7824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二选一：扩散级 PC（光扩散料，如科思创 Makrolon DQ 系列，以 TDS 为准）；或透明 PC，模具内外表面细喷砂或咬花</w:t>
            </w:r>
          </w:p>
        </w:tc>
      </w:tr>
      <w:tr>
        <w:tc>
          <w:tcPr>
            <w:tcW w:type="dxa" w:w="1814"/>
            <w:shd w:val="clear" w:color="auto" w:fill="EEF2F7"/>
          </w:tcPr>
          <w:p>
            <w:pPr>
              <w:spacing w:after="0"/>
            </w:pPr>
            <w:r/>
            <w:r>
              <w:rPr>
                <w:rFonts w:ascii="微软雅黑" w:hAnsi="微软雅黑" w:eastAsia="微软雅黑" w:cs="微软雅黑"/>
                <w:b/>
                <w:color w:val="1F3A5F"/>
                <w:sz w:val="18"/>
              </w:rPr>
              <w:t>外观</w:t>
            </w:r>
          </w:p>
        </w:tc>
        <w:tc>
          <w:tcPr>
            <w:tcW w:type="dxa" w:w="7824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乳白微暖。灯灭：雾面乳白半透明；灯亮：整圈亮度均匀的暖光，从外面看不到灯珠亮点和暗区</w:t>
            </w:r>
          </w:p>
        </w:tc>
      </w:tr>
      <w:tr>
        <w:tc>
          <w:tcPr>
            <w:tcW w:type="dxa" w:w="1814"/>
            <w:shd w:val="clear" w:color="auto" w:fill="EEF2F7"/>
          </w:tcPr>
          <w:p>
            <w:pPr>
              <w:spacing w:after="0"/>
            </w:pPr>
            <w:r/>
            <w:r>
              <w:rPr>
                <w:rFonts w:ascii="微软雅黑" w:hAnsi="微软雅黑" w:eastAsia="微软雅黑" w:cs="微软雅黑"/>
                <w:b/>
                <w:color w:val="1F3A5F"/>
                <w:sz w:val="18"/>
              </w:rPr>
              <w:t>光学</w:t>
            </w:r>
          </w:p>
        </w:tc>
        <w:tc>
          <w:tcPr>
            <w:tcW w:type="dxa" w:w="7824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透光率与雾度（GB/T 2410-2008）：目标值打样后写入，透光率【待填】%、雾度【待填】%；按实际壁厚的样件测量</w:t>
            </w:r>
          </w:p>
        </w:tc>
      </w:tr>
      <w:tr>
        <w:tc>
          <w:tcPr>
            <w:tcW w:type="dxa" w:w="1814"/>
            <w:shd w:val="clear" w:color="auto" w:fill="EEF2F7"/>
          </w:tcPr>
          <w:p>
            <w:pPr>
              <w:spacing w:after="0"/>
            </w:pPr>
            <w:r/>
            <w:r>
              <w:rPr>
                <w:rFonts w:ascii="微软雅黑" w:hAnsi="微软雅黑" w:eastAsia="微软雅黑" w:cs="微软雅黑"/>
                <w:b/>
                <w:color w:val="1F3A5F"/>
                <w:sz w:val="18"/>
              </w:rPr>
              <w:t>风险</w:t>
            </w:r>
          </w:p>
        </w:tc>
        <w:tc>
          <w:tcPr>
            <w:tcW w:type="dxa" w:w="7824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按模型灯珠位置做的发光仿真出现亮斑，量产均匀度要靠扩散料雾度、混光距离和灯珠密度保证，请打样验证</w:t>
            </w:r>
          </w:p>
        </w:tc>
      </w:tr>
      <w:tr>
        <w:tc>
          <w:tcPr>
            <w:tcW w:type="dxa" w:w="1814"/>
            <w:shd w:val="clear" w:color="auto" w:fill="EEF2F7"/>
          </w:tcPr>
          <w:p>
            <w:pPr>
              <w:spacing w:after="0"/>
            </w:pPr>
            <w:r/>
            <w:r>
              <w:rPr>
                <w:rFonts w:ascii="微软雅黑" w:hAnsi="微软雅黑" w:eastAsia="微软雅黑" w:cs="微软雅黑"/>
                <w:b/>
                <w:color w:val="1F3A5F"/>
                <w:sz w:val="18"/>
              </w:rPr>
              <w:t>签样</w:t>
            </w:r>
          </w:p>
        </w:tc>
        <w:tc>
          <w:tcPr>
            <w:tcW w:type="dxa" w:w="7824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灯灭、灯亮两种状态各签一次</w:t>
            </w:r>
          </w:p>
        </w:tc>
      </w:tr>
    </w:tbl>
    <w:p>
      <w:pPr>
        <w:spacing w:after="40"/>
      </w:pPr>
    </w:p>
    <w:p>
      <w:pPr>
        <w:keepNext/>
        <w:spacing w:after="80" w:before="160"/>
      </w:pPr>
      <w:r>
        <w:rPr>
          <w:rFonts w:ascii="微软雅黑" w:hAnsi="微软雅黑" w:eastAsia="微软雅黑" w:cs="微软雅黑"/>
          <w:b/>
          <w:color w:val="1F3A5F"/>
          <w:sz w:val="23"/>
        </w:rPr>
        <w:t>CMF04 · 暖黄光（LED）</w:t>
      </w:r>
    </w:p>
    <w:tbl>
      <w:tblPr>
        <w:tblStyle w:val="TableGrid"/>
        <w:jc w:val="center"/>
        <w:tblLook w:firstColumn="1" w:firstRow="1" w:lastColumn="0" w:lastRow="0" w:noHBand="0" w:noVBand="1" w:val="04A0"/>
        <w:tblW w:w="9638" w:type="dxa"/>
        <w:tblLayout w:type="fixed"/>
      </w:tblPr>
      <w:tblGrid>
        <w:gridCol w:w="1814"/>
        <w:gridCol w:w="7824"/>
      </w:tblGrid>
      <w:tr>
        <w:tc>
          <w:tcPr>
            <w:tcW w:type="dxa" w:w="1814"/>
            <w:shd w:val="clear" w:color="auto" w:fill="EEF2F7"/>
          </w:tcPr>
          <w:p>
            <w:pPr>
              <w:spacing w:after="0"/>
            </w:pPr>
            <w:r/>
            <w:r>
              <w:rPr>
                <w:rFonts w:ascii="微软雅黑" w:hAnsi="微软雅黑" w:eastAsia="微软雅黑" w:cs="微软雅黑"/>
                <w:b/>
                <w:color w:val="1F3A5F"/>
                <w:sz w:val="18"/>
              </w:rPr>
              <w:t>规格</w:t>
            </w:r>
          </w:p>
        </w:tc>
        <w:tc>
          <w:tcPr>
            <w:tcW w:type="dxa" w:w="7824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暖黄 LED，标称色温 2700K（ANSI C78.377 的标称色温档之一；可在 2200–3000K 内按灯珠规格书确认）</w:t>
            </w:r>
          </w:p>
        </w:tc>
      </w:tr>
      <w:tr>
        <w:tc>
          <w:tcPr>
            <w:tcW w:type="dxa" w:w="1814"/>
            <w:shd w:val="clear" w:color="auto" w:fill="EEF2F7"/>
          </w:tcPr>
          <w:p>
            <w:pPr>
              <w:spacing w:after="0"/>
            </w:pPr>
            <w:r/>
            <w:r>
              <w:rPr>
                <w:rFonts w:ascii="微软雅黑" w:hAnsi="微软雅黑" w:eastAsia="微软雅黑" w:cs="微软雅黑"/>
                <w:b/>
                <w:color w:val="1F3A5F"/>
                <w:sz w:val="18"/>
              </w:rPr>
              <w:t>一致性</w:t>
            </w:r>
          </w:p>
        </w:tc>
        <w:tc>
          <w:tcPr>
            <w:tcW w:type="dxa" w:w="7824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同一批次灯珠选同一色温档（BIN），避免各台灯色不一致</w:t>
            </w:r>
          </w:p>
        </w:tc>
      </w:tr>
      <w:tr>
        <w:tc>
          <w:tcPr>
            <w:tcW w:type="dxa" w:w="1814"/>
            <w:shd w:val="clear" w:color="auto" w:fill="EEF2F7"/>
          </w:tcPr>
          <w:p>
            <w:pPr>
              <w:spacing w:after="0"/>
            </w:pPr>
            <w:r/>
            <w:r>
              <w:rPr>
                <w:rFonts w:ascii="微软雅黑" w:hAnsi="微软雅黑" w:eastAsia="微软雅黑" w:cs="微软雅黑"/>
                <w:b/>
                <w:color w:val="1F3A5F"/>
                <w:sz w:val="18"/>
              </w:rPr>
              <w:t>签样</w:t>
            </w:r>
          </w:p>
        </w:tc>
        <w:tc>
          <w:tcPr>
            <w:tcW w:type="dxa" w:w="7824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点亮样件签样</w:t>
            </w:r>
          </w:p>
        </w:tc>
      </w:tr>
      <w:tr>
        <w:tc>
          <w:tcPr>
            <w:tcW w:type="dxa" w:w="1814"/>
            <w:shd w:val="clear" w:color="auto" w:fill="EEF2F7"/>
          </w:tcPr>
          <w:p>
            <w:pPr>
              <w:spacing w:after="0"/>
            </w:pPr>
            <w:r/>
            <w:r>
              <w:rPr>
                <w:rFonts w:ascii="微软雅黑" w:hAnsi="微软雅黑" w:eastAsia="微软雅黑" w:cs="微软雅黑"/>
                <w:b/>
                <w:color w:val="1F3A5F"/>
                <w:sz w:val="18"/>
              </w:rPr>
              <w:t>待确认</w:t>
            </w:r>
          </w:p>
        </w:tc>
        <w:tc>
          <w:tcPr>
            <w:tcW w:type="dxa" w:w="7824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灯珠型号、色温 BIN、显色指数、驱动电流与亮度</w:t>
            </w:r>
          </w:p>
        </w:tc>
      </w:tr>
    </w:tbl>
    <w:p>
      <w:pPr>
        <w:spacing w:after="40"/>
      </w:pPr>
    </w:p>
    <w:p>
      <w:pPr>
        <w:keepNext/>
        <w:spacing w:after="80" w:before="160"/>
      </w:pPr>
      <w:r>
        <w:rPr>
          <w:rFonts w:ascii="微软雅黑" w:hAnsi="微软雅黑" w:eastAsia="微软雅黑" w:cs="微软雅黑"/>
          <w:b/>
          <w:color w:val="1F3A5F"/>
          <w:sz w:val="23"/>
        </w:rPr>
        <w:t>G1 · 石墨深灰（按键、底面）</w:t>
      </w:r>
    </w:p>
    <w:tbl>
      <w:tblPr>
        <w:tblStyle w:val="TableGrid"/>
        <w:jc w:val="center"/>
        <w:tblLook w:firstColumn="1" w:firstRow="1" w:lastColumn="0" w:lastRow="0" w:noHBand="0" w:noVBand="1" w:val="04A0"/>
        <w:tblW w:w="9638" w:type="dxa"/>
        <w:tblLayout w:type="fixed"/>
      </w:tblPr>
      <w:tblGrid>
        <w:gridCol w:w="1814"/>
        <w:gridCol w:w="7824"/>
      </w:tblGrid>
      <w:tr>
        <w:tc>
          <w:tcPr>
            <w:tcW w:type="dxa" w:w="1814"/>
            <w:shd w:val="clear" w:color="auto" w:fill="EEF2F7"/>
          </w:tcPr>
          <w:p>
            <w:pPr>
              <w:spacing w:after="0"/>
            </w:pPr>
            <w:r/>
            <w:r>
              <w:rPr>
                <w:rFonts w:ascii="微软雅黑" w:hAnsi="微软雅黑" w:eastAsia="微软雅黑" w:cs="微软雅黑"/>
                <w:b/>
                <w:color w:val="1F3A5F"/>
                <w:sz w:val="18"/>
              </w:rPr>
              <w:t>部位</w:t>
            </w:r>
          </w:p>
        </w:tc>
        <w:tc>
          <w:tcPr>
            <w:tcW w:type="dxa" w:w="7824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按键（V2_SOURCE_BUTTON_WITH_SHORT_STEM）；底盖 652 的底面与沉孔</w:t>
            </w:r>
          </w:p>
        </w:tc>
      </w:tr>
      <w:tr>
        <w:tc>
          <w:tcPr>
            <w:tcW w:type="dxa" w:w="1814"/>
            <w:shd w:val="clear" w:color="auto" w:fill="EEF2F7"/>
          </w:tcPr>
          <w:p>
            <w:pPr>
              <w:spacing w:after="0"/>
            </w:pPr>
            <w:r/>
            <w:r>
              <w:rPr>
                <w:rFonts w:ascii="微软雅黑" w:hAnsi="微软雅黑" w:eastAsia="微软雅黑" w:cs="微软雅黑"/>
                <w:b/>
                <w:color w:val="1F3A5F"/>
                <w:sz w:val="18"/>
              </w:rPr>
              <w:t>颜色 / 表面</w:t>
            </w:r>
          </w:p>
        </w:tc>
        <w:tc>
          <w:tcPr>
            <w:tcW w:type="dxa" w:w="7824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石墨深灰，哑光；以签字色板为准</w:t>
            </w:r>
          </w:p>
        </w:tc>
      </w:tr>
      <w:tr>
        <w:tc>
          <w:tcPr>
            <w:tcW w:type="dxa" w:w="1814"/>
            <w:shd w:val="clear" w:color="auto" w:fill="EEF2F7"/>
          </w:tcPr>
          <w:p>
            <w:pPr>
              <w:spacing w:after="0"/>
            </w:pPr>
            <w:r/>
            <w:r>
              <w:rPr>
                <w:rFonts w:ascii="微软雅黑" w:hAnsi="微软雅黑" w:eastAsia="微软雅黑" w:cs="微软雅黑"/>
                <w:b/>
                <w:color w:val="1F3A5F"/>
                <w:sz w:val="18"/>
              </w:rPr>
              <w:t>工艺</w:t>
            </w:r>
          </w:p>
        </w:tc>
        <w:tc>
          <w:tcPr>
            <w:tcW w:type="dxa" w:w="7824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前期方案为喷涂哑光漆；也可用深灰色母本色注塑，请贵司按成本与外观建议，签样确定</w:t>
            </w:r>
          </w:p>
        </w:tc>
      </w:tr>
      <w:tr>
        <w:tc>
          <w:tcPr>
            <w:tcW w:type="dxa" w:w="1814"/>
            <w:shd w:val="clear" w:color="auto" w:fill="EEF2F7"/>
          </w:tcPr>
          <w:p>
            <w:pPr>
              <w:spacing w:after="0"/>
            </w:pPr>
            <w:r/>
            <w:r>
              <w:rPr>
                <w:rFonts w:ascii="微软雅黑" w:hAnsi="微软雅黑" w:eastAsia="微软雅黑" w:cs="微软雅黑"/>
                <w:b/>
                <w:color w:val="1F3A5F"/>
                <w:sz w:val="18"/>
              </w:rPr>
              <w:t>测试</w:t>
            </w:r>
          </w:p>
        </w:tc>
        <w:tc>
          <w:tcPr>
            <w:tcW w:type="dxa" w:w="7824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如为喷涂件，测试项同 CMF01</w:t>
            </w:r>
          </w:p>
        </w:tc>
      </w:tr>
      <w:tr>
        <w:tc>
          <w:tcPr>
            <w:tcW w:type="dxa" w:w="1814"/>
            <w:shd w:val="clear" w:color="auto" w:fill="EEF2F7"/>
          </w:tcPr>
          <w:p>
            <w:pPr>
              <w:spacing w:after="0"/>
            </w:pPr>
            <w:r/>
            <w:r>
              <w:rPr>
                <w:rFonts w:ascii="微软雅黑" w:hAnsi="微软雅黑" w:eastAsia="微软雅黑" w:cs="微软雅黑"/>
                <w:b/>
                <w:color w:val="1F3A5F"/>
                <w:sz w:val="18"/>
              </w:rPr>
              <w:t>渲染参考色</w:t>
            </w:r>
          </w:p>
        </w:tc>
        <w:tc>
          <w:tcPr>
            <w:tcW w:type="dxa" w:w="7824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约 RGB 70 / 71 / 74（仅视觉参考）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keepNext/>
        <w:spacing w:after="120" w:before="200"/>
      </w:pPr>
      <w:r>
        <w:rPr>
          <w:rFonts w:ascii="微软雅黑" w:hAnsi="微软雅黑" w:eastAsia="微软雅黑" w:cs="微软雅黑"/>
          <w:b/>
          <w:color w:val="1F3A5F"/>
          <w:sz w:val="30"/>
        </w:rPr>
        <w:t>5　结构与工艺注意事项</w:t>
      </w:r>
    </w:p>
    <w:tbl>
      <w:tblPr>
        <w:tblStyle w:val="TableGrid"/>
        <w:jc w:val="center"/>
        <w:tblLayout w:type="fixed"/>
        <w:tblLook w:firstColumn="1" w:firstRow="1" w:lastColumn="0" w:lastRow="0" w:noHBand="0" w:noVBand="1" w:val="04A0"/>
        <w:tblW w:w="9637" w:type="dxa"/>
        <w:tblLayout w:type="fixed"/>
      </w:tblPr>
      <w:tblGrid>
        <w:gridCol w:w="453"/>
        <w:gridCol w:w="1701"/>
        <w:gridCol w:w="5896"/>
        <w:gridCol w:w="1587"/>
      </w:tblGrid>
      <w:tr>
        <w:trPr>
          <w:tblHeader w:val="true"/>
        </w:trPr>
        <w:tc>
          <w:tcPr>
            <w:tcW w:type="dxa" w:w="454"/>
            <w:shd w:val="clear" w:color="auto" w:fill="1F3A5F"/>
          </w:tcPr>
          <w:p>
            <w:pPr>
              <w:spacing w:after="0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#</w:t>
            </w:r>
          </w:p>
        </w:tc>
        <w:tc>
          <w:tcPr>
            <w:tcW w:type="dxa" w:w="1701"/>
            <w:shd w:val="clear" w:color="auto" w:fill="1F3A5F"/>
          </w:tcPr>
          <w:p>
            <w:pPr>
              <w:spacing w:after="0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事项</w:t>
            </w:r>
          </w:p>
        </w:tc>
        <w:tc>
          <w:tcPr>
            <w:tcW w:type="dxa" w:w="5896"/>
            <w:shd w:val="clear" w:color="auto" w:fill="1F3A5F"/>
          </w:tcPr>
          <w:p>
            <w:pPr>
              <w:spacing w:after="0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要求 / 说明</w:t>
            </w:r>
          </w:p>
        </w:tc>
        <w:tc>
          <w:tcPr>
            <w:tcW w:type="dxa" w:w="1587"/>
            <w:shd w:val="clear" w:color="auto" w:fill="1F3A5F"/>
          </w:tcPr>
          <w:p>
            <w:pPr>
              <w:spacing w:after="0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需确认方</w:t>
            </w:r>
          </w:p>
        </w:tc>
      </w:tr>
      <w:tr>
        <w:tc>
          <w:tcPr>
            <w:tcW w:type="dxa" w:w="454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1</w:t>
            </w:r>
          </w:p>
        </w:tc>
        <w:tc>
          <w:tcPr>
            <w:tcW w:type="dxa" w:w="170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底部增高圈拆件</w:t>
            </w:r>
          </w:p>
        </w:tc>
        <w:tc>
          <w:tcPr>
            <w:tcW w:type="dxa" w:w="5896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模型中该圈是塑胶底盖 652 的外圈（z0–6.5）。量产做成玫瑰金铝件，需要拆成独立 6063 铝圈并设计装配方式（结构变更，需回建模）。底面接触桌面的防滑问题本阶段不考虑（设计方已确认）</w:t>
            </w:r>
          </w:p>
        </w:tc>
        <w:tc>
          <w:tcPr>
            <w:tcW w:type="dxa" w:w="1587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结构 / 铝件厂</w:t>
            </w:r>
          </w:p>
        </w:tc>
      </w:tr>
      <w:tr>
        <w:tc>
          <w:tcPr>
            <w:tcW w:type="dxa" w:w="454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2</w:t>
            </w:r>
          </w:p>
        </w:tc>
        <w:tc>
          <w:tcPr>
            <w:tcW w:type="dxa" w:w="170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孔阵区喷涂</w:t>
            </w:r>
          </w:p>
        </w:tc>
        <w:tc>
          <w:tcPr>
            <w:tcW w:type="dxa" w:w="5896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前壳与抽屉约 1,056 个 Ø2.05 mm 孔。孔内深处喷不到的位置靠素材浅银灰调色，不露深色；孔口不得积漆堵孔；格栅下方环带、抽屉拉手槽为可喷涂面，必须完整覆盖雾银</w:t>
            </w:r>
          </w:p>
        </w:tc>
        <w:tc>
          <w:tcPr>
            <w:tcW w:type="dxa" w:w="1587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注塑厂 / 喷涂厂</w:t>
            </w:r>
          </w:p>
        </w:tc>
      </w:tr>
      <w:tr>
        <w:tc>
          <w:tcPr>
            <w:tcW w:type="dxa" w:w="454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3</w:t>
            </w:r>
          </w:p>
        </w:tc>
        <w:tc>
          <w:tcPr>
            <w:tcW w:type="dxa" w:w="170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灯座承托件</w:t>
            </w:r>
          </w:p>
        </w:tc>
        <w:tc>
          <w:tcPr>
            <w:tcW w:type="dxa" w:w="5896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外露唇边喷 CMF01 雾银，与机身件同一套漆、同批喷涂；灯腔内侧与装配面遮蔽不喷（遮蔽范围待结构确认）；如用 PC 料，需单独验证附着力（T01）</w:t>
            </w:r>
          </w:p>
        </w:tc>
        <w:tc>
          <w:tcPr>
            <w:tcW w:type="dxa" w:w="1587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结构 / 喷涂厂</w:t>
            </w:r>
          </w:p>
        </w:tc>
      </w:tr>
      <w:tr>
        <w:tc>
          <w:tcPr>
            <w:tcW w:type="dxa" w:w="454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4</w:t>
            </w:r>
          </w:p>
        </w:tc>
        <w:tc>
          <w:tcPr>
            <w:tcW w:type="dxa" w:w="170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顶部出风格栅</w:t>
            </w:r>
          </w:p>
        </w:tc>
        <w:tc>
          <w:tcPr>
            <w:tcW w:type="dxa" w:w="5896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立体旋叶格栅 Ø73.3 × 6.0 mm，CNC；叶片多、缝窄，请评估抛光方式、工时与成本</w:t>
            </w:r>
          </w:p>
        </w:tc>
        <w:tc>
          <w:tcPr>
            <w:tcW w:type="dxa" w:w="1587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铝件厂</w:t>
            </w:r>
          </w:p>
        </w:tc>
      </w:tr>
      <w:tr>
        <w:tc>
          <w:tcPr>
            <w:tcW w:type="dxa" w:w="454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5</w:t>
            </w:r>
          </w:p>
        </w:tc>
        <w:tc>
          <w:tcPr>
            <w:tcW w:type="dxa" w:w="170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铝件配色</w:t>
            </w:r>
          </w:p>
        </w:tc>
        <w:tc>
          <w:tcPr>
            <w:tcW w:type="dxa" w:w="5896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格栅与底圈同牌号、同槽同批阳极，一起签色板；不同牌号铝合金染色结果不同</w:t>
            </w:r>
          </w:p>
        </w:tc>
        <w:tc>
          <w:tcPr>
            <w:tcW w:type="dxa" w:w="1587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铝件厂 / 阳极厂</w:t>
            </w:r>
          </w:p>
        </w:tc>
      </w:tr>
      <w:tr>
        <w:tc>
          <w:tcPr>
            <w:tcW w:type="dxa" w:w="454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6</w:t>
            </w:r>
          </w:p>
        </w:tc>
        <w:tc>
          <w:tcPr>
            <w:tcW w:type="dxa" w:w="170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灯圈均匀性</w:t>
            </w:r>
          </w:p>
        </w:tc>
        <w:tc>
          <w:tcPr>
            <w:tcW w:type="dxa" w:w="5896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扩散料雾度、灯珠到扩散罩的混光距离、灯珠密度共同决定是否出现亮斑，请打样验证</w:t>
            </w:r>
          </w:p>
        </w:tc>
        <w:tc>
          <w:tcPr>
            <w:tcW w:type="dxa" w:w="1587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注塑厂 / 灯板厂</w:t>
            </w:r>
          </w:p>
        </w:tc>
      </w:tr>
      <w:tr>
        <w:tc>
          <w:tcPr>
            <w:tcW w:type="dxa" w:w="454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7</w:t>
            </w:r>
          </w:p>
        </w:tc>
        <w:tc>
          <w:tcPr>
            <w:tcW w:type="dxa" w:w="170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阻燃与安规</w:t>
            </w:r>
          </w:p>
        </w:tc>
        <w:tc>
          <w:tcPr>
            <w:tcW w:type="dxa" w:w="5896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外壳材料是否需要阻燃等级（如 UL94 V-0 / V-1）由产品安规评估决定：【待确认】。示例牌号 C1200HF、T85 XF 均为 UL94 HB</w:t>
            </w:r>
          </w:p>
        </w:tc>
        <w:tc>
          <w:tcPr>
            <w:tcW w:type="dxa" w:w="1587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委托方 / 安规</w:t>
            </w:r>
          </w:p>
        </w:tc>
      </w:tr>
    </w:tbl>
    <w:p>
      <w:pPr>
        <w:spacing w:after="40"/>
      </w:pPr>
    </w:p>
    <w:p>
      <w:pPr>
        <w:keepNext/>
        <w:spacing w:after="120" w:before="200"/>
      </w:pPr>
      <w:r>
        <w:rPr>
          <w:rFonts w:ascii="微软雅黑" w:hAnsi="微软雅黑" w:eastAsia="微软雅黑" w:cs="微软雅黑"/>
          <w:b/>
          <w:color w:val="1F3A5F"/>
          <w:sz w:val="30"/>
        </w:rPr>
        <w:t>6　测试与检验要求</w:t>
      </w:r>
    </w:p>
    <w:p>
      <w:pPr>
        <w:spacing w:after="80" w:before="0"/>
      </w:pPr>
      <w:r>
        <w:rPr>
          <w:rFonts w:ascii="微软雅黑" w:hAnsi="微软雅黑" w:eastAsia="微软雅黑" w:cs="微软雅黑"/>
          <w:b w:val="0"/>
          <w:color w:val="595959"/>
          <w:sz w:val="18"/>
        </w:rPr>
        <w:t>“判定”列中的数值是建议起点，标准本身大多只规定测试方法；请贵司按工艺能力给出可达值，双方商定后写入技术协议。标准版本为 2026-10-09 检索的现行版本，签约前请在全国标准信息公共服务平台（std.samr.gov.cn）复核。</w:t>
      </w:r>
    </w:p>
    <w:tbl>
      <w:tblPr>
        <w:tblStyle w:val="TableGrid"/>
        <w:jc w:val="center"/>
        <w:tblLayout w:type="fixed"/>
        <w:tblLook w:firstColumn="1" w:firstRow="1" w:lastColumn="0" w:lastRow="0" w:noHBand="0" w:noVBand="1" w:val="04A0"/>
        <w:tblW w:w="9636" w:type="dxa"/>
        <w:tblLayout w:type="fixed"/>
      </w:tblPr>
      <w:tblGrid>
        <w:gridCol w:w="623"/>
        <w:gridCol w:w="1587"/>
        <w:gridCol w:w="1360"/>
        <w:gridCol w:w="2835"/>
        <w:gridCol w:w="3231"/>
      </w:tblGrid>
      <w:tr>
        <w:trPr>
          <w:tblHeader w:val="true"/>
        </w:trPr>
        <w:tc>
          <w:tcPr>
            <w:tcW w:type="dxa" w:w="624"/>
            <w:shd w:val="clear" w:color="auto" w:fill="1F3A5F"/>
          </w:tcPr>
          <w:p>
            <w:pPr>
              <w:spacing w:after="0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编号</w:t>
            </w:r>
          </w:p>
        </w:tc>
        <w:tc>
          <w:tcPr>
            <w:tcW w:type="dxa" w:w="1587"/>
            <w:shd w:val="clear" w:color="auto" w:fill="1F3A5F"/>
          </w:tcPr>
          <w:p>
            <w:pPr>
              <w:spacing w:after="0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1361"/>
            <w:shd w:val="clear" w:color="auto" w:fill="1F3A5F"/>
          </w:tcPr>
          <w:p>
            <w:pPr>
              <w:spacing w:after="0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适用</w:t>
            </w:r>
          </w:p>
        </w:tc>
        <w:tc>
          <w:tcPr>
            <w:tcW w:type="dxa" w:w="2835"/>
            <w:shd w:val="clear" w:color="auto" w:fill="1F3A5F"/>
          </w:tcPr>
          <w:p>
            <w:pPr>
              <w:spacing w:after="0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依据标准</w:t>
            </w:r>
          </w:p>
        </w:tc>
        <w:tc>
          <w:tcPr>
            <w:tcW w:type="dxa" w:w="3231"/>
            <w:shd w:val="clear" w:color="auto" w:fill="1F3A5F"/>
          </w:tcPr>
          <w:p>
            <w:pPr>
              <w:spacing w:after="0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判定（建议值 / 双方约定）</w:t>
            </w:r>
          </w:p>
        </w:tc>
      </w:tr>
      <w:tr>
        <w:tc>
          <w:tcPr>
            <w:tcW w:type="dxa" w:w="624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T01</w:t>
            </w:r>
          </w:p>
        </w:tc>
        <w:tc>
          <w:tcPr>
            <w:tcW w:type="dxa" w:w="1587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涂层附着力（划格）</w:t>
            </w:r>
          </w:p>
        </w:tc>
        <w:tc>
          <w:tcPr>
            <w:tcW w:type="dxa" w:w="136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CMF01、G1 喷涂件</w:t>
            </w:r>
          </w:p>
        </w:tc>
        <w:tc>
          <w:tcPr>
            <w:tcW w:type="dxa" w:w="2835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GB/T 9286-2021（等同 ISO 2409:2020）</w:t>
            </w:r>
          </w:p>
        </w:tc>
        <w:tc>
          <w:tcPr>
            <w:tcW w:type="dxa" w:w="323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0 级（最好，相当于 ASTM D3359 的 5B）；可接受等级双方约定</w:t>
            </w:r>
          </w:p>
        </w:tc>
      </w:tr>
      <w:tr>
        <w:tc>
          <w:tcPr>
            <w:tcW w:type="dxa" w:w="624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T02</w:t>
            </w:r>
          </w:p>
        </w:tc>
        <w:tc>
          <w:tcPr>
            <w:tcW w:type="dxa" w:w="1587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铅笔硬度</w:t>
            </w:r>
          </w:p>
        </w:tc>
        <w:tc>
          <w:tcPr>
            <w:tcW w:type="dxa" w:w="136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同上</w:t>
            </w:r>
          </w:p>
        </w:tc>
        <w:tc>
          <w:tcPr>
            <w:tcW w:type="dxa" w:w="2835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GB/T 6739-2022（修改采用 ISO 15184:2020）</w:t>
            </w:r>
          </w:p>
        </w:tc>
        <w:tc>
          <w:tcPr>
            <w:tcW w:type="dxa" w:w="323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须写明载荷（ISO 15184 仪器为 750 g）；等级按所选漆种试样实测值约定</w:t>
            </w:r>
          </w:p>
        </w:tc>
      </w:tr>
      <w:tr>
        <w:tc>
          <w:tcPr>
            <w:tcW w:type="dxa" w:w="624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T03</w:t>
            </w:r>
          </w:p>
        </w:tc>
        <w:tc>
          <w:tcPr>
            <w:tcW w:type="dxa" w:w="1587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耐磨（RCA 纸带）</w:t>
            </w:r>
          </w:p>
        </w:tc>
        <w:tc>
          <w:tcPr>
            <w:tcW w:type="dxa" w:w="136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同上</w:t>
            </w:r>
          </w:p>
        </w:tc>
        <w:tc>
          <w:tcPr>
            <w:tcW w:type="dxa" w:w="2835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企业规范（Norman Tool RCA 磨耗仪）</w:t>
            </w:r>
          </w:p>
        </w:tc>
        <w:tc>
          <w:tcPr>
            <w:tcW w:type="dxa" w:w="323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载荷 175 g；不露底圈数双方约定</w:t>
            </w:r>
          </w:p>
        </w:tc>
      </w:tr>
      <w:tr>
        <w:tc>
          <w:tcPr>
            <w:tcW w:type="dxa" w:w="624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T04</w:t>
            </w:r>
          </w:p>
        </w:tc>
        <w:tc>
          <w:tcPr>
            <w:tcW w:type="dxa" w:w="1587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耐酒精擦拭</w:t>
            </w:r>
          </w:p>
        </w:tc>
        <w:tc>
          <w:tcPr>
            <w:tcW w:type="dxa" w:w="136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同上</w:t>
            </w:r>
          </w:p>
        </w:tc>
        <w:tc>
          <w:tcPr>
            <w:tcW w:type="dxa" w:w="2835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企业规范（无统一国标）</w:t>
            </w:r>
          </w:p>
        </w:tc>
        <w:tc>
          <w:tcPr>
            <w:tcW w:type="dxa" w:w="323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酒精浓度、压力、次数双方约定；不露底、无明显失光变色</w:t>
            </w:r>
          </w:p>
        </w:tc>
      </w:tr>
      <w:tr>
        <w:tc>
          <w:tcPr>
            <w:tcW w:type="dxa" w:w="624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T05</w:t>
            </w:r>
          </w:p>
        </w:tc>
        <w:tc>
          <w:tcPr>
            <w:tcW w:type="dxa" w:w="1587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恒定湿热后附着力</w:t>
            </w:r>
          </w:p>
        </w:tc>
        <w:tc>
          <w:tcPr>
            <w:tcW w:type="dxa" w:w="136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同上</w:t>
            </w:r>
          </w:p>
        </w:tc>
        <w:tc>
          <w:tcPr>
            <w:tcW w:type="dxa" w:w="2835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GB/T 2423.3-2016 + GB/T 9286-2021</w:t>
            </w:r>
          </w:p>
        </w:tc>
        <w:tc>
          <w:tcPr>
            <w:tcW w:type="dxa" w:w="323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温湿度与时长双方约定；无起泡、无脱落，附着力不低于 T01 约定</w:t>
            </w:r>
          </w:p>
        </w:tc>
      </w:tr>
      <w:tr>
        <w:tc>
          <w:tcPr>
            <w:tcW w:type="dxa" w:w="624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T06</w:t>
            </w:r>
          </w:p>
        </w:tc>
        <w:tc>
          <w:tcPr>
            <w:tcW w:type="dxa" w:w="1587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温度变化（可选）</w:t>
            </w:r>
          </w:p>
        </w:tc>
        <w:tc>
          <w:tcPr>
            <w:tcW w:type="dxa" w:w="136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整机 / 喷涂件</w:t>
            </w:r>
          </w:p>
        </w:tc>
        <w:tc>
          <w:tcPr>
            <w:tcW w:type="dxa" w:w="2835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GB/T 2423.22-2012</w:t>
            </w:r>
          </w:p>
        </w:tc>
        <w:tc>
          <w:tcPr>
            <w:tcW w:type="dxa" w:w="323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条件双方约定；不开裂、不变形、不掉漆</w:t>
            </w:r>
          </w:p>
        </w:tc>
      </w:tr>
      <w:tr>
        <w:tc>
          <w:tcPr>
            <w:tcW w:type="dxa" w:w="624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T07</w:t>
            </w:r>
          </w:p>
        </w:tc>
        <w:tc>
          <w:tcPr>
            <w:tcW w:type="dxa" w:w="1587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颜色与色差</w:t>
            </w:r>
          </w:p>
        </w:tc>
        <w:tc>
          <w:tcPr>
            <w:tcW w:type="dxa" w:w="136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全部外观件</w:t>
            </w:r>
          </w:p>
        </w:tc>
        <w:tc>
          <w:tcPr>
            <w:tcW w:type="dxa" w:w="2835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GB/T 3979-2008；GB/T 7921-2008（CIELAB）；金属漆多角度参考 ASTM E2194</w:t>
            </w:r>
          </w:p>
        </w:tc>
        <w:tc>
          <w:tcPr>
            <w:tcW w:type="dxa" w:w="323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雾银 45° ΔE*ab ≤ 1.0–1.5（建议起点）；玫瑰金落在深浅限度样之间；最终以目视对比签样板为准</w:t>
            </w:r>
          </w:p>
        </w:tc>
      </w:tr>
      <w:tr>
        <w:tc>
          <w:tcPr>
            <w:tcW w:type="dxa" w:w="624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T08</w:t>
            </w:r>
          </w:p>
        </w:tc>
        <w:tc>
          <w:tcPr>
            <w:tcW w:type="dxa" w:w="1587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阳极膜厚</w:t>
            </w:r>
          </w:p>
        </w:tc>
        <w:tc>
          <w:tcPr>
            <w:tcW w:type="dxa" w:w="136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CMF02</w:t>
            </w:r>
          </w:p>
        </w:tc>
        <w:tc>
          <w:tcPr>
            <w:tcW w:type="dxa" w:w="2835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GB/T 8013.1-2018；测量 GB/T 4957-2003</w:t>
            </w:r>
          </w:p>
        </w:tc>
        <w:tc>
          <w:tcPr>
            <w:tcW w:type="dxa" w:w="323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AA10：平均膜厚 ≥ 10 µm</w:t>
            </w:r>
          </w:p>
        </w:tc>
      </w:tr>
      <w:tr>
        <w:tc>
          <w:tcPr>
            <w:tcW w:type="dxa" w:w="624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T09</w:t>
            </w:r>
          </w:p>
        </w:tc>
        <w:tc>
          <w:tcPr>
            <w:tcW w:type="dxa" w:w="1587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封孔质量</w:t>
            </w:r>
          </w:p>
        </w:tc>
        <w:tc>
          <w:tcPr>
            <w:tcW w:type="dxa" w:w="136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CMF02</w:t>
            </w:r>
          </w:p>
        </w:tc>
        <w:tc>
          <w:tcPr>
            <w:tcW w:type="dxa" w:w="2835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GB/T 8753.1-2017 或 GB/T 8753.3-2005（二选一）</w:t>
            </w:r>
          </w:p>
        </w:tc>
        <w:tc>
          <w:tcPr>
            <w:tcW w:type="dxa" w:w="323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按所选方法的标准限值</w:t>
            </w:r>
          </w:p>
        </w:tc>
      </w:tr>
      <w:tr>
        <w:tc>
          <w:tcPr>
            <w:tcW w:type="dxa" w:w="624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T10</w:t>
            </w:r>
          </w:p>
        </w:tc>
        <w:tc>
          <w:tcPr>
            <w:tcW w:type="dxa" w:w="1587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阳极膜颜色和外观</w:t>
            </w:r>
          </w:p>
        </w:tc>
        <w:tc>
          <w:tcPr>
            <w:tcW w:type="dxa" w:w="136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CMF02</w:t>
            </w:r>
          </w:p>
        </w:tc>
        <w:tc>
          <w:tcPr>
            <w:tcW w:type="dxa" w:w="2835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GB/T 12967.6-2022</w:t>
            </w:r>
          </w:p>
        </w:tc>
        <w:tc>
          <w:tcPr>
            <w:tcW w:type="dxa" w:w="323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落在深浅限度样之间；无斑点、无明显挂具印</w:t>
            </w:r>
          </w:p>
        </w:tc>
      </w:tr>
      <w:tr>
        <w:tc>
          <w:tcPr>
            <w:tcW w:type="dxa" w:w="624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T11</w:t>
            </w:r>
          </w:p>
        </w:tc>
        <w:tc>
          <w:tcPr>
            <w:tcW w:type="dxa" w:w="1587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中性盐雾（NSS）</w:t>
            </w:r>
          </w:p>
        </w:tc>
        <w:tc>
          <w:tcPr>
            <w:tcW w:type="dxa" w:w="136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CMF02</w:t>
            </w:r>
          </w:p>
        </w:tc>
        <w:tc>
          <w:tcPr>
            <w:tcW w:type="dxa" w:w="2835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GB/T 10125-2021（铝阳极膜也可按 GB/T 12967.3-2022）</w:t>
            </w:r>
          </w:p>
        </w:tc>
        <w:tc>
          <w:tcPr>
            <w:tcW w:type="dxa" w:w="323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时长和判定双方约定（标准本身不规定）</w:t>
            </w:r>
          </w:p>
        </w:tc>
      </w:tr>
      <w:tr>
        <w:tc>
          <w:tcPr>
            <w:tcW w:type="dxa" w:w="624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T12</w:t>
            </w:r>
          </w:p>
        </w:tc>
        <w:tc>
          <w:tcPr>
            <w:tcW w:type="dxa" w:w="1587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透光率和雾度</w:t>
            </w:r>
          </w:p>
        </w:tc>
        <w:tc>
          <w:tcPr>
            <w:tcW w:type="dxa" w:w="136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CMF03</w:t>
            </w:r>
          </w:p>
        </w:tc>
        <w:tc>
          <w:tcPr>
            <w:tcW w:type="dxa" w:w="2835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GB/T 2410-2008</w:t>
            </w:r>
          </w:p>
        </w:tc>
        <w:tc>
          <w:tcPr>
            <w:tcW w:type="dxa" w:w="323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目标值打样确定；看不到灯珠亮点</w:t>
            </w:r>
          </w:p>
        </w:tc>
      </w:tr>
      <w:tr>
        <w:tc>
          <w:tcPr>
            <w:tcW w:type="dxa" w:w="624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T13</w:t>
            </w:r>
          </w:p>
        </w:tc>
        <w:tc>
          <w:tcPr>
            <w:tcW w:type="dxa" w:w="1587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外观检验条件</w:t>
            </w:r>
          </w:p>
        </w:tc>
        <w:tc>
          <w:tcPr>
            <w:tcW w:type="dxa" w:w="136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全部外观件</w:t>
            </w:r>
          </w:p>
        </w:tc>
        <w:tc>
          <w:tcPr>
            <w:tcW w:type="dxa" w:w="2835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无统一国标，按双方外观检验规范</w:t>
            </w:r>
          </w:p>
        </w:tc>
        <w:tc>
          <w:tcPr>
            <w:tcW w:type="dxa" w:w="323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建议：D65 光源约 1000 lux、距离约 300 mm（参考企业规范）；按 A/B/C 面和限度样判定</w:t>
            </w:r>
          </w:p>
        </w:tc>
      </w:tr>
      <w:tr>
        <w:tc>
          <w:tcPr>
            <w:tcW w:type="dxa" w:w="624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T14</w:t>
            </w:r>
          </w:p>
        </w:tc>
        <w:tc>
          <w:tcPr>
            <w:tcW w:type="dxa" w:w="1587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抽样检验</w:t>
            </w:r>
          </w:p>
        </w:tc>
        <w:tc>
          <w:tcPr>
            <w:tcW w:type="dxa" w:w="136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来料 / 出货</w:t>
            </w:r>
          </w:p>
        </w:tc>
        <w:tc>
          <w:tcPr>
            <w:tcW w:type="dxa" w:w="2835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GB/T 2828.1-2012（等同 ISO 2859-1:1999）</w:t>
            </w:r>
          </w:p>
        </w:tc>
        <w:tc>
          <w:tcPr>
            <w:tcW w:type="dxa" w:w="323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检验水平和 AQL 双方约定</w:t>
            </w:r>
          </w:p>
        </w:tc>
      </w:tr>
      <w:tr>
        <w:tc>
          <w:tcPr>
            <w:tcW w:type="dxa" w:w="624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T15</w:t>
            </w:r>
          </w:p>
        </w:tc>
        <w:tc>
          <w:tcPr>
            <w:tcW w:type="dxa" w:w="1587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有害物质</w:t>
            </w:r>
          </w:p>
        </w:tc>
        <w:tc>
          <w:tcPr>
            <w:tcW w:type="dxa" w:w="136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全部材料</w:t>
            </w:r>
          </w:p>
        </w:tc>
        <w:tc>
          <w:tcPr>
            <w:tcW w:type="dxa" w:w="2835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GB/T 26572 + SJ/T 11364-2014；出口欧盟加 2011/65/EU 及 (EU) 2015/863</w:t>
            </w:r>
          </w:p>
        </w:tc>
        <w:tc>
          <w:tcPr>
            <w:tcW w:type="dxa" w:w="323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提供第三方检测报告；含量低于限量（按均质材料判定）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keepNext/>
        <w:spacing w:after="120" w:before="200"/>
      </w:pPr>
      <w:r>
        <w:rPr>
          <w:rFonts w:ascii="微软雅黑" w:hAnsi="微软雅黑" w:eastAsia="微软雅黑" w:cs="微软雅黑"/>
          <w:b/>
          <w:color w:val="1F3A5F"/>
          <w:sz w:val="30"/>
        </w:rPr>
        <w:t>7　打样与签样清单</w:t>
      </w:r>
    </w:p>
    <w:tbl>
      <w:tblPr>
        <w:tblStyle w:val="TableGrid"/>
        <w:jc w:val="center"/>
        <w:tblLayout w:type="fixed"/>
        <w:tblLook w:firstColumn="1" w:firstRow="1" w:lastColumn="0" w:lastRow="0" w:noHBand="0" w:noVBand="1" w:val="04A0"/>
        <w:tblW w:w="9637" w:type="dxa"/>
        <w:tblLayout w:type="fixed"/>
      </w:tblPr>
      <w:tblGrid>
        <w:gridCol w:w="453"/>
        <w:gridCol w:w="2381"/>
        <w:gridCol w:w="5443"/>
        <w:gridCol w:w="1360"/>
      </w:tblGrid>
      <w:tr>
        <w:trPr>
          <w:tblHeader w:val="true"/>
        </w:trPr>
        <w:tc>
          <w:tcPr>
            <w:tcW w:type="dxa" w:w="454"/>
            <w:shd w:val="clear" w:color="auto" w:fill="1F3A5F"/>
          </w:tcPr>
          <w:p>
            <w:pPr>
              <w:spacing w:after="0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#</w:t>
            </w:r>
          </w:p>
        </w:tc>
        <w:tc>
          <w:tcPr>
            <w:tcW w:type="dxa" w:w="2381"/>
            <w:shd w:val="clear" w:color="auto" w:fill="1F3A5F"/>
          </w:tcPr>
          <w:p>
            <w:pPr>
              <w:spacing w:after="0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样品</w:t>
            </w:r>
          </w:p>
        </w:tc>
        <w:tc>
          <w:tcPr>
            <w:tcW w:type="dxa" w:w="5443"/>
            <w:shd w:val="clear" w:color="auto" w:fill="1F3A5F"/>
          </w:tcPr>
          <w:p>
            <w:pPr>
              <w:spacing w:after="0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说明</w:t>
            </w:r>
          </w:p>
        </w:tc>
        <w:tc>
          <w:tcPr>
            <w:tcW w:type="dxa" w:w="1361"/>
            <w:shd w:val="clear" w:color="auto" w:fill="1F3A5F"/>
          </w:tcPr>
          <w:p>
            <w:pPr>
              <w:spacing w:after="0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数量</w:t>
            </w:r>
          </w:p>
        </w:tc>
      </w:tr>
      <w:tr>
        <w:tc>
          <w:tcPr>
            <w:tcW w:type="dxa" w:w="454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1</w:t>
            </w:r>
          </w:p>
        </w:tc>
        <w:tc>
          <w:tcPr>
            <w:tcW w:type="dxa" w:w="238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雾银喷涂样板</w:t>
            </w:r>
          </w:p>
        </w:tc>
        <w:tc>
          <w:tcPr>
            <w:tcW w:type="dxa" w:w="5443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在 VDI 24、27、30（或细喷砂）三种纹理底材上各喷一组；可同时提供自带砂感面漆样板对比；附 60° 光泽与 15° / 45° / 110° 色值</w:t>
            </w:r>
          </w:p>
        </w:tc>
        <w:tc>
          <w:tcPr>
            <w:tcW w:type="dxa" w:w="136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一式 3 份</w:t>
            </w:r>
          </w:p>
        </w:tc>
      </w:tr>
      <w:tr>
        <w:tc>
          <w:tcPr>
            <w:tcW w:type="dxa" w:w="454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2</w:t>
            </w:r>
          </w:p>
        </w:tc>
        <w:tc>
          <w:tcPr>
            <w:tcW w:type="dxa" w:w="238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雾银喷涂样（灯座承托件用料）</w:t>
            </w:r>
          </w:p>
        </w:tc>
        <w:tc>
          <w:tcPr>
            <w:tcW w:type="dxa" w:w="5443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与机身样板并排对色，并做附着力</w:t>
            </w:r>
          </w:p>
        </w:tc>
        <w:tc>
          <w:tcPr>
            <w:tcW w:type="dxa" w:w="136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一式 3 份</w:t>
            </w:r>
          </w:p>
        </w:tc>
      </w:tr>
      <w:tr>
        <w:tc>
          <w:tcPr>
            <w:tcW w:type="dxa" w:w="454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3</w:t>
            </w:r>
          </w:p>
        </w:tc>
        <w:tc>
          <w:tcPr>
            <w:tcW w:type="dxa" w:w="238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素材调色样（浅银灰）</w:t>
            </w:r>
          </w:p>
        </w:tc>
        <w:tc>
          <w:tcPr>
            <w:tcW w:type="dxa" w:w="5443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检查孔内壁、内侧面不露深色</w:t>
            </w:r>
          </w:p>
        </w:tc>
        <w:tc>
          <w:tcPr>
            <w:tcW w:type="dxa" w:w="136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一式 3 份</w:t>
            </w:r>
          </w:p>
        </w:tc>
      </w:tr>
      <w:tr>
        <w:tc>
          <w:tcPr>
            <w:tcW w:type="dxa" w:w="454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4</w:t>
            </w:r>
          </w:p>
        </w:tc>
        <w:tc>
          <w:tcPr>
            <w:tcW w:type="dxa" w:w="238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孔阵区喷涂限度样</w:t>
            </w:r>
          </w:p>
        </w:tc>
        <w:tc>
          <w:tcPr>
            <w:tcW w:type="dxa" w:w="5443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孔口积漆、孔内露底的可接受程度</w:t>
            </w:r>
          </w:p>
        </w:tc>
        <w:tc>
          <w:tcPr>
            <w:tcW w:type="dxa" w:w="136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一式 3 份</w:t>
            </w:r>
          </w:p>
        </w:tc>
      </w:tr>
      <w:tr>
        <w:tc>
          <w:tcPr>
            <w:tcW w:type="dxa" w:w="454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5</w:t>
            </w:r>
          </w:p>
        </w:tc>
        <w:tc>
          <w:tcPr>
            <w:tcW w:type="dxa" w:w="238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玫瑰金阳极样板 + 深 / 浅限度样</w:t>
            </w:r>
          </w:p>
        </w:tc>
        <w:tc>
          <w:tcPr>
            <w:tcW w:type="dxa" w:w="5443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两件铝件同牌号、同槽同批</w:t>
            </w:r>
          </w:p>
        </w:tc>
        <w:tc>
          <w:tcPr>
            <w:tcW w:type="dxa" w:w="136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一式 3 份</w:t>
            </w:r>
          </w:p>
        </w:tc>
      </w:tr>
      <w:tr>
        <w:tc>
          <w:tcPr>
            <w:tcW w:type="dxa" w:w="454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6</w:t>
            </w:r>
          </w:p>
        </w:tc>
        <w:tc>
          <w:tcPr>
            <w:tcW w:type="dxa" w:w="238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扩散罩亮灯样件</w:t>
            </w:r>
          </w:p>
        </w:tc>
        <w:tc>
          <w:tcPr>
            <w:tcW w:type="dxa" w:w="5443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扩散级 PC、透明 PC + 雾化两方案，灯灭 / 灯亮各签</w:t>
            </w:r>
          </w:p>
        </w:tc>
        <w:tc>
          <w:tcPr>
            <w:tcW w:type="dxa" w:w="136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各 1 套</w:t>
            </w:r>
          </w:p>
        </w:tc>
      </w:tr>
      <w:tr>
        <w:tc>
          <w:tcPr>
            <w:tcW w:type="dxa" w:w="454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7</w:t>
            </w:r>
          </w:p>
        </w:tc>
        <w:tc>
          <w:tcPr>
            <w:tcW w:type="dxa" w:w="238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石墨深灰样板（G1）</w:t>
            </w:r>
          </w:p>
        </w:tc>
        <w:tc>
          <w:tcPr>
            <w:tcW w:type="dxa" w:w="5443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按键与底面颜色</w:t>
            </w:r>
          </w:p>
        </w:tc>
        <w:tc>
          <w:tcPr>
            <w:tcW w:type="dxa" w:w="136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一式 3 份</w:t>
            </w:r>
          </w:p>
        </w:tc>
      </w:tr>
      <w:tr>
        <w:tc>
          <w:tcPr>
            <w:tcW w:type="dxa" w:w="454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8</w:t>
            </w:r>
          </w:p>
        </w:tc>
        <w:tc>
          <w:tcPr>
            <w:tcW w:type="dxa" w:w="238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LED 点亮样</w:t>
            </w:r>
          </w:p>
        </w:tc>
        <w:tc>
          <w:tcPr>
            <w:tcW w:type="dxa" w:w="5443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2700K（如需对比可加 2200K）</w:t>
            </w:r>
          </w:p>
        </w:tc>
        <w:tc>
          <w:tcPr>
            <w:tcW w:type="dxa" w:w="136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1 套</w:t>
            </w:r>
          </w:p>
        </w:tc>
      </w:tr>
    </w:tbl>
    <w:p>
      <w:pPr>
        <w:spacing w:after="40"/>
      </w:pPr>
    </w:p>
    <w:p>
      <w:pPr>
        <w:spacing w:after="80" w:before="0"/>
      </w:pPr>
      <w:r>
        <w:rPr>
          <w:rFonts w:ascii="微软雅黑" w:hAnsi="微软雅黑" w:eastAsia="微软雅黑" w:cs="微软雅黑"/>
          <w:b w:val="0"/>
          <w:color w:val="595959"/>
          <w:sz w:val="18"/>
        </w:rPr>
        <w:t>“一式 3 份”：委托方、工厂、二级供应商（如色粉厂 / 漆厂）各留 1 份，双方签字后作为量产依据。</w:t>
      </w:r>
    </w:p>
    <w:p>
      <w:pPr>
        <w:keepNext/>
        <w:spacing w:after="120" w:before="200"/>
      </w:pPr>
      <w:r>
        <w:rPr>
          <w:rFonts w:ascii="微软雅黑" w:hAnsi="微软雅黑" w:eastAsia="微软雅黑" w:cs="微软雅黑"/>
          <w:b/>
          <w:color w:val="1F3A5F"/>
          <w:sz w:val="30"/>
        </w:rPr>
        <w:t>8　厂家反馈表（请贵司填写后返回）</w:t>
      </w:r>
    </w:p>
    <w:tbl>
      <w:tblPr>
        <w:tblStyle w:val="TableGrid"/>
        <w:jc w:val="center"/>
        <w:tblLayout w:type="fixed"/>
        <w:tblLook w:firstColumn="1" w:firstRow="1" w:lastColumn="0" w:lastRow="0" w:noHBand="0" w:noVBand="1" w:val="04A0"/>
        <w:tblW w:w="9636" w:type="dxa"/>
        <w:tblLayout w:type="fixed"/>
      </w:tblPr>
      <w:tblGrid>
        <w:gridCol w:w="2494"/>
        <w:gridCol w:w="1587"/>
        <w:gridCol w:w="2721"/>
        <w:gridCol w:w="1474"/>
        <w:gridCol w:w="1360"/>
      </w:tblGrid>
      <w:tr>
        <w:trPr>
          <w:tblHeader w:val="true"/>
        </w:trPr>
        <w:tc>
          <w:tcPr>
            <w:tcW w:type="dxa" w:w="2494"/>
            <w:shd w:val="clear" w:color="auto" w:fill="1F3A5F"/>
          </w:tcPr>
          <w:p>
            <w:pPr>
              <w:spacing w:after="0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1587"/>
            <w:shd w:val="clear" w:color="auto" w:fill="1F3A5F"/>
          </w:tcPr>
          <w:p>
            <w:pPr>
              <w:spacing w:after="0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可行性</w:t>
              <w:br/>
              <w:t>（可做 / 需调整 / 不可做）</w:t>
            </w:r>
          </w:p>
        </w:tc>
        <w:tc>
          <w:tcPr>
            <w:tcW w:type="dxa" w:w="2721"/>
            <w:shd w:val="clear" w:color="auto" w:fill="1F3A5F"/>
          </w:tcPr>
          <w:p>
            <w:pPr>
              <w:spacing w:after="0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建议或替代方案</w:t>
            </w:r>
          </w:p>
        </w:tc>
        <w:tc>
          <w:tcPr>
            <w:tcW w:type="dxa" w:w="1474"/>
            <w:shd w:val="clear" w:color="auto" w:fill="1F3A5F"/>
          </w:tcPr>
          <w:p>
            <w:pPr>
              <w:spacing w:after="0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对单价的影响</w:t>
            </w:r>
          </w:p>
        </w:tc>
        <w:tc>
          <w:tcPr>
            <w:tcW w:type="dxa" w:w="1361"/>
            <w:shd w:val="clear" w:color="auto" w:fill="1F3A5F"/>
          </w:tcPr>
          <w:p>
            <w:pPr>
              <w:spacing w:after="0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打样周期</w:t>
            </w:r>
          </w:p>
        </w:tc>
      </w:tr>
      <w:tr>
        <w:tc>
          <w:tcPr>
            <w:tcW w:type="dxa" w:w="2494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CMF01 雾银（含孔内壁、内侧面）</w:t>
            </w:r>
          </w:p>
        </w:tc>
        <w:tc>
          <w:tcPr>
            <w:tcW w:type="dxa" w:w="1587"/>
          </w:tcPr>
          <w:p>
            <w:pPr>
              <w:spacing w:after="0" w:line="276" w:lineRule="auto"/>
            </w:pPr>
            <w:r/>
          </w:p>
        </w:tc>
        <w:tc>
          <w:tcPr>
            <w:tcW w:type="dxa" w:w="2721"/>
          </w:tcPr>
          <w:p>
            <w:pPr>
              <w:spacing w:after="0" w:line="276" w:lineRule="auto"/>
            </w:pPr>
            <w:r/>
          </w:p>
        </w:tc>
        <w:tc>
          <w:tcPr>
            <w:tcW w:type="dxa" w:w="1474"/>
          </w:tcPr>
          <w:p>
            <w:pPr>
              <w:spacing w:after="0" w:line="276" w:lineRule="auto"/>
            </w:pPr>
            <w:r/>
          </w:p>
        </w:tc>
        <w:tc>
          <w:tcPr>
            <w:tcW w:type="dxa" w:w="1361"/>
          </w:tcPr>
          <w:p>
            <w:pPr>
              <w:spacing w:after="0" w:line="276" w:lineRule="auto"/>
            </w:pPr>
            <w:r/>
          </w:p>
        </w:tc>
      </w:tr>
      <w:tr>
        <w:tc>
          <w:tcPr>
            <w:tcW w:type="dxa" w:w="2494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CMF01 灯座承托件唇边</w:t>
            </w:r>
          </w:p>
        </w:tc>
        <w:tc>
          <w:tcPr>
            <w:tcW w:type="dxa" w:w="1587"/>
          </w:tcPr>
          <w:p>
            <w:pPr>
              <w:spacing w:after="0" w:line="276" w:lineRule="auto"/>
            </w:pPr>
            <w:r/>
          </w:p>
        </w:tc>
        <w:tc>
          <w:tcPr>
            <w:tcW w:type="dxa" w:w="2721"/>
          </w:tcPr>
          <w:p>
            <w:pPr>
              <w:spacing w:after="0" w:line="276" w:lineRule="auto"/>
            </w:pPr>
            <w:r/>
          </w:p>
        </w:tc>
        <w:tc>
          <w:tcPr>
            <w:tcW w:type="dxa" w:w="1474"/>
          </w:tcPr>
          <w:p>
            <w:pPr>
              <w:spacing w:after="0" w:line="276" w:lineRule="auto"/>
            </w:pPr>
            <w:r/>
          </w:p>
        </w:tc>
        <w:tc>
          <w:tcPr>
            <w:tcW w:type="dxa" w:w="1361"/>
          </w:tcPr>
          <w:p>
            <w:pPr>
              <w:spacing w:after="0" w:line="276" w:lineRule="auto"/>
            </w:pPr>
            <w:r/>
          </w:p>
        </w:tc>
      </w:tr>
      <w:tr>
        <w:tc>
          <w:tcPr>
            <w:tcW w:type="dxa" w:w="2494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CMF02 顶部出风格栅</w:t>
            </w:r>
          </w:p>
        </w:tc>
        <w:tc>
          <w:tcPr>
            <w:tcW w:type="dxa" w:w="1587"/>
          </w:tcPr>
          <w:p>
            <w:pPr>
              <w:spacing w:after="0" w:line="276" w:lineRule="auto"/>
            </w:pPr>
            <w:r/>
          </w:p>
        </w:tc>
        <w:tc>
          <w:tcPr>
            <w:tcW w:type="dxa" w:w="2721"/>
          </w:tcPr>
          <w:p>
            <w:pPr>
              <w:spacing w:after="0" w:line="276" w:lineRule="auto"/>
            </w:pPr>
            <w:r/>
          </w:p>
        </w:tc>
        <w:tc>
          <w:tcPr>
            <w:tcW w:type="dxa" w:w="1474"/>
          </w:tcPr>
          <w:p>
            <w:pPr>
              <w:spacing w:after="0" w:line="276" w:lineRule="auto"/>
            </w:pPr>
            <w:r/>
          </w:p>
        </w:tc>
        <w:tc>
          <w:tcPr>
            <w:tcW w:type="dxa" w:w="1361"/>
          </w:tcPr>
          <w:p>
            <w:pPr>
              <w:spacing w:after="0" w:line="276" w:lineRule="auto"/>
            </w:pPr>
            <w:r/>
          </w:p>
        </w:tc>
      </w:tr>
      <w:tr>
        <w:tc>
          <w:tcPr>
            <w:tcW w:type="dxa" w:w="2494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CMF02 底部增高圈</w:t>
            </w:r>
          </w:p>
        </w:tc>
        <w:tc>
          <w:tcPr>
            <w:tcW w:type="dxa" w:w="1587"/>
          </w:tcPr>
          <w:p>
            <w:pPr>
              <w:spacing w:after="0" w:line="276" w:lineRule="auto"/>
            </w:pPr>
            <w:r/>
          </w:p>
        </w:tc>
        <w:tc>
          <w:tcPr>
            <w:tcW w:type="dxa" w:w="2721"/>
          </w:tcPr>
          <w:p>
            <w:pPr>
              <w:spacing w:after="0" w:line="276" w:lineRule="auto"/>
            </w:pPr>
            <w:r/>
          </w:p>
        </w:tc>
        <w:tc>
          <w:tcPr>
            <w:tcW w:type="dxa" w:w="1474"/>
          </w:tcPr>
          <w:p>
            <w:pPr>
              <w:spacing w:after="0" w:line="276" w:lineRule="auto"/>
            </w:pPr>
            <w:r/>
          </w:p>
        </w:tc>
        <w:tc>
          <w:tcPr>
            <w:tcW w:type="dxa" w:w="1361"/>
          </w:tcPr>
          <w:p>
            <w:pPr>
              <w:spacing w:after="0" w:line="276" w:lineRule="auto"/>
            </w:pPr>
            <w:r/>
          </w:p>
        </w:tc>
      </w:tr>
      <w:tr>
        <w:tc>
          <w:tcPr>
            <w:tcW w:type="dxa" w:w="2494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CMF03 扩散罩</w:t>
            </w:r>
          </w:p>
        </w:tc>
        <w:tc>
          <w:tcPr>
            <w:tcW w:type="dxa" w:w="1587"/>
          </w:tcPr>
          <w:p>
            <w:pPr>
              <w:spacing w:after="0" w:line="276" w:lineRule="auto"/>
            </w:pPr>
            <w:r/>
          </w:p>
        </w:tc>
        <w:tc>
          <w:tcPr>
            <w:tcW w:type="dxa" w:w="2721"/>
          </w:tcPr>
          <w:p>
            <w:pPr>
              <w:spacing w:after="0" w:line="276" w:lineRule="auto"/>
            </w:pPr>
            <w:r/>
          </w:p>
        </w:tc>
        <w:tc>
          <w:tcPr>
            <w:tcW w:type="dxa" w:w="1474"/>
          </w:tcPr>
          <w:p>
            <w:pPr>
              <w:spacing w:after="0" w:line="276" w:lineRule="auto"/>
            </w:pPr>
            <w:r/>
          </w:p>
        </w:tc>
        <w:tc>
          <w:tcPr>
            <w:tcW w:type="dxa" w:w="1361"/>
          </w:tcPr>
          <w:p>
            <w:pPr>
              <w:spacing w:after="0" w:line="276" w:lineRule="auto"/>
            </w:pPr>
            <w:r/>
          </w:p>
        </w:tc>
      </w:tr>
      <w:tr>
        <w:tc>
          <w:tcPr>
            <w:tcW w:type="dxa" w:w="2494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CMF04 LED</w:t>
            </w:r>
          </w:p>
        </w:tc>
        <w:tc>
          <w:tcPr>
            <w:tcW w:type="dxa" w:w="1587"/>
          </w:tcPr>
          <w:p>
            <w:pPr>
              <w:spacing w:after="0" w:line="276" w:lineRule="auto"/>
            </w:pPr>
            <w:r/>
          </w:p>
        </w:tc>
        <w:tc>
          <w:tcPr>
            <w:tcW w:type="dxa" w:w="2721"/>
          </w:tcPr>
          <w:p>
            <w:pPr>
              <w:spacing w:after="0" w:line="276" w:lineRule="auto"/>
            </w:pPr>
            <w:r/>
          </w:p>
        </w:tc>
        <w:tc>
          <w:tcPr>
            <w:tcW w:type="dxa" w:w="1474"/>
          </w:tcPr>
          <w:p>
            <w:pPr>
              <w:spacing w:after="0" w:line="276" w:lineRule="auto"/>
            </w:pPr>
            <w:r/>
          </w:p>
        </w:tc>
        <w:tc>
          <w:tcPr>
            <w:tcW w:type="dxa" w:w="1361"/>
          </w:tcPr>
          <w:p>
            <w:pPr>
              <w:spacing w:after="0" w:line="276" w:lineRule="auto"/>
            </w:pPr>
            <w:r/>
          </w:p>
        </w:tc>
      </w:tr>
      <w:tr>
        <w:tc>
          <w:tcPr>
            <w:tcW w:type="dxa" w:w="2494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G1 石墨深灰</w:t>
            </w:r>
          </w:p>
        </w:tc>
        <w:tc>
          <w:tcPr>
            <w:tcW w:type="dxa" w:w="1587"/>
          </w:tcPr>
          <w:p>
            <w:pPr>
              <w:spacing w:after="0" w:line="276" w:lineRule="auto"/>
            </w:pPr>
            <w:r/>
          </w:p>
        </w:tc>
        <w:tc>
          <w:tcPr>
            <w:tcW w:type="dxa" w:w="2721"/>
          </w:tcPr>
          <w:p>
            <w:pPr>
              <w:spacing w:after="0" w:line="276" w:lineRule="auto"/>
            </w:pPr>
            <w:r/>
          </w:p>
        </w:tc>
        <w:tc>
          <w:tcPr>
            <w:tcW w:type="dxa" w:w="1474"/>
          </w:tcPr>
          <w:p>
            <w:pPr>
              <w:spacing w:after="0" w:line="276" w:lineRule="auto"/>
            </w:pPr>
            <w:r/>
          </w:p>
        </w:tc>
        <w:tc>
          <w:tcPr>
            <w:tcW w:type="dxa" w:w="1361"/>
          </w:tcPr>
          <w:p>
            <w:pPr>
              <w:spacing w:after="0" w:line="276" w:lineRule="auto"/>
            </w:pPr>
            <w:r/>
          </w:p>
        </w:tc>
      </w:tr>
      <w:tr>
        <w:tc>
          <w:tcPr>
            <w:tcW w:type="dxa" w:w="2494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第 5 章结构事项 1–7</w:t>
            </w:r>
          </w:p>
        </w:tc>
        <w:tc>
          <w:tcPr>
            <w:tcW w:type="dxa" w:w="1587"/>
          </w:tcPr>
          <w:p>
            <w:pPr>
              <w:spacing w:after="0" w:line="276" w:lineRule="auto"/>
            </w:pPr>
            <w:r/>
          </w:p>
        </w:tc>
        <w:tc>
          <w:tcPr>
            <w:tcW w:type="dxa" w:w="2721"/>
          </w:tcPr>
          <w:p>
            <w:pPr>
              <w:spacing w:after="0" w:line="276" w:lineRule="auto"/>
            </w:pPr>
            <w:r/>
          </w:p>
        </w:tc>
        <w:tc>
          <w:tcPr>
            <w:tcW w:type="dxa" w:w="1474"/>
          </w:tcPr>
          <w:p>
            <w:pPr>
              <w:spacing w:after="0" w:line="276" w:lineRule="auto"/>
            </w:pPr>
            <w:r/>
          </w:p>
        </w:tc>
        <w:tc>
          <w:tcPr>
            <w:tcW w:type="dxa" w:w="1361"/>
          </w:tcPr>
          <w:p>
            <w:pPr>
              <w:spacing w:after="0" w:line="276" w:lineRule="auto"/>
            </w:pPr>
            <w:r/>
          </w:p>
        </w:tc>
      </w:tr>
      <w:tr>
        <w:tc>
          <w:tcPr>
            <w:tcW w:type="dxa" w:w="2494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第 6 章测试要求</w:t>
            </w:r>
          </w:p>
        </w:tc>
        <w:tc>
          <w:tcPr>
            <w:tcW w:type="dxa" w:w="1587"/>
          </w:tcPr>
          <w:p>
            <w:pPr>
              <w:spacing w:after="0" w:line="276" w:lineRule="auto"/>
            </w:pPr>
            <w:r/>
          </w:p>
        </w:tc>
        <w:tc>
          <w:tcPr>
            <w:tcW w:type="dxa" w:w="2721"/>
          </w:tcPr>
          <w:p>
            <w:pPr>
              <w:spacing w:after="0" w:line="276" w:lineRule="auto"/>
            </w:pPr>
            <w:r/>
          </w:p>
        </w:tc>
        <w:tc>
          <w:tcPr>
            <w:tcW w:type="dxa" w:w="1474"/>
          </w:tcPr>
          <w:p>
            <w:pPr>
              <w:spacing w:after="0" w:line="276" w:lineRule="auto"/>
            </w:pPr>
            <w:r/>
          </w:p>
        </w:tc>
        <w:tc>
          <w:tcPr>
            <w:tcW w:type="dxa" w:w="1361"/>
          </w:tcPr>
          <w:p>
            <w:pPr>
              <w:spacing w:after="0" w:line="276" w:lineRule="auto"/>
            </w:pPr>
            <w:r/>
          </w:p>
        </w:tc>
      </w:tr>
      <w:tr>
        <w:tc>
          <w:tcPr>
            <w:tcW w:type="dxa" w:w="2494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其他</w:t>
            </w:r>
          </w:p>
        </w:tc>
        <w:tc>
          <w:tcPr>
            <w:tcW w:type="dxa" w:w="1587"/>
          </w:tcPr>
          <w:p>
            <w:pPr>
              <w:spacing w:after="0" w:line="276" w:lineRule="auto"/>
            </w:pPr>
            <w:r/>
          </w:p>
        </w:tc>
        <w:tc>
          <w:tcPr>
            <w:tcW w:type="dxa" w:w="2721"/>
          </w:tcPr>
          <w:p>
            <w:pPr>
              <w:spacing w:after="0" w:line="276" w:lineRule="auto"/>
            </w:pPr>
            <w:r/>
          </w:p>
        </w:tc>
        <w:tc>
          <w:tcPr>
            <w:tcW w:type="dxa" w:w="1474"/>
          </w:tcPr>
          <w:p>
            <w:pPr>
              <w:spacing w:after="0" w:line="276" w:lineRule="auto"/>
            </w:pPr>
            <w:r/>
          </w:p>
        </w:tc>
        <w:tc>
          <w:tcPr>
            <w:tcW w:type="dxa" w:w="1361"/>
          </w:tcPr>
          <w:p>
            <w:pPr>
              <w:spacing w:after="0" w:line="276" w:lineRule="auto"/>
            </w:pPr>
            <w:r/>
          </w:p>
        </w:tc>
      </w:tr>
    </w:tbl>
    <w:p>
      <w:pPr>
        <w:spacing w:after="40"/>
      </w:pPr>
    </w:p>
    <w:p>
      <w:pPr>
        <w:spacing w:after="80" w:before="120"/>
      </w:pPr>
      <w:r>
        <w:rPr>
          <w:rFonts w:ascii="微软雅黑" w:hAnsi="微软雅黑" w:eastAsia="微软雅黑" w:cs="微软雅黑"/>
          <w:b w:val="0"/>
          <w:sz w:val="20"/>
        </w:rPr>
        <w:t>填写单位：____________　填写人：____________　日期：____________</w:t>
      </w:r>
    </w:p>
    <w:p>
      <w:pPr>
        <w:keepNext/>
        <w:spacing w:after="120" w:before="200"/>
      </w:pPr>
      <w:r>
        <w:rPr>
          <w:rFonts w:ascii="微软雅黑" w:hAnsi="微软雅黑" w:eastAsia="微软雅黑" w:cs="微软雅黑"/>
          <w:b/>
          <w:color w:val="1F3A5F"/>
          <w:sz w:val="30"/>
        </w:rPr>
        <w:t>9　附：依据标准一览</w:t>
      </w:r>
    </w:p>
    <w:tbl>
      <w:tblPr>
        <w:tblStyle w:val="TableGrid"/>
        <w:jc w:val="center"/>
        <w:tblLayout w:type="fixed"/>
        <w:tblLook w:firstColumn="1" w:firstRow="1" w:lastColumn="0" w:lastRow="0" w:noHBand="0" w:noVBand="1" w:val="04A0"/>
        <w:tblW w:w="9639" w:type="dxa"/>
        <w:tblLayout w:type="fixed"/>
      </w:tblPr>
      <w:tblGrid>
        <w:gridCol w:w="3402"/>
        <w:gridCol w:w="6237"/>
      </w:tblGrid>
      <w:tr>
        <w:trPr>
          <w:tblHeader w:val="true"/>
        </w:trPr>
        <w:tc>
          <w:tcPr>
            <w:tcW w:type="dxa" w:w="3402"/>
            <w:shd w:val="clear" w:color="auto" w:fill="1F3A5F"/>
          </w:tcPr>
          <w:p>
            <w:pPr>
              <w:spacing w:after="0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标准号</w:t>
            </w:r>
          </w:p>
        </w:tc>
        <w:tc>
          <w:tcPr>
            <w:tcW w:type="dxa" w:w="6236"/>
            <w:shd w:val="clear" w:color="auto" w:fill="1F3A5F"/>
          </w:tcPr>
          <w:p>
            <w:pPr>
              <w:spacing w:after="0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名称 / 用途</w:t>
            </w:r>
          </w:p>
        </w:tc>
      </w:tr>
      <w:tr>
        <w:tc>
          <w:tcPr>
            <w:tcW w:type="dxa" w:w="3402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GB/T 9286-2021</w:t>
            </w:r>
          </w:p>
        </w:tc>
        <w:tc>
          <w:tcPr>
            <w:tcW w:type="dxa" w:w="6236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色漆和清漆 划格试验（等同 ISO 2409:2020）</w:t>
            </w:r>
          </w:p>
        </w:tc>
      </w:tr>
      <w:tr>
        <w:tc>
          <w:tcPr>
            <w:tcW w:type="dxa" w:w="3402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GB/T 6739-2022</w:t>
            </w:r>
          </w:p>
        </w:tc>
        <w:tc>
          <w:tcPr>
            <w:tcW w:type="dxa" w:w="6236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色漆和清漆 铅笔法测定漆膜硬度（修改采用 ISO 15184:2020）</w:t>
            </w:r>
          </w:p>
        </w:tc>
      </w:tr>
      <w:tr>
        <w:tc>
          <w:tcPr>
            <w:tcW w:type="dxa" w:w="3402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GB/T 2423.3-2016 / GB/T 2423.22-2012</w:t>
            </w:r>
          </w:p>
        </w:tc>
        <w:tc>
          <w:tcPr>
            <w:tcW w:type="dxa" w:w="6236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环境试验：恒定湿热 / 温度变化</w:t>
            </w:r>
          </w:p>
        </w:tc>
      </w:tr>
      <w:tr>
        <w:tc>
          <w:tcPr>
            <w:tcW w:type="dxa" w:w="3402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GB/T 3979-2008 / GB/T 7921-2008</w:t>
            </w:r>
          </w:p>
        </w:tc>
        <w:tc>
          <w:tcPr>
            <w:tcW w:type="dxa" w:w="6236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物体色的测量方法 / 均匀色空间和色差公式</w:t>
            </w:r>
          </w:p>
        </w:tc>
      </w:tr>
      <w:tr>
        <w:tc>
          <w:tcPr>
            <w:tcW w:type="dxa" w:w="3402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ASTM E2194</w:t>
            </w:r>
          </w:p>
        </w:tc>
        <w:tc>
          <w:tcPr>
            <w:tcW w:type="dxa" w:w="6236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金属片颜料材料的多角度颜色测量</w:t>
            </w:r>
          </w:p>
        </w:tc>
      </w:tr>
      <w:tr>
        <w:tc>
          <w:tcPr>
            <w:tcW w:type="dxa" w:w="3402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GB/T 9754-2025</w:t>
            </w:r>
          </w:p>
        </w:tc>
        <w:tc>
          <w:tcPr>
            <w:tcW w:type="dxa" w:w="6236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色漆和清漆 20°、60°、85° 光泽测定（等同 ISO 2813:2014，2026-01-01 实施）</w:t>
            </w:r>
          </w:p>
        </w:tc>
      </w:tr>
      <w:tr>
        <w:tc>
          <w:tcPr>
            <w:tcW w:type="dxa" w:w="3402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GB/T 8013.1-2018</w:t>
            </w:r>
          </w:p>
        </w:tc>
        <w:tc>
          <w:tcPr>
            <w:tcW w:type="dxa" w:w="6236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铝及铝合金阳极氧化膜与有机聚合物膜 第 1 部分：阳极氧化膜</w:t>
            </w:r>
          </w:p>
        </w:tc>
      </w:tr>
      <w:tr>
        <w:tc>
          <w:tcPr>
            <w:tcW w:type="dxa" w:w="3402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GB/T 4957-2003</w:t>
            </w:r>
          </w:p>
        </w:tc>
        <w:tc>
          <w:tcPr>
            <w:tcW w:type="dxa" w:w="6236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非磁性基体金属上非导电覆盖层厚度测量 涡流法</w:t>
            </w:r>
          </w:p>
        </w:tc>
      </w:tr>
      <w:tr>
        <w:tc>
          <w:tcPr>
            <w:tcW w:type="dxa" w:w="3402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GB/T 8753.1-2017 / GB/T 8753.3-2005</w:t>
            </w:r>
          </w:p>
        </w:tc>
        <w:tc>
          <w:tcPr>
            <w:tcW w:type="dxa" w:w="6236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阳极氧化膜封孔质量评定：酸浸蚀失重法 / 导纳法</w:t>
            </w:r>
          </w:p>
        </w:tc>
      </w:tr>
      <w:tr>
        <w:tc>
          <w:tcPr>
            <w:tcW w:type="dxa" w:w="3402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GB/T 12967.6-2022 / GB/T 12967.3-2022</w:t>
            </w:r>
          </w:p>
        </w:tc>
        <w:tc>
          <w:tcPr>
            <w:tcW w:type="dxa" w:w="6236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阳极氧化膜检测方法：颜色和外观 / 盐雾试验</w:t>
            </w:r>
          </w:p>
        </w:tc>
      </w:tr>
      <w:tr>
        <w:tc>
          <w:tcPr>
            <w:tcW w:type="dxa" w:w="3402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GB/T 10125-2021</w:t>
            </w:r>
          </w:p>
        </w:tc>
        <w:tc>
          <w:tcPr>
            <w:tcW w:type="dxa" w:w="6236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人造气氛腐蚀试验 盐雾试验（修改采用 ISO 9227:2017）</w:t>
            </w:r>
          </w:p>
        </w:tc>
      </w:tr>
      <w:tr>
        <w:tc>
          <w:tcPr>
            <w:tcW w:type="dxa" w:w="3402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GB/T 2410-2008</w:t>
            </w:r>
          </w:p>
        </w:tc>
        <w:tc>
          <w:tcPr>
            <w:tcW w:type="dxa" w:w="6236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透明塑料透光率和雾度的测定</w:t>
            </w:r>
          </w:p>
        </w:tc>
      </w:tr>
      <w:tr>
        <w:tc>
          <w:tcPr>
            <w:tcW w:type="dxa" w:w="3402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GB/T 2828.1-2012</w:t>
            </w:r>
          </w:p>
        </w:tc>
        <w:tc>
          <w:tcPr>
            <w:tcW w:type="dxa" w:w="6236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计数抽样检验程序 第 1 部分（等同 ISO 2859-1:1999）</w:t>
            </w:r>
          </w:p>
        </w:tc>
      </w:tr>
      <w:tr>
        <w:tc>
          <w:tcPr>
            <w:tcW w:type="dxa" w:w="3402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GB/T 26572 / SJ/T 11364-2014</w:t>
            </w:r>
          </w:p>
        </w:tc>
        <w:tc>
          <w:tcPr>
            <w:tcW w:type="dxa" w:w="6236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电子电气产品限用物质限量 / 标识要求（中国 RoHS）</w:t>
            </w:r>
          </w:p>
        </w:tc>
      </w:tr>
      <w:tr>
        <w:tc>
          <w:tcPr>
            <w:tcW w:type="dxa" w:w="3402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VDI 3400 / SPI</w:t>
            </w:r>
          </w:p>
        </w:tc>
        <w:tc>
          <w:tcPr>
            <w:tcW w:type="dxa" w:w="6236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模具表面纹理与抛光等级（行业通用）</w:t>
            </w:r>
          </w:p>
        </w:tc>
      </w:tr>
    </w:tbl>
    <w:p>
      <w:pPr>
        <w:spacing w:after="40"/>
      </w:pPr>
    </w:p>
    <w:p>
      <w:pPr>
        <w:spacing w:after="80" w:before="120"/>
      </w:pPr>
      <w:r>
        <w:rPr>
          <w:rFonts w:ascii="微软雅黑" w:hAnsi="微软雅黑" w:eastAsia="微软雅黑" w:cs="微软雅黑"/>
          <w:b/>
          <w:color w:val="B02A1A"/>
          <w:sz w:val="20"/>
        </w:rPr>
        <w:t>本文件中的渲染图与色值仅作视觉参考，量产颜色以双方签字确认的实物色板和限度样为准。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微软雅黑" w:hAnsi="微软雅黑" w:eastAsia="微软雅黑" w:cs="微软雅黑"/>
        <w:color w:val="595959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微软雅黑" w:hAnsi="微软雅黑" w:eastAsia="微软雅黑" w:cs="微软雅黑"/>
        <w:color w:val="595959"/>
        <w:sz w:val="16"/>
      </w:rPr>
      <w:t>紧凑净化除湿器 R26 · CMF 规格书（厂家对接版）v2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00" w:lineRule="auto"/>
    </w:pPr>
    <w:rPr>
      <w:rFonts w:ascii="微软雅黑" w:hAnsi="微软雅黑" w:eastAsia="微软雅黑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Relationship Id="rId12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R26 CMF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