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B39F1D">
      <w:pPr>
        <w:keepNext/>
        <w:keepLines/>
        <w:spacing w:line="590" w:lineRule="exact"/>
        <w:ind w:firstLine="640" w:firstLineChars="200"/>
        <w:outlineLvl w:val="0"/>
        <w:rPr>
          <w:rFonts w:ascii="Times New Roman" w:hAnsi="Times New Roman" w:eastAsia="方正黑体_GBK" w:cs="Times New Roman"/>
          <w:bCs/>
          <w:kern w:val="44"/>
          <w:sz w:val="32"/>
          <w:szCs w:val="44"/>
        </w:rPr>
      </w:pPr>
      <w:r>
        <w:rPr>
          <w:rFonts w:hint="eastAsia" w:ascii="Times New Roman" w:hAnsi="Times New Roman" w:eastAsia="方正黑体_GBK" w:cs="Times New Roman"/>
          <w:bCs/>
          <w:kern w:val="44"/>
          <w:sz w:val="32"/>
          <w:szCs w:val="44"/>
        </w:rPr>
        <w:t>三、建设内容</w:t>
      </w:r>
    </w:p>
    <w:p w14:paraId="634577BC">
      <w:pPr>
        <w:keepNext/>
        <w:keepLines/>
        <w:spacing w:line="590" w:lineRule="exact"/>
        <w:ind w:firstLine="640" w:firstLineChars="200"/>
        <w:outlineLvl w:val="1"/>
        <w:rPr>
          <w:rFonts w:ascii="Times New Roman" w:hAnsi="Times New Roman" w:eastAsia="方正楷体_GBK" w:cs="Times New Roman"/>
          <w:sz w:val="32"/>
          <w:szCs w:val="22"/>
        </w:rPr>
      </w:pPr>
      <w:r>
        <w:rPr>
          <w:rFonts w:hint="eastAsia" w:ascii="Times New Roman" w:hAnsi="Times New Roman" w:eastAsia="方正楷体_GBK" w:cs="Times New Roman"/>
          <w:sz w:val="32"/>
          <w:szCs w:val="22"/>
        </w:rPr>
        <w:t>（一）计划备案</w:t>
      </w:r>
    </w:p>
    <w:p w14:paraId="4952448B">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1．计划登记</w:t>
      </w:r>
    </w:p>
    <w:p w14:paraId="68903B90">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各部门按照年度/月度工作要点（如海洋生态环境保护、核与辐射安全监管、环评与排污许可、环境信访、安全生产、环境应急等条线工作要点）、行动计划（如全省生态环境专项执法行动计划）、工作通知（如省生态环境厅关于进一步做好土壤污染源头管控工作的通知）等，制定涉企督查检查调研考核走访工作计划，管理人员可以通过系统进行计划录入，包括上传计划内容、到访企业类型、计划人员、大致到访时间、依据文件等。通过审核后计划生效，备案登记时可以进行计划关联。</w:t>
      </w:r>
    </w:p>
    <w:p w14:paraId="7D9CC619">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2．备案登记</w:t>
      </w:r>
    </w:p>
    <w:p w14:paraId="6FD6B559">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系统提供涉企检查调研等工作手动登记备案和自动登记备案两种登记模式。</w:t>
      </w:r>
    </w:p>
    <w:p w14:paraId="30EC1C10">
      <w:pPr>
        <w:spacing w:line="590" w:lineRule="exact"/>
        <w:ind w:firstLine="640" w:firstLineChars="200"/>
        <w:rPr>
          <w:rFonts w:ascii="Times New Roman" w:hAnsi="Times New Roman" w:eastAsia="方正仿宋_GBK" w:cs="Times New Roman"/>
          <w:sz w:val="32"/>
          <w:szCs w:val="32"/>
        </w:rPr>
      </w:pPr>
      <w:r>
        <w:rPr>
          <w:rFonts w:hint="eastAsia" w:ascii="黑体" w:hAnsi="黑体" w:eastAsia="黑体" w:cs="Times New Roman"/>
          <w:sz w:val="32"/>
          <w:szCs w:val="32"/>
        </w:rPr>
        <w:t>手动登记备案：</w:t>
      </w:r>
      <w:r>
        <w:rPr>
          <w:rFonts w:hint="eastAsia" w:ascii="Times New Roman" w:hAnsi="Times New Roman" w:eastAsia="方正仿宋_GBK" w:cs="Times New Roman"/>
          <w:sz w:val="32"/>
          <w:szCs w:val="32"/>
        </w:rPr>
        <w:t>有需要赴企开展检查调研等工作的环保监管人员（或委托第三方人员），需要在系统上进行登记备案。环保监管人员登录平台后，通过 “一企一档” 数据库筛选企业（支持关键词、行业、区域检索）。填写备案信息：任务类型（现场检查 / 调研指导 / 帮扶服务）、事由（列明具体检查依据或服务事项）、时间（拟检查日期范围）、人员（支持批量添加，自动校验）。提交备案后，系统自动匹配企业基础信息（地址、联系人、历史检查记录）。</w:t>
      </w:r>
    </w:p>
    <w:p w14:paraId="3F5CE768">
      <w:pPr>
        <w:spacing w:line="590" w:lineRule="exact"/>
        <w:ind w:firstLine="640" w:firstLineChars="200"/>
        <w:rPr>
          <w:rFonts w:ascii="Times New Roman" w:hAnsi="Times New Roman" w:eastAsia="方正仿宋_GBK" w:cs="Times New Roman"/>
          <w:sz w:val="32"/>
          <w:szCs w:val="32"/>
        </w:rPr>
      </w:pPr>
      <w:r>
        <w:rPr>
          <w:rFonts w:hint="eastAsia" w:ascii="黑体" w:hAnsi="黑体" w:eastAsia="黑体" w:cs="Times New Roman"/>
          <w:sz w:val="32"/>
          <w:szCs w:val="32"/>
        </w:rPr>
        <w:t>自动登记备案：</w:t>
      </w:r>
      <w:r>
        <w:rPr>
          <w:rFonts w:hint="eastAsia" w:ascii="Times New Roman" w:hAnsi="Times New Roman" w:eastAsia="方正仿宋_GBK" w:cs="Times New Roman"/>
          <w:sz w:val="32"/>
          <w:szCs w:val="32"/>
        </w:rPr>
        <w:t>面向厅内自建系统，通过数据底座 API 接口，与厅内已自建的系统包括但不限于“双随机一公开” 系统、专项执法系统、信访督办系统等无缝对接。在执法任务派单时，系统自动提取任务编号、企业名称、检查人员、时间地点等要素，同步生成备案信息及二维码，避免重复登记。任务完成后，检查结果（问题清单、整改要求）自动关联至备案系统，形成监管闭环；针对各地市、区县已建的涉及赴企任务系统，系统统一提供 “备案服务 API”，通过备案服务生成赴企备案号，并纳入全省备案数据池，实现 “一次备案、全省互通”。</w:t>
      </w:r>
    </w:p>
    <w:p w14:paraId="14F1D9FE">
      <w:pPr>
        <w:keepNext/>
        <w:keepLines/>
        <w:spacing w:line="590" w:lineRule="exact"/>
        <w:ind w:firstLine="640" w:firstLineChars="200"/>
        <w:outlineLvl w:val="1"/>
        <w:rPr>
          <w:rFonts w:ascii="Times New Roman" w:hAnsi="Times New Roman" w:eastAsia="方正楷体_GBK" w:cs="Times New Roman"/>
          <w:sz w:val="32"/>
          <w:szCs w:val="22"/>
        </w:rPr>
      </w:pPr>
      <w:r>
        <w:rPr>
          <w:rFonts w:hint="eastAsia" w:ascii="Times New Roman" w:hAnsi="Times New Roman" w:eastAsia="方正楷体_GBK" w:cs="Times New Roman"/>
          <w:sz w:val="32"/>
          <w:szCs w:val="22"/>
        </w:rPr>
        <w:t>（二）审批赋码</w:t>
      </w:r>
    </w:p>
    <w:p w14:paraId="0BAB7CB0">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1．审批辅助</w:t>
      </w:r>
    </w:p>
    <w:p w14:paraId="253F6151">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备案提交后进行审批环节，审核人员查看该赴企检查调研等备案的具体情况，包括企业基本信息、赴企人员、赴企事由等信息并开展审批，系统提供审批辅助功能，通过贯通企业“一企一档”、历史赴企备案、非现场分析数据、执法数据等多源信息，结合预设规则库与AI分析模型，对涉企检查备案事项进行多维度合规性校验、风险预判及执行建议生成，辅助审核人员快速识别重复赴企、超范围赴企、高频扰企等违规风险，给出备案调整、备案合并、不予通过等审批建议，辅助审核人员进行审批。</w:t>
      </w:r>
    </w:p>
    <w:p w14:paraId="1463B4F6">
      <w:pPr>
        <w:pStyle w:val="7"/>
        <w:ind w:firstLine="640"/>
        <w:jc w:val="center"/>
        <w:rPr>
          <w:rFonts w:hint="eastAsia"/>
          <w:sz w:val="21"/>
          <w:szCs w:val="21"/>
        </w:rPr>
      </w:pPr>
      <w:r>
        <w:rPr>
          <w:rFonts w:hint="eastAsia"/>
          <w:sz w:val="21"/>
          <w:szCs w:val="21"/>
        </w:rPr>
        <w:t>表：审批辅助判定规则</w:t>
      </w:r>
    </w:p>
    <w:tbl>
      <w:tblPr>
        <w:tblStyle w:val="11"/>
        <w:tblW w:w="8359" w:type="dxa"/>
        <w:tblInd w:w="0" w:type="dxa"/>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6189"/>
      </w:tblGrid>
      <w:tr w14:paraId="0AD138FD">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vAlign w:val="center"/>
          </w:tcPr>
          <w:p w14:paraId="67E63552">
            <w:pPr>
              <w:widowControl/>
              <w:spacing w:line="400" w:lineRule="exact"/>
              <w:jc w:val="center"/>
              <w:rPr>
                <w:rFonts w:eastAsia="黑体" w:cs="Times New Roman"/>
                <w:color w:val="000000"/>
                <w:kern w:val="0"/>
                <w:szCs w:val="21"/>
              </w:rPr>
            </w:pPr>
            <w:r>
              <w:rPr>
                <w:rFonts w:hint="eastAsia" w:eastAsia="黑体" w:cs="Times New Roman"/>
                <w:color w:val="000000"/>
                <w:kern w:val="0"/>
                <w:szCs w:val="21"/>
              </w:rPr>
              <w:t>规则类别</w:t>
            </w:r>
          </w:p>
        </w:tc>
        <w:tc>
          <w:tcPr>
            <w:tcW w:w="6189" w:type="dxa"/>
            <w:vAlign w:val="center"/>
          </w:tcPr>
          <w:p w14:paraId="0598824E">
            <w:pPr>
              <w:widowControl/>
              <w:spacing w:line="400" w:lineRule="exact"/>
              <w:jc w:val="center"/>
              <w:rPr>
                <w:rFonts w:eastAsia="黑体" w:cs="Times New Roman"/>
                <w:color w:val="000000"/>
                <w:kern w:val="0"/>
                <w:szCs w:val="21"/>
              </w:rPr>
            </w:pPr>
            <w:r>
              <w:rPr>
                <w:rFonts w:hint="eastAsia" w:eastAsia="黑体" w:cs="Times New Roman"/>
                <w:color w:val="000000"/>
                <w:kern w:val="0"/>
                <w:szCs w:val="21"/>
              </w:rPr>
              <w:t>规则描述</w:t>
            </w:r>
          </w:p>
        </w:tc>
      </w:tr>
      <w:tr w14:paraId="4B684E74">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vAlign w:val="center"/>
          </w:tcPr>
          <w:p w14:paraId="0C3D9B2A">
            <w:pPr>
              <w:widowControl/>
              <w:spacing w:line="300" w:lineRule="exact"/>
              <w:jc w:val="center"/>
              <w:rPr>
                <w:rFonts w:eastAsia="楷体" w:cs="Times New Roman"/>
                <w:color w:val="000000"/>
                <w:kern w:val="0"/>
                <w:szCs w:val="21"/>
              </w:rPr>
            </w:pPr>
            <w:r>
              <w:rPr>
                <w:rFonts w:eastAsia="楷体" w:cs="Times New Roman"/>
                <w:b/>
                <w:color w:val="000000"/>
                <w:kern w:val="0"/>
                <w:szCs w:val="21"/>
              </w:rPr>
              <w:t>合规性校验规则</w:t>
            </w:r>
          </w:p>
        </w:tc>
        <w:tc>
          <w:tcPr>
            <w:tcW w:w="6189" w:type="dxa"/>
            <w:vAlign w:val="center"/>
          </w:tcPr>
          <w:p w14:paraId="32765D9F">
            <w:pPr>
              <w:widowControl/>
              <w:spacing w:line="300" w:lineRule="exact"/>
              <w:jc w:val="center"/>
              <w:rPr>
                <w:rFonts w:eastAsia="楷体" w:cs="Times New Roman"/>
                <w:color w:val="000000"/>
                <w:kern w:val="0"/>
                <w:szCs w:val="21"/>
              </w:rPr>
            </w:pPr>
            <w:r>
              <w:rPr>
                <w:rFonts w:eastAsia="楷体" w:cs="Times New Roman"/>
                <w:color w:val="000000"/>
                <w:kern w:val="0"/>
                <w:szCs w:val="21"/>
              </w:rPr>
              <w:t>比对检查事项与年度计划清单、部门法定职责、无明确依据的备案自动标注“超权限”并提示驳回。</w:t>
            </w:r>
          </w:p>
        </w:tc>
      </w:tr>
      <w:tr w14:paraId="349AE0B2">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vAlign w:val="center"/>
          </w:tcPr>
          <w:p w14:paraId="38F32D9E">
            <w:pPr>
              <w:widowControl/>
              <w:spacing w:line="300" w:lineRule="exact"/>
              <w:jc w:val="center"/>
              <w:rPr>
                <w:rFonts w:eastAsia="楷体" w:cs="Times New Roman"/>
                <w:color w:val="000000"/>
                <w:kern w:val="0"/>
                <w:szCs w:val="21"/>
              </w:rPr>
            </w:pPr>
            <w:r>
              <w:rPr>
                <w:rFonts w:eastAsia="楷体" w:cs="Times New Roman"/>
                <w:b/>
                <w:color w:val="000000"/>
                <w:kern w:val="0"/>
                <w:szCs w:val="21"/>
              </w:rPr>
              <w:t>重复检查识别规则</w:t>
            </w:r>
          </w:p>
        </w:tc>
        <w:tc>
          <w:tcPr>
            <w:tcW w:w="6189" w:type="dxa"/>
            <w:vAlign w:val="center"/>
          </w:tcPr>
          <w:p w14:paraId="6429D9F1">
            <w:pPr>
              <w:widowControl/>
              <w:spacing w:line="300" w:lineRule="exact"/>
              <w:jc w:val="center"/>
              <w:rPr>
                <w:rFonts w:eastAsia="楷体" w:cs="Times New Roman"/>
                <w:color w:val="000000"/>
                <w:kern w:val="0"/>
                <w:szCs w:val="21"/>
              </w:rPr>
            </w:pPr>
            <w:r>
              <w:rPr>
                <w:rFonts w:eastAsia="楷体" w:cs="Times New Roman"/>
                <w:color w:val="000000"/>
                <w:kern w:val="0"/>
                <w:szCs w:val="21"/>
              </w:rPr>
              <w:t>基于语义分析，智能识别同一企业多部门申报的相似检查内容（如“危废管理”与“固废专项”），推送“跨部门联合检查”合并建议。</w:t>
            </w:r>
          </w:p>
        </w:tc>
      </w:tr>
      <w:tr w14:paraId="087AEAA2">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vAlign w:val="center"/>
          </w:tcPr>
          <w:p w14:paraId="7C9C572D">
            <w:pPr>
              <w:widowControl/>
              <w:spacing w:line="300" w:lineRule="exact"/>
              <w:jc w:val="center"/>
              <w:rPr>
                <w:rFonts w:eastAsia="楷体" w:cs="Times New Roman"/>
                <w:b/>
                <w:color w:val="000000"/>
                <w:kern w:val="0"/>
                <w:szCs w:val="21"/>
              </w:rPr>
            </w:pPr>
            <w:r>
              <w:rPr>
                <w:rFonts w:eastAsia="楷体" w:cs="Times New Roman"/>
                <w:b/>
                <w:color w:val="000000"/>
                <w:kern w:val="0"/>
                <w:szCs w:val="21"/>
              </w:rPr>
              <w:t>分级预警规则</w:t>
            </w:r>
          </w:p>
        </w:tc>
        <w:tc>
          <w:tcPr>
            <w:tcW w:w="6189" w:type="dxa"/>
            <w:vAlign w:val="center"/>
          </w:tcPr>
          <w:p w14:paraId="14C94579">
            <w:pPr>
              <w:widowControl/>
              <w:spacing w:line="300" w:lineRule="exact"/>
              <w:jc w:val="center"/>
              <w:rPr>
                <w:rFonts w:eastAsia="楷体" w:cs="Times New Roman"/>
                <w:color w:val="000000"/>
                <w:kern w:val="0"/>
                <w:szCs w:val="21"/>
              </w:rPr>
            </w:pPr>
            <w:r>
              <w:rPr>
                <w:rFonts w:eastAsia="楷体" w:cs="Times New Roman"/>
                <w:color w:val="000000"/>
                <w:kern w:val="0"/>
                <w:szCs w:val="21"/>
              </w:rPr>
              <w:t>关联企业</w:t>
            </w:r>
            <w:r>
              <w:rPr>
                <w:rFonts w:hint="eastAsia" w:eastAsia="楷体" w:cs="Times New Roman"/>
                <w:color w:val="000000"/>
                <w:kern w:val="0"/>
                <w:szCs w:val="21"/>
              </w:rPr>
              <w:t>环保脸谱信息</w:t>
            </w:r>
            <w:r>
              <w:rPr>
                <w:rFonts w:eastAsia="楷体" w:cs="Times New Roman"/>
                <w:color w:val="000000"/>
                <w:kern w:val="0"/>
                <w:szCs w:val="21"/>
              </w:rPr>
              <w:t>、非现场监管数据、近30天检查频次，自动触发“低风险简化审”“高风险强化查”等分级预警提示。</w:t>
            </w:r>
          </w:p>
        </w:tc>
      </w:tr>
      <w:tr w14:paraId="32FD7161">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vAlign w:val="center"/>
          </w:tcPr>
          <w:p w14:paraId="71164080">
            <w:pPr>
              <w:widowControl/>
              <w:spacing w:line="300" w:lineRule="exact"/>
              <w:jc w:val="center"/>
              <w:rPr>
                <w:rFonts w:eastAsia="楷体" w:cs="Times New Roman"/>
                <w:color w:val="000000"/>
                <w:kern w:val="0"/>
                <w:szCs w:val="21"/>
              </w:rPr>
            </w:pPr>
            <w:r>
              <w:rPr>
                <w:rFonts w:eastAsia="楷体" w:cs="Times New Roman"/>
                <w:b/>
                <w:color w:val="000000"/>
                <w:kern w:val="0"/>
                <w:szCs w:val="21"/>
              </w:rPr>
              <w:t>企业保护期规则</w:t>
            </w:r>
          </w:p>
        </w:tc>
        <w:tc>
          <w:tcPr>
            <w:tcW w:w="6189" w:type="dxa"/>
            <w:vAlign w:val="center"/>
          </w:tcPr>
          <w:p w14:paraId="7DB56555">
            <w:pPr>
              <w:widowControl/>
              <w:spacing w:line="300" w:lineRule="exact"/>
              <w:jc w:val="center"/>
              <w:rPr>
                <w:rFonts w:eastAsia="楷体" w:cs="Times New Roman"/>
                <w:color w:val="000000"/>
                <w:kern w:val="0"/>
                <w:szCs w:val="21"/>
              </w:rPr>
            </w:pPr>
            <w:r>
              <w:rPr>
                <w:rFonts w:eastAsia="楷体" w:cs="Times New Roman"/>
                <w:color w:val="000000"/>
                <w:kern w:val="0"/>
                <w:szCs w:val="21"/>
              </w:rPr>
              <w:t>对整改期内企业、重点帮扶企业自动触发“免检保护期”，非重大紧急事项禁止新增检查备案。</w:t>
            </w:r>
          </w:p>
        </w:tc>
      </w:tr>
      <w:tr w14:paraId="114F395A">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vAlign w:val="center"/>
          </w:tcPr>
          <w:p w14:paraId="2643BB08">
            <w:pPr>
              <w:widowControl/>
              <w:spacing w:line="300" w:lineRule="exact"/>
              <w:jc w:val="center"/>
              <w:rPr>
                <w:rFonts w:eastAsia="楷体" w:cs="Times New Roman"/>
                <w:color w:val="000000"/>
                <w:kern w:val="0"/>
                <w:szCs w:val="21"/>
              </w:rPr>
            </w:pPr>
            <w:r>
              <w:rPr>
                <w:rFonts w:eastAsia="楷体" w:cs="Times New Roman"/>
                <w:b/>
                <w:color w:val="000000"/>
                <w:kern w:val="0"/>
                <w:szCs w:val="21"/>
              </w:rPr>
              <w:t>自动阻断规则</w:t>
            </w:r>
          </w:p>
        </w:tc>
        <w:tc>
          <w:tcPr>
            <w:tcW w:w="6189" w:type="dxa"/>
            <w:vAlign w:val="center"/>
          </w:tcPr>
          <w:p w14:paraId="0F6ADA8E">
            <w:pPr>
              <w:widowControl/>
              <w:spacing w:line="300" w:lineRule="exact"/>
              <w:jc w:val="center"/>
              <w:rPr>
                <w:rFonts w:eastAsia="楷体" w:cs="Times New Roman"/>
                <w:color w:val="000000"/>
                <w:kern w:val="0"/>
                <w:szCs w:val="21"/>
              </w:rPr>
            </w:pPr>
            <w:r>
              <w:rPr>
                <w:rFonts w:hint="eastAsia" w:eastAsia="楷体" w:cs="Times New Roman"/>
                <w:color w:val="000000"/>
                <w:kern w:val="0"/>
                <w:szCs w:val="21"/>
              </w:rPr>
              <w:t>近 30 天 / 半年检查次数、同比变化率、与行业均值对比，</w:t>
            </w:r>
            <w:r>
              <w:rPr>
                <w:rFonts w:eastAsia="楷体" w:cs="Times New Roman"/>
                <w:color w:val="000000"/>
                <w:kern w:val="0"/>
                <w:szCs w:val="21"/>
              </w:rPr>
              <w:t>，系统自动拦截并生成不予通过意见。</w:t>
            </w:r>
          </w:p>
        </w:tc>
      </w:tr>
    </w:tbl>
    <w:p w14:paraId="1E506A66">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2．审批赋码</w:t>
      </w:r>
    </w:p>
    <w:p w14:paraId="570A1C24">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审核通过后，系统对每项涉企督查检查调研考核任务生成唯一备案二维码，通过扫描二维码可查看该任务的备案号、有效期、检查人员姓名等，同时二维码支持下载功能，方便管理人员到企业现场后进行展示。</w:t>
      </w:r>
    </w:p>
    <w:p w14:paraId="6AECD7B2">
      <w:pPr>
        <w:keepNext/>
        <w:keepLines/>
        <w:spacing w:line="590" w:lineRule="exact"/>
        <w:ind w:firstLine="640" w:firstLineChars="200"/>
        <w:outlineLvl w:val="1"/>
        <w:rPr>
          <w:rFonts w:ascii="Times New Roman" w:hAnsi="Times New Roman" w:eastAsia="方正楷体_GBK" w:cs="Times New Roman"/>
          <w:sz w:val="32"/>
          <w:szCs w:val="22"/>
        </w:rPr>
      </w:pPr>
      <w:r>
        <w:rPr>
          <w:rFonts w:hint="eastAsia" w:ascii="Times New Roman" w:hAnsi="Times New Roman" w:eastAsia="方正楷体_GBK" w:cs="Times New Roman"/>
          <w:sz w:val="32"/>
          <w:szCs w:val="22"/>
        </w:rPr>
        <w:t>（三）检查反馈</w:t>
      </w:r>
    </w:p>
    <w:p w14:paraId="3D1DD600">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1．扫码核验</w:t>
      </w:r>
    </w:p>
    <w:p w14:paraId="3CA7A387">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检查人员赴企开展督查检查调研考核工作时，出示系统备案二维码，企业通过企业“环保脸谱”，对到访的检查人员进行扫码核实，通过扫描二维码可以查看该次到访的人员名称，具体事由，是否备案等信息，通过扫码确认后，可以正常开展企业的到访工作。如不符合</w:t>
      </w:r>
      <w:bookmarkStart w:id="0" w:name="_GoBack"/>
      <w:bookmarkEnd w:id="0"/>
      <w:r>
        <w:rPr>
          <w:rFonts w:hint="eastAsia" w:ascii="Times New Roman" w:hAnsi="Times New Roman" w:eastAsia="方正仿宋_GBK" w:cs="Times New Roman"/>
          <w:sz w:val="32"/>
          <w:szCs w:val="32"/>
        </w:rPr>
        <w:t>上述情况，企业可以进行在线反馈，有权拒绝检查人员到企进行检查。</w:t>
      </w:r>
    </w:p>
    <w:p w14:paraId="0639509B">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2．问题反馈</w:t>
      </w:r>
    </w:p>
    <w:p w14:paraId="0EEEE48F">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扫码页面设 “问题反馈” 入口，支持文字、图片、录音上传等功能，针对企业反馈的内容汇聚到省平台进行统一处理。</w:t>
      </w:r>
    </w:p>
    <w:p w14:paraId="13062A73">
      <w:pPr>
        <w:keepNext/>
        <w:keepLines/>
        <w:spacing w:line="590" w:lineRule="exact"/>
        <w:ind w:firstLine="640" w:firstLineChars="200"/>
        <w:outlineLvl w:val="1"/>
        <w:rPr>
          <w:rFonts w:ascii="Times New Roman" w:hAnsi="Times New Roman" w:eastAsia="方正楷体_GBK" w:cs="Times New Roman"/>
          <w:sz w:val="32"/>
          <w:szCs w:val="22"/>
        </w:rPr>
      </w:pPr>
      <w:r>
        <w:rPr>
          <w:rFonts w:hint="eastAsia" w:ascii="Times New Roman" w:hAnsi="Times New Roman" w:eastAsia="方正楷体_GBK" w:cs="Times New Roman"/>
          <w:sz w:val="32"/>
          <w:szCs w:val="22"/>
        </w:rPr>
        <w:t>（四）监测监督</w:t>
      </w:r>
    </w:p>
    <w:p w14:paraId="3E4AC5DF">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1．赴企态势</w:t>
      </w:r>
    </w:p>
    <w:p w14:paraId="33D09E2F">
      <w:pPr>
        <w:spacing w:line="590" w:lineRule="exact"/>
        <w:ind w:firstLine="640" w:firstLineChars="200"/>
        <w:rPr>
          <w:rFonts w:ascii="Times New Roman" w:hAnsi="Times New Roman" w:eastAsia="方正仿宋_GBK" w:cs="Times New Roman"/>
          <w:sz w:val="32"/>
          <w:szCs w:val="32"/>
        </w:rPr>
      </w:pPr>
      <w:r>
        <w:rPr>
          <w:rFonts w:hint="eastAsia" w:ascii="Times New Roman" w:hAnsi="Times New Roman" w:eastAsia="方正仿宋_GBK" w:cs="Times New Roman"/>
          <w:sz w:val="32"/>
          <w:szCs w:val="32"/>
        </w:rPr>
        <w:t>建立全省涉企检查调研等工作态势分析，结合GIS地图实现全省赴企现场检查调研工作的空间分布情况，根据不同的工作原由和类型用不同的颜色在地图上进行展示，并支持按照区域维度（十三个地市）、时间维度、任务维度、企业维度等进行数据统计汇总，多方展示涉企督查检查调研考核的变化趋势等，点击某家企业，可以查看该企业近期被现场到访的情况，包括时间、地点、人物、具体事项等信息。</w:t>
      </w:r>
    </w:p>
    <w:p w14:paraId="7AF301D5">
      <w:pPr>
        <w:keepNext/>
        <w:keepLines/>
        <w:spacing w:line="590" w:lineRule="exact"/>
        <w:ind w:firstLine="640" w:firstLineChars="200"/>
        <w:outlineLvl w:val="2"/>
        <w:rPr>
          <w:rFonts w:ascii="Times New Roman" w:hAnsi="Times New Roman" w:eastAsia="方正仿宋_GBK" w:cs="Times New Roman"/>
          <w:sz w:val="32"/>
          <w:szCs w:val="22"/>
        </w:rPr>
      </w:pPr>
      <w:r>
        <w:rPr>
          <w:rFonts w:hint="eastAsia" w:ascii="Times New Roman" w:hAnsi="Times New Roman" w:eastAsia="方正仿宋_GBK" w:cs="Times New Roman"/>
          <w:sz w:val="32"/>
          <w:szCs w:val="22"/>
        </w:rPr>
        <w:t>2．智能监督</w:t>
      </w:r>
    </w:p>
    <w:p w14:paraId="0E7A7730">
      <w:pPr>
        <w:spacing w:line="590" w:lineRule="exact"/>
        <w:ind w:firstLine="640" w:firstLineChars="200"/>
        <w:rPr>
          <w:rFonts w:ascii="Times New Roman" w:hAnsi="Times New Roman" w:eastAsia="方正黑体_GBK" w:cs="Times New Roman"/>
          <w:bCs/>
          <w:kern w:val="44"/>
          <w:sz w:val="32"/>
          <w:szCs w:val="44"/>
        </w:rPr>
      </w:pPr>
      <w:r>
        <w:rPr>
          <w:rFonts w:hint="eastAsia" w:ascii="Times New Roman" w:hAnsi="Times New Roman" w:eastAsia="方正仿宋_GBK" w:cs="Times New Roman"/>
          <w:sz w:val="32"/>
          <w:szCs w:val="32"/>
        </w:rPr>
        <w:t>建立全省涉企督查检查调研考核工作智能预警应用，显示可能出现违规频繁赴企的情况，通过不同的规则进行企业过度到访、企业集中到访、同行业同类型到访不均、企业评级优免到访等分析，辅助管理人员开展涉企检查调研等工作监测监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5D2C7C"/>
    <w:rsid w:val="00051A33"/>
    <w:rsid w:val="000615CD"/>
    <w:rsid w:val="000615EF"/>
    <w:rsid w:val="00063771"/>
    <w:rsid w:val="00063A42"/>
    <w:rsid w:val="000A64FA"/>
    <w:rsid w:val="000F3AE5"/>
    <w:rsid w:val="00121FB4"/>
    <w:rsid w:val="00151537"/>
    <w:rsid w:val="001A011C"/>
    <w:rsid w:val="001A0497"/>
    <w:rsid w:val="001A50AC"/>
    <w:rsid w:val="001D48E8"/>
    <w:rsid w:val="002215A4"/>
    <w:rsid w:val="00240ABA"/>
    <w:rsid w:val="002F2D4C"/>
    <w:rsid w:val="00312520"/>
    <w:rsid w:val="00336999"/>
    <w:rsid w:val="003B29DD"/>
    <w:rsid w:val="00407B2F"/>
    <w:rsid w:val="00437501"/>
    <w:rsid w:val="00442182"/>
    <w:rsid w:val="0049312D"/>
    <w:rsid w:val="004A1A87"/>
    <w:rsid w:val="00641DAF"/>
    <w:rsid w:val="006B12D1"/>
    <w:rsid w:val="006B6B6E"/>
    <w:rsid w:val="007E0EEA"/>
    <w:rsid w:val="007E3EBF"/>
    <w:rsid w:val="008F289B"/>
    <w:rsid w:val="009405D7"/>
    <w:rsid w:val="00972AA1"/>
    <w:rsid w:val="00973E9A"/>
    <w:rsid w:val="00980A16"/>
    <w:rsid w:val="0098415F"/>
    <w:rsid w:val="009914C4"/>
    <w:rsid w:val="009E678A"/>
    <w:rsid w:val="00A970D5"/>
    <w:rsid w:val="00AC2097"/>
    <w:rsid w:val="00AC70B5"/>
    <w:rsid w:val="00B2094B"/>
    <w:rsid w:val="00B64B13"/>
    <w:rsid w:val="00B93C34"/>
    <w:rsid w:val="00B94DA5"/>
    <w:rsid w:val="00BC7C51"/>
    <w:rsid w:val="00C02363"/>
    <w:rsid w:val="00C15A3C"/>
    <w:rsid w:val="00C220BD"/>
    <w:rsid w:val="00C34ACA"/>
    <w:rsid w:val="00C3706C"/>
    <w:rsid w:val="00C403D1"/>
    <w:rsid w:val="00C40B38"/>
    <w:rsid w:val="00C4364D"/>
    <w:rsid w:val="00CA072B"/>
    <w:rsid w:val="00CA33D9"/>
    <w:rsid w:val="00D22620"/>
    <w:rsid w:val="00D474F3"/>
    <w:rsid w:val="00D92E16"/>
    <w:rsid w:val="00D97241"/>
    <w:rsid w:val="00DF17B0"/>
    <w:rsid w:val="00E05502"/>
    <w:rsid w:val="00E3675F"/>
    <w:rsid w:val="00ED60ED"/>
    <w:rsid w:val="00F67B3C"/>
    <w:rsid w:val="00F87761"/>
    <w:rsid w:val="00FC15BA"/>
    <w:rsid w:val="00FE3955"/>
    <w:rsid w:val="00FE765B"/>
    <w:rsid w:val="183028D1"/>
    <w:rsid w:val="217F21D3"/>
    <w:rsid w:val="21E32E28"/>
    <w:rsid w:val="22FA2164"/>
    <w:rsid w:val="280D5256"/>
    <w:rsid w:val="2D8A43D9"/>
    <w:rsid w:val="35A510AD"/>
    <w:rsid w:val="3C4C58CA"/>
    <w:rsid w:val="3DE32B35"/>
    <w:rsid w:val="4A72284C"/>
    <w:rsid w:val="4D7D31BB"/>
    <w:rsid w:val="4D8B3D2A"/>
    <w:rsid w:val="554967A4"/>
    <w:rsid w:val="585D2C7C"/>
    <w:rsid w:val="62274663"/>
    <w:rsid w:val="62EC0F83"/>
    <w:rsid w:val="657F4273"/>
    <w:rsid w:val="7B62561B"/>
    <w:rsid w:val="7E9F26E2"/>
    <w:rsid w:val="7ED2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footer"/>
    <w:basedOn w:val="1"/>
    <w:link w:val="15"/>
    <w:qFormat/>
    <w:uiPriority w:val="0"/>
    <w:pPr>
      <w:tabs>
        <w:tab w:val="center" w:pos="4153"/>
        <w:tab w:val="right" w:pos="8306"/>
      </w:tabs>
      <w:snapToGrid w:val="0"/>
      <w:jc w:val="left"/>
    </w:pPr>
    <w:rPr>
      <w:sz w:val="18"/>
      <w:szCs w:val="18"/>
    </w:rPr>
  </w:style>
  <w:style w:type="paragraph" w:styleId="9">
    <w:name w:val="header"/>
    <w:basedOn w:val="1"/>
    <w:link w:val="14"/>
    <w:qFormat/>
    <w:uiPriority w:val="0"/>
    <w:pPr>
      <w:tabs>
        <w:tab w:val="center" w:pos="4153"/>
        <w:tab w:val="right" w:pos="8306"/>
      </w:tabs>
      <w:snapToGrid w:val="0"/>
      <w:jc w:val="center"/>
    </w:pPr>
    <w:rPr>
      <w:sz w:val="18"/>
      <w:szCs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customStyle="1" w:styleId="14">
    <w:name w:val="页眉 字符"/>
    <w:basedOn w:val="12"/>
    <w:link w:val="9"/>
    <w:qFormat/>
    <w:uiPriority w:val="0"/>
    <w:rPr>
      <w:rFonts w:asciiTheme="minorHAnsi" w:hAnsiTheme="minorHAnsi" w:eastAsiaTheme="minorEastAsia" w:cstheme="minorBidi"/>
      <w:kern w:val="2"/>
      <w:sz w:val="18"/>
      <w:szCs w:val="18"/>
    </w:rPr>
  </w:style>
  <w:style w:type="character" w:customStyle="1" w:styleId="15">
    <w:name w:val="页脚 字符"/>
    <w:basedOn w:val="12"/>
    <w:link w:val="8"/>
    <w:qFormat/>
    <w:uiPriority w:val="0"/>
    <w:rPr>
      <w:rFonts w:asciiTheme="minorHAnsi" w:hAnsiTheme="minorHAnsi" w:eastAsiaTheme="minorEastAsia" w:cstheme="minorBidi"/>
      <w:kern w:val="2"/>
      <w:sz w:val="18"/>
      <w:szCs w:val="18"/>
    </w:rPr>
  </w:style>
  <w:style w:type="paragraph" w:styleId="1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4398-431E-4C05-8CD0-8FE7ED089ADB}">
  <ds:schemaRefs/>
</ds:datastoreItem>
</file>

<file path=docProps/app.xml><?xml version="1.0" encoding="utf-8"?>
<Properties xmlns="http://schemas.openxmlformats.org/officeDocument/2006/extended-properties" xmlns:vt="http://schemas.openxmlformats.org/officeDocument/2006/docPropsVTypes">
  <Template>Normal</Template>
  <Pages>4</Pages>
  <Words>2904</Words>
  <Characters>2986</Characters>
  <Lines>22</Lines>
  <Paragraphs>6</Paragraphs>
  <TotalTime>428</TotalTime>
  <ScaleCrop>false</ScaleCrop>
  <LinksUpToDate>false</LinksUpToDate>
  <CharactersWithSpaces>3019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2025-04-20T11:28:00Z</dcterms:created>
  <dc:creator>chen</dc:creator>
  <cp:lastModifiedBy>钱冬明</cp:lastModifiedBy>
  <dcterms:modified xsi:type="dcterms:W3CDTF">2025-04-21T09:13:24Z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AF7E0FE3B1F34BA2B1B44083637A3D18_11</vt:lpwstr>
  </property>
  <property fmtid="{D5CDD505-2E9C-101B-9397-08002B2CF9AE}" pid="4" name="KSOTemplateDocerSaveRecord">
    <vt:lpwstr>eyJoZGlkIjoiMWRhZTkyM2EyOTcxYTRhNmM5ZWFhNWYwNDQ1YjE3YjgiLCJ1c2VySWQiOiIyMTE5NjMyNjEifQ==</vt:lpwstr>
  </property>
</Properties>
</file>