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bdr w:val="none" w:color="auto" w:sz="0" w:space="0"/>
          <w:lang w:eastAsia="zh-CN"/>
        </w:rPr>
        <w:t>刚投降没几年的</w:t>
      </w:r>
      <w:r>
        <w:rPr>
          <w:rFonts w:hint="eastAsia" w:ascii="微软雅黑" w:hAnsi="微软雅黑" w:eastAsia="微软雅黑" w:cs="微软雅黑"/>
          <w:b w:val="0"/>
          <w:i w:val="0"/>
          <w:caps w:val="0"/>
          <w:color w:val="333333"/>
          <w:spacing w:val="0"/>
          <w:sz w:val="15"/>
          <w:szCs w:val="15"/>
          <w:bdr w:val="none" w:color="auto" w:sz="0" w:space="0"/>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bdr w:val="none" w:color="auto" w:sz="0" w:space="0"/>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bdr w:val="none" w:color="auto" w:sz="0" w:space="0"/>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bdr w:val="none" w:color="auto" w:sz="0" w:space="0"/>
          <w:lang w:val="en-US" w:eastAsia="zh-CN"/>
        </w:rPr>
        <w:t>)</w:t>
      </w:r>
      <w:r>
        <w:rPr>
          <w:rFonts w:hint="eastAsia" w:ascii="微软雅黑" w:hAnsi="微软雅黑" w:eastAsia="微软雅黑" w:cs="微软雅黑"/>
          <w:b w:val="0"/>
          <w:i w:val="0"/>
          <w:caps w:val="0"/>
          <w:color w:val="333333"/>
          <w:spacing w:val="0"/>
          <w:sz w:val="15"/>
          <w:szCs w:val="15"/>
          <w:bdr w:val="none" w:color="auto" w:sz="0" w:space="0"/>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bdr w:val="none" w:color="auto" w:sz="0" w:space="0"/>
          <w:lang w:val="en-US" w:eastAsia="zh-CN"/>
        </w:rPr>
        <w:t>(被)</w:t>
      </w:r>
      <w:r>
        <w:rPr>
          <w:rFonts w:hint="eastAsia" w:ascii="微软雅黑" w:hAnsi="微软雅黑" w:eastAsia="微软雅黑" w:cs="微软雅黑"/>
          <w:b w:val="0"/>
          <w:i w:val="0"/>
          <w:caps w:val="0"/>
          <w:color w:val="333333"/>
          <w:spacing w:val="0"/>
          <w:sz w:val="15"/>
          <w:szCs w:val="15"/>
          <w:bdr w:val="none" w:color="auto" w:sz="0" w:space="0"/>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bdr w:val="none" w:color="auto" w:sz="0" w:space="0"/>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bdr w:val="none" w:color="auto" w:sz="0" w:space="0"/>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bdr w:val="none" w:color="auto" w:sz="0" w:space="0"/>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bdr w:val="none" w:color="auto" w:sz="0" w:space="0"/>
        </w:rPr>
      </w:pPr>
      <w:r>
        <w:rPr>
          <w:rFonts w:hint="eastAsia" w:ascii="微软雅黑" w:hAnsi="微软雅黑" w:eastAsia="微软雅黑" w:cs="微软雅黑"/>
          <w:b w:val="0"/>
          <w:i w:val="0"/>
          <w:caps w:val="0"/>
          <w:color w:val="333333"/>
          <w:spacing w:val="0"/>
          <w:sz w:val="15"/>
          <w:szCs w:val="15"/>
          <w:bdr w:val="none" w:color="auto" w:sz="0" w:space="0"/>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bdr w:val="none" w:color="auto" w:sz="0" w:space="0"/>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宋体" w:hAnsi="宋体" w:eastAsia="宋体" w:cs="宋体"/>
          <w:sz w:val="24"/>
          <w:szCs w:val="24"/>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5306B4A"/>
    <w:rsid w:val="2A584FB3"/>
    <w:rsid w:val="2D4D27DC"/>
    <w:rsid w:val="2DBD004A"/>
    <w:rsid w:val="2E4E3B89"/>
    <w:rsid w:val="371314DC"/>
    <w:rsid w:val="3CB17826"/>
    <w:rsid w:val="3CCD11F7"/>
    <w:rsid w:val="4301694C"/>
    <w:rsid w:val="54550DE6"/>
    <w:rsid w:val="57CF23D2"/>
    <w:rsid w:val="67F270BD"/>
    <w:rsid w:val="70425A55"/>
    <w:rsid w:val="70964DC0"/>
    <w:rsid w:val="74B72566"/>
    <w:rsid w:val="7D41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2017-11-20T03:36:26Z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