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14CA" w14:textId="77777777" w:rsidR="00862CCC" w:rsidRDefault="00862CCC" w:rsidP="00862CCC">
      <w:pPr>
        <w:autoSpaceDE w:val="0"/>
        <w:autoSpaceDN w:val="0"/>
        <w:adjustRightInd w:val="0"/>
        <w:jc w:val="center"/>
        <w:rPr>
          <w:rFonts w:ascii="SFBX1440" w:hAnsi="SFBX1440" w:cs="SFBX1440"/>
          <w:kern w:val="0"/>
          <w:sz w:val="29"/>
          <w:szCs w:val="29"/>
        </w:rPr>
      </w:pPr>
      <w:r>
        <w:rPr>
          <w:rFonts w:ascii="SFBX1440" w:hAnsi="SFBX1440" w:cs="SFBX1440"/>
          <w:kern w:val="0"/>
          <w:sz w:val="29"/>
          <w:szCs w:val="29"/>
        </w:rPr>
        <w:t>Deep Mixture of Experts via Shallow Embedding</w:t>
      </w:r>
    </w:p>
    <w:p w14:paraId="575A9F95" w14:textId="2582CAE4" w:rsidR="00965969" w:rsidRDefault="00862CCC" w:rsidP="00862CCC">
      <w:pPr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1 INTRODUCTION</w:t>
      </w:r>
    </w:p>
    <w:p w14:paraId="25AE4D32" w14:textId="3D829E78" w:rsidR="00862CCC" w:rsidRDefault="00862CCC" w:rsidP="00862CCC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In this paper, we explore the design of </w:t>
      </w:r>
      <w:r>
        <w:rPr>
          <w:rFonts w:ascii="SFTI1000" w:hAnsi="SFTI1000" w:cs="SFTI1000"/>
          <w:kern w:val="0"/>
          <w:sz w:val="20"/>
          <w:szCs w:val="20"/>
        </w:rPr>
        <w:t>deep mixture</w:t>
      </w:r>
      <w:r>
        <w:rPr>
          <w:rFonts w:ascii="SFTI1000" w:hAnsi="SFTI1000" w:cs="SFTI1000" w:hint="eastAsia"/>
          <w:kern w:val="0"/>
          <w:sz w:val="20"/>
          <w:szCs w:val="20"/>
        </w:rPr>
        <w:t xml:space="preserve"> </w:t>
      </w:r>
      <w:r>
        <w:rPr>
          <w:rFonts w:ascii="SFTI1000" w:hAnsi="SFTI1000" w:cs="SFTI1000"/>
          <w:kern w:val="0"/>
          <w:sz w:val="20"/>
          <w:szCs w:val="20"/>
        </w:rPr>
        <w:t xml:space="preserve">of </w:t>
      </w:r>
      <w:proofErr w:type="gramStart"/>
      <w:r>
        <w:rPr>
          <w:rFonts w:ascii="SFTI1000" w:hAnsi="SFTI1000" w:cs="SFTI1000"/>
          <w:kern w:val="0"/>
          <w:sz w:val="20"/>
          <w:szCs w:val="20"/>
        </w:rPr>
        <w:t>experts</w:t>
      </w:r>
      <w:proofErr w:type="gramEnd"/>
      <w:r>
        <w:rPr>
          <w:rFonts w:ascii="SFTI1000" w:hAnsi="SFTI1000" w:cs="SFTI1000"/>
          <w:kern w:val="0"/>
          <w:sz w:val="20"/>
          <w:szCs w:val="20"/>
        </w:rPr>
        <w:t xml:space="preserve"> models (</w:t>
      </w:r>
      <w:proofErr w:type="spellStart"/>
      <w:r>
        <w:rPr>
          <w:rFonts w:ascii="SFTI1000" w:hAnsi="SFTI1000" w:cs="SFTI1000"/>
          <w:kern w:val="0"/>
          <w:sz w:val="20"/>
          <w:szCs w:val="20"/>
        </w:rPr>
        <w:t>DeepMoEs</w:t>
      </w:r>
      <w:proofErr w:type="spellEnd"/>
      <w:r>
        <w:rPr>
          <w:rFonts w:ascii="SFTI1000" w:hAnsi="SFTI1000" w:cs="SFTI1000"/>
          <w:kern w:val="0"/>
          <w:sz w:val="20"/>
          <w:szCs w:val="20"/>
        </w:rPr>
        <w:t xml:space="preserve">) </w:t>
      </w:r>
      <w:r>
        <w:rPr>
          <w:rFonts w:ascii="SFRM1000" w:hAnsi="SFRM1000" w:cs="SFRM1000"/>
          <w:kern w:val="0"/>
          <w:sz w:val="20"/>
          <w:szCs w:val="20"/>
        </w:rPr>
        <w:t>that compose hundreds</w:t>
      </w:r>
      <w:r>
        <w:rPr>
          <w:rFonts w:ascii="SFTI1000" w:hAnsi="SFTI1000" w:cs="SFTI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of mixture of experts layers.</w:t>
      </w:r>
    </w:p>
    <w:p w14:paraId="05A5C656" w14:textId="3F7C2B16" w:rsidR="00862CCC" w:rsidRDefault="00862CCC" w:rsidP="00862CCC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Our contributions can be summarized as: (1) We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first propose a novel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design which allows</w:t>
      </w:r>
    </w:p>
    <w:p w14:paraId="4E1980FA" w14:textId="6D0D24D6" w:rsidR="00862CCC" w:rsidRDefault="00862CCC" w:rsidP="00862CCC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the network to dynamically select and execute part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of the network at inference. (2) We theoretically</w:t>
      </w:r>
    </w:p>
    <w:p w14:paraId="57064420" w14:textId="53CBEA0D" w:rsidR="00862CCC" w:rsidRDefault="00862CCC" w:rsidP="00862CCC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analyze that the proposed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design preserves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the expressive power of a standard convolutional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network with reduced computational cost. (3) We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further introduce two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variants that are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more accurate and efficient than the prior methods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on different benchmarks.</w:t>
      </w:r>
    </w:p>
    <w:p w14:paraId="50DECF9C" w14:textId="3E3C9AAF" w:rsidR="00862CCC" w:rsidRDefault="00CA7525" w:rsidP="00862CCC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2 RELATED WORK</w:t>
      </w:r>
    </w:p>
    <w:p w14:paraId="36070E41" w14:textId="54161E99" w:rsidR="00CA7525" w:rsidRDefault="00CA7525" w:rsidP="00862CCC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Mixture of experts</w:t>
      </w:r>
    </w:p>
    <w:p w14:paraId="6FA0A5C7" w14:textId="3B690A07" w:rsidR="00CA7525" w:rsidRDefault="00CA7525" w:rsidP="00862CCC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Conditional computation</w:t>
      </w:r>
    </w:p>
    <w:p w14:paraId="47B293BC" w14:textId="22C9212E" w:rsidR="00CA7525" w:rsidRDefault="00CA7525" w:rsidP="00862CCC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Dynamic channel pruning</w:t>
      </w:r>
    </w:p>
    <w:p w14:paraId="190AB136" w14:textId="1FFCD160" w:rsidR="00CA7525" w:rsidRDefault="00CA7525" w:rsidP="00862CCC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3 DEEP MIXTURE OF EXPERTS</w:t>
      </w:r>
    </w:p>
    <w:p w14:paraId="40F90EE4" w14:textId="1CBEDB96" w:rsidR="00CA7525" w:rsidRDefault="00CA7525" w:rsidP="00862CCC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3.1 MIXTURE OF EXPERTS</w:t>
      </w:r>
    </w:p>
    <w:p w14:paraId="60FACFFF" w14:textId="4C3539C8" w:rsidR="00CA7525" w:rsidRDefault="00CA7525" w:rsidP="00CA7525">
      <w:pPr>
        <w:autoSpaceDE w:val="0"/>
        <w:autoSpaceDN w:val="0"/>
        <w:adjustRightInd w:val="0"/>
        <w:jc w:val="center"/>
        <w:rPr>
          <w:rFonts w:ascii="SFRM1000" w:hAnsi="SFRM1000" w:cs="SFRM1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7CBA87" wp14:editId="050C841F">
            <wp:extent cx="381952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810D" w14:textId="0551F650" w:rsidR="00CA7525" w:rsidRDefault="00CA7525" w:rsidP="00CA7525">
      <w:pPr>
        <w:autoSpaceDE w:val="0"/>
        <w:autoSpaceDN w:val="0"/>
        <w:adjustRightInd w:val="0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3.2 DEEPMOE FORMULATION</w:t>
      </w:r>
    </w:p>
    <w:p w14:paraId="34630F97" w14:textId="5454F27C" w:rsidR="00CA7525" w:rsidRDefault="001B6DA9" w:rsidP="001B6DA9">
      <w:pPr>
        <w:autoSpaceDE w:val="0"/>
        <w:autoSpaceDN w:val="0"/>
        <w:adjustRightInd w:val="0"/>
        <w:jc w:val="center"/>
        <w:rPr>
          <w:rFonts w:ascii="SFRM1000" w:hAnsi="SFRM1000" w:cs="SFRM1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AA4AA88" wp14:editId="5A2EE6B1">
            <wp:extent cx="364807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653F" w14:textId="4E99FE82" w:rsidR="001B6DA9" w:rsidRDefault="001B6DA9" w:rsidP="001B6DA9">
      <w:pPr>
        <w:autoSpaceDE w:val="0"/>
        <w:autoSpaceDN w:val="0"/>
        <w:adjustRightInd w:val="0"/>
        <w:jc w:val="center"/>
        <w:rPr>
          <w:rFonts w:ascii="SFRM1000" w:hAnsi="SFRM1000" w:cs="SFRM1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4874DF6" wp14:editId="25C696F5">
            <wp:extent cx="3552825" cy="1076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A256" w14:textId="02497A05" w:rsidR="001B6DA9" w:rsidRDefault="001B6DA9" w:rsidP="001B6DA9">
      <w:pPr>
        <w:autoSpaceDE w:val="0"/>
        <w:autoSpaceDN w:val="0"/>
        <w:adjustRightInd w:val="0"/>
        <w:jc w:val="center"/>
        <w:rPr>
          <w:rFonts w:ascii="SFRM1000" w:hAnsi="SFRM1000" w:cs="SFRM1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A3439AD" wp14:editId="00957F83">
            <wp:extent cx="299085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B27C" w14:textId="142D294A" w:rsidR="001B6DA9" w:rsidRDefault="001B6DA9" w:rsidP="001B6DA9">
      <w:pPr>
        <w:autoSpaceDE w:val="0"/>
        <w:autoSpaceDN w:val="0"/>
        <w:adjustRightInd w:val="0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3.3 DEEPMOE ARCHITECTURE</w:t>
      </w:r>
    </w:p>
    <w:p w14:paraId="2395BDE6" w14:textId="1D730C37" w:rsidR="001B6DA9" w:rsidRDefault="001B6DA9" w:rsidP="001B6DA9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is composed of three components: a base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convolutional network, a shallow embedding </w:t>
      </w:r>
      <w:r>
        <w:rPr>
          <w:rFonts w:ascii="SFRM1000" w:hAnsi="SFRM1000" w:cs="SFRM1000"/>
          <w:kern w:val="0"/>
          <w:sz w:val="20"/>
          <w:szCs w:val="20"/>
        </w:rPr>
        <w:lastRenderedPageBreak/>
        <w:t>network,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and a multi-headed sparse gating network.</w:t>
      </w:r>
    </w:p>
    <w:p w14:paraId="61A855C6" w14:textId="5D9FF650" w:rsidR="006C5CF6" w:rsidRDefault="006C5CF6" w:rsidP="001B6DA9">
      <w:pPr>
        <w:autoSpaceDE w:val="0"/>
        <w:autoSpaceDN w:val="0"/>
        <w:adjustRightInd w:val="0"/>
        <w:jc w:val="left"/>
        <w:rPr>
          <w:rFonts w:ascii="SFRM1000" w:hAnsi="SFRM1000" w:cs="SFRM100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B93C51" wp14:editId="2064B9E5">
            <wp:extent cx="5274310" cy="3150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BD3B" w14:textId="177A7481" w:rsidR="001B6DA9" w:rsidRDefault="006C5CF6" w:rsidP="001B6DA9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3.4 DEEPMOE TRAINING</w:t>
      </w:r>
    </w:p>
    <w:p w14:paraId="4FD4454A" w14:textId="5BA12F60" w:rsidR="006C5CF6" w:rsidRDefault="006C5CF6" w:rsidP="006C5CF6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As with standard convolutional neural networks,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models can be trained end-to-end using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gradient based methods.</w:t>
      </w:r>
    </w:p>
    <w:p w14:paraId="51A350FD" w14:textId="2604D7E4" w:rsidR="006C5CF6" w:rsidRDefault="006C5CF6" w:rsidP="006C5CF6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The overall goals of the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are threefold: (1) achieve high prediction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accuracy, (2) lower computation costs, and (3) keep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the network highly expressive.</w:t>
      </w:r>
    </w:p>
    <w:p w14:paraId="22DB1494" w14:textId="607A4865" w:rsidR="006C5CF6" w:rsidRDefault="006C5CF6" w:rsidP="006C5CF6">
      <w:pPr>
        <w:autoSpaceDE w:val="0"/>
        <w:autoSpaceDN w:val="0"/>
        <w:adjustRightInd w:val="0"/>
        <w:jc w:val="center"/>
        <w:rPr>
          <w:rFonts w:ascii="SFRM1000" w:hAnsi="SFRM1000" w:cs="SFRM1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20AB3A6" wp14:editId="2F9ACB69">
            <wp:extent cx="33528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2EF2" w14:textId="760FEE0C" w:rsidR="006C5CF6" w:rsidRDefault="006C5CF6" w:rsidP="006C5CF6">
      <w:pPr>
        <w:autoSpaceDE w:val="0"/>
        <w:autoSpaceDN w:val="0"/>
        <w:adjustRightInd w:val="0"/>
        <w:jc w:val="center"/>
        <w:rPr>
          <w:rFonts w:ascii="SFRM1000" w:hAnsi="SFRM1000" w:cs="SFRM1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9D53C9D" wp14:editId="4483242F">
            <wp:extent cx="3914775" cy="2667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2D6E" w14:textId="1F65E004" w:rsidR="006C5CF6" w:rsidRDefault="00EE351A" w:rsidP="006C5CF6">
      <w:pPr>
        <w:autoSpaceDE w:val="0"/>
        <w:autoSpaceDN w:val="0"/>
        <w:adjustRightInd w:val="0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4 EXPRESSIVE POWER</w:t>
      </w:r>
    </w:p>
    <w:p w14:paraId="1C192073" w14:textId="6656B83D" w:rsidR="00530A00" w:rsidRDefault="00530A00" w:rsidP="00530A00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The expressive power of deep neural networks is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associated with both the width and the depth of the</w:t>
      </w:r>
    </w:p>
    <w:p w14:paraId="224FAAAF" w14:textId="62F392E3" w:rsidR="00EE351A" w:rsidRDefault="00530A00" w:rsidP="00530A00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network.</w:t>
      </w:r>
      <w:r>
        <w:rPr>
          <w:rFonts w:ascii="SFRM1000" w:hAnsi="SFRM1000" w:cs="SFRM1000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We define the expressive power of a convolutional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neural network as the ability to construct labeling to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differentiate input values.</w:t>
      </w:r>
    </w:p>
    <w:p w14:paraId="3556FB7D" w14:textId="32F6E908" w:rsidR="00530A00" w:rsidRDefault="00530A00" w:rsidP="00530A00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5 EXPERIMENTS</w:t>
      </w:r>
    </w:p>
    <w:p w14:paraId="4556B6D7" w14:textId="406E3A1E" w:rsidR="00530A00" w:rsidRDefault="00530A00" w:rsidP="00530A00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5.1 WIDE-DEEPMOE</w:t>
      </w:r>
    </w:p>
    <w:p w14:paraId="5FB879B9" w14:textId="64C05A88" w:rsidR="00530A00" w:rsidRDefault="00530A00" w:rsidP="00530A00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lastRenderedPageBreak/>
        <w:t>5.1.1 Improved Accuracy with Reduced</w:t>
      </w:r>
      <w:r>
        <w:rPr>
          <w:rFonts w:ascii="SFBX1000" w:hAnsi="SFBX1000" w:cs="SFBX1000" w:hint="eastAsia"/>
          <w:kern w:val="0"/>
          <w:sz w:val="20"/>
          <w:szCs w:val="20"/>
        </w:rPr>
        <w:t xml:space="preserve"> </w:t>
      </w:r>
      <w:r>
        <w:rPr>
          <w:rFonts w:ascii="SFBX1000" w:hAnsi="SFBX1000" w:cs="SFBX1000"/>
          <w:kern w:val="0"/>
          <w:sz w:val="20"/>
          <w:szCs w:val="20"/>
        </w:rPr>
        <w:t>Computation</w:t>
      </w:r>
    </w:p>
    <w:p w14:paraId="425DFBDB" w14:textId="056A2D60" w:rsidR="00530A00" w:rsidRDefault="00530A00" w:rsidP="00530A00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5.1.2 Memory Usage</w:t>
      </w:r>
    </w:p>
    <w:p w14:paraId="555B6516" w14:textId="22B4F3C8" w:rsidR="00530A00" w:rsidRDefault="00E07D68" w:rsidP="00E07D68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Another aspect to consider about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is its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memory footprint (proportional to the number of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parameters).</w:t>
      </w:r>
    </w:p>
    <w:p w14:paraId="12F8FC80" w14:textId="4C45B4C2" w:rsidR="00E07D68" w:rsidRDefault="00E07D68" w:rsidP="00E07D68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5.2 NARROW-DEEPMOE</w:t>
      </w:r>
    </w:p>
    <w:p w14:paraId="29346466" w14:textId="704B5177" w:rsidR="00E07D68" w:rsidRDefault="00E07D68" w:rsidP="00E07D68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In this section we compare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to current static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and dynamic channel pruning techniques. We show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that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</w:t>
      </w:r>
      <w:proofErr w:type="gramStart"/>
      <w:r>
        <w:rPr>
          <w:rFonts w:ascii="SFRM1000" w:hAnsi="SFRM1000" w:cs="SFRM1000"/>
          <w:kern w:val="0"/>
          <w:sz w:val="20"/>
          <w:szCs w:val="20"/>
        </w:rPr>
        <w:t>is able to</w:t>
      </w:r>
      <w:proofErr w:type="gramEnd"/>
      <w:r>
        <w:rPr>
          <w:rFonts w:ascii="SFRM1000" w:hAnsi="SFRM1000" w:cs="SFRM1000"/>
          <w:kern w:val="0"/>
          <w:sz w:val="20"/>
          <w:szCs w:val="20"/>
        </w:rPr>
        <w:t xml:space="preserve"> out-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preform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both dynamic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and static channel pruning techniques in prediction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accuracy while maintaining or reducing computational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costs.</w:t>
      </w:r>
    </w:p>
    <w:p w14:paraId="14812B35" w14:textId="00A43B82" w:rsidR="00E07D68" w:rsidRDefault="00E07D68" w:rsidP="00E07D68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5.2.1 Narrow-</w:t>
      </w:r>
      <w:proofErr w:type="spellStart"/>
      <w:r>
        <w:rPr>
          <w:rFonts w:ascii="SFBX1000" w:hAnsi="SFBX1000" w:cs="SFBX1000"/>
          <w:kern w:val="0"/>
          <w:sz w:val="20"/>
          <w:szCs w:val="20"/>
        </w:rPr>
        <w:t>DeepMoE</w:t>
      </w:r>
      <w:proofErr w:type="spellEnd"/>
      <w:r>
        <w:rPr>
          <w:rFonts w:ascii="SFBX1000" w:hAnsi="SFBX1000" w:cs="SFBX1000"/>
          <w:kern w:val="0"/>
          <w:sz w:val="20"/>
          <w:szCs w:val="20"/>
        </w:rPr>
        <w:t xml:space="preserve"> </w:t>
      </w:r>
      <w:r>
        <w:rPr>
          <w:rFonts w:ascii="SFBI1000" w:hAnsi="SFBI1000" w:cs="SFBI1000"/>
          <w:kern w:val="0"/>
          <w:sz w:val="20"/>
          <w:szCs w:val="20"/>
        </w:rPr>
        <w:t xml:space="preserve">vs </w:t>
      </w:r>
      <w:r>
        <w:rPr>
          <w:rFonts w:ascii="SFBX1000" w:hAnsi="SFBX1000" w:cs="SFBX1000"/>
          <w:kern w:val="0"/>
          <w:sz w:val="20"/>
          <w:szCs w:val="20"/>
        </w:rPr>
        <w:t>Dynamic</w:t>
      </w:r>
      <w:r>
        <w:rPr>
          <w:rFonts w:ascii="SFBX1000" w:hAnsi="SFBX1000" w:cs="SFBX1000" w:hint="eastAsia"/>
          <w:kern w:val="0"/>
          <w:sz w:val="20"/>
          <w:szCs w:val="20"/>
        </w:rPr>
        <w:t xml:space="preserve"> </w:t>
      </w:r>
      <w:r>
        <w:rPr>
          <w:rFonts w:ascii="SFBX1000" w:hAnsi="SFBX1000" w:cs="SFBX1000"/>
          <w:kern w:val="0"/>
          <w:sz w:val="20"/>
          <w:szCs w:val="20"/>
        </w:rPr>
        <w:t>Channel Pruning</w:t>
      </w:r>
    </w:p>
    <w:p w14:paraId="378B9BD4" w14:textId="1475413C" w:rsidR="00E07D68" w:rsidRDefault="00E07D68" w:rsidP="00E07D68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5.2.2 Narrow-</w:t>
      </w:r>
      <w:proofErr w:type="spellStart"/>
      <w:r>
        <w:rPr>
          <w:rFonts w:ascii="SFBX1000" w:hAnsi="SFBX1000" w:cs="SFBX1000"/>
          <w:kern w:val="0"/>
          <w:sz w:val="20"/>
          <w:szCs w:val="20"/>
        </w:rPr>
        <w:t>DeepMoE</w:t>
      </w:r>
      <w:proofErr w:type="spellEnd"/>
      <w:r>
        <w:rPr>
          <w:rFonts w:ascii="SFBX1000" w:hAnsi="SFBX1000" w:cs="SFBX1000"/>
          <w:kern w:val="0"/>
          <w:sz w:val="20"/>
          <w:szCs w:val="20"/>
        </w:rPr>
        <w:t xml:space="preserve"> </w:t>
      </w:r>
      <w:r>
        <w:rPr>
          <w:rFonts w:ascii="SFBI1000" w:hAnsi="SFBI1000" w:cs="SFBI1000"/>
          <w:kern w:val="0"/>
          <w:sz w:val="20"/>
          <w:szCs w:val="20"/>
        </w:rPr>
        <w:t xml:space="preserve">vs </w:t>
      </w:r>
      <w:r>
        <w:rPr>
          <w:rFonts w:ascii="SFBX1000" w:hAnsi="SFBX1000" w:cs="SFBX1000"/>
          <w:kern w:val="0"/>
          <w:sz w:val="20"/>
          <w:szCs w:val="20"/>
        </w:rPr>
        <w:t>Static Channel</w:t>
      </w:r>
      <w:r>
        <w:rPr>
          <w:rFonts w:ascii="SFBX1000" w:hAnsi="SFBX1000" w:cs="SFBX1000" w:hint="eastAsia"/>
          <w:kern w:val="0"/>
          <w:sz w:val="20"/>
          <w:szCs w:val="20"/>
        </w:rPr>
        <w:t xml:space="preserve"> </w:t>
      </w:r>
      <w:r>
        <w:rPr>
          <w:rFonts w:ascii="SFBX1000" w:hAnsi="SFBX1000" w:cs="SFBX1000"/>
          <w:kern w:val="0"/>
          <w:sz w:val="20"/>
          <w:szCs w:val="20"/>
        </w:rPr>
        <w:t>Pruning</w:t>
      </w:r>
    </w:p>
    <w:p w14:paraId="715456F6" w14:textId="0288D4EF" w:rsidR="00E07D68" w:rsidRDefault="00E07D68" w:rsidP="00E07D68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5.3 ANALYSIS</w:t>
      </w:r>
    </w:p>
    <w:p w14:paraId="565D8F0B" w14:textId="383AB7A7" w:rsidR="00E07D68" w:rsidRDefault="00E07D68" w:rsidP="00E07D68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5.3.1 Gating Behavior Analysis</w:t>
      </w:r>
    </w:p>
    <w:p w14:paraId="3FA44434" w14:textId="7E512613" w:rsidR="00E07D68" w:rsidRDefault="00E07D68" w:rsidP="00E07D68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 xml:space="preserve">5.3.2 Regularization Effect of </w:t>
      </w:r>
      <w:proofErr w:type="spellStart"/>
      <w:r>
        <w:rPr>
          <w:rFonts w:ascii="SFBX1000" w:hAnsi="SFBX1000" w:cs="SFBX1000"/>
          <w:kern w:val="0"/>
          <w:sz w:val="20"/>
          <w:szCs w:val="20"/>
        </w:rPr>
        <w:t>DeepMoE</w:t>
      </w:r>
      <w:proofErr w:type="spellEnd"/>
    </w:p>
    <w:p w14:paraId="0A2EAE27" w14:textId="1F307415" w:rsidR="00E07D68" w:rsidRDefault="00E07D68" w:rsidP="00E07D68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 xml:space="preserve">5.3.3 </w:t>
      </w:r>
      <w:proofErr w:type="spellStart"/>
      <w:r>
        <w:rPr>
          <w:rFonts w:ascii="SFBX1000" w:hAnsi="SFBX1000" w:cs="SFBX1000"/>
          <w:kern w:val="0"/>
          <w:sz w:val="20"/>
          <w:szCs w:val="20"/>
        </w:rPr>
        <w:t>DeepMoE</w:t>
      </w:r>
      <w:proofErr w:type="spellEnd"/>
      <w:r>
        <w:rPr>
          <w:rFonts w:ascii="SFBX1000" w:hAnsi="SFBX1000" w:cs="SFBX1000"/>
          <w:kern w:val="0"/>
          <w:sz w:val="20"/>
          <w:szCs w:val="20"/>
        </w:rPr>
        <w:t xml:space="preserve"> </w:t>
      </w:r>
      <w:r>
        <w:rPr>
          <w:rFonts w:ascii="SFBI1000" w:hAnsi="SFBI1000" w:cs="SFBI1000"/>
          <w:kern w:val="0"/>
          <w:sz w:val="20"/>
          <w:szCs w:val="20"/>
        </w:rPr>
        <w:t xml:space="preserve">vs </w:t>
      </w:r>
      <w:r>
        <w:rPr>
          <w:rFonts w:ascii="SFBX1000" w:hAnsi="SFBX1000" w:cs="SFBX1000"/>
          <w:kern w:val="0"/>
          <w:sz w:val="20"/>
          <w:szCs w:val="20"/>
        </w:rPr>
        <w:t xml:space="preserve">Single-Layer </w:t>
      </w:r>
      <w:proofErr w:type="spellStart"/>
      <w:r>
        <w:rPr>
          <w:rFonts w:ascii="SFBX1000" w:hAnsi="SFBX1000" w:cs="SFBX1000"/>
          <w:kern w:val="0"/>
          <w:sz w:val="20"/>
          <w:szCs w:val="20"/>
        </w:rPr>
        <w:t>MoE</w:t>
      </w:r>
      <w:proofErr w:type="spellEnd"/>
    </w:p>
    <w:p w14:paraId="20E1FDB5" w14:textId="03F7C6C1" w:rsidR="00E07D68" w:rsidRDefault="00E07D68" w:rsidP="00E07D68">
      <w:pPr>
        <w:autoSpaceDE w:val="0"/>
        <w:autoSpaceDN w:val="0"/>
        <w:adjustRightInd w:val="0"/>
        <w:jc w:val="left"/>
        <w:rPr>
          <w:rFonts w:ascii="SFBX1000" w:hAnsi="SFBX1000" w:cs="SFBX1000"/>
          <w:kern w:val="0"/>
          <w:sz w:val="20"/>
          <w:szCs w:val="20"/>
        </w:rPr>
      </w:pPr>
      <w:r>
        <w:rPr>
          <w:rFonts w:ascii="SFBX1000" w:hAnsi="SFBX1000" w:cs="SFBX1000"/>
          <w:kern w:val="0"/>
          <w:sz w:val="20"/>
          <w:szCs w:val="20"/>
        </w:rPr>
        <w:t>5.4 SEMANTIC SEGMENTATION</w:t>
      </w:r>
    </w:p>
    <w:p w14:paraId="237F91A8" w14:textId="7EBB853A" w:rsidR="00E109E2" w:rsidRDefault="00E109E2" w:rsidP="00E109E2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The hyper-parameter</w:t>
      </w:r>
      <w:r>
        <w:rPr>
          <w:rFonts w:ascii="SFRM1000" w:hAnsi="SFRM1000" w:cs="SFRM1000"/>
          <w:kern w:val="0"/>
          <w:sz w:val="20"/>
          <w:szCs w:val="20"/>
        </w:rPr>
        <w:t xml:space="preserve"> </w:t>
      </w:r>
      <w:r>
        <w:rPr>
          <w:rFonts w:ascii="SFRM1000" w:hAnsi="SFRM1000" w:cs="SFRM1000" w:hint="eastAsia"/>
          <w:kern w:val="0"/>
          <w:sz w:val="20"/>
          <w:szCs w:val="20"/>
        </w:rPr>
        <w:t>lambda</w:t>
      </w:r>
      <w:r>
        <w:rPr>
          <w:rFonts w:ascii="CMMI10" w:hAnsi="CMMI10" w:cs="CMMI10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can adjust the trade-offs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between computer efficiency and prediction accuracy.</w:t>
      </w:r>
    </w:p>
    <w:p w14:paraId="539089B1" w14:textId="5059E5C5" w:rsidR="00E07D68" w:rsidRDefault="00E109E2" w:rsidP="00E109E2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 xml:space="preserve">6 </w:t>
      </w:r>
      <w:proofErr w:type="gramStart"/>
      <w:r>
        <w:rPr>
          <w:rFonts w:ascii="SFBX1200" w:hAnsi="SFBX1200" w:cs="SFBX1200"/>
          <w:kern w:val="0"/>
          <w:sz w:val="24"/>
          <w:szCs w:val="24"/>
        </w:rPr>
        <w:t>CONCLUSION</w:t>
      </w:r>
      <w:proofErr w:type="gramEnd"/>
    </w:p>
    <w:p w14:paraId="23D0A370" w14:textId="60C4F467" w:rsidR="00E109E2" w:rsidRPr="00E109E2" w:rsidRDefault="00E109E2" w:rsidP="00E109E2">
      <w:pPr>
        <w:autoSpaceDE w:val="0"/>
        <w:autoSpaceDN w:val="0"/>
        <w:adjustRightInd w:val="0"/>
        <w:jc w:val="left"/>
        <w:rPr>
          <w:rFonts w:ascii="SFRM1000" w:hAnsi="SFRM1000" w:cs="SFRM1000" w:hint="eastAsia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In this work we introduced our design of deep mixture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of </w:t>
      </w:r>
      <w:proofErr w:type="gramStart"/>
      <w:r>
        <w:rPr>
          <w:rFonts w:ascii="SFRM1000" w:hAnsi="SFRM1000" w:cs="SFRM1000"/>
          <w:kern w:val="0"/>
          <w:sz w:val="20"/>
          <w:szCs w:val="20"/>
        </w:rPr>
        <w:t>experts</w:t>
      </w:r>
      <w:proofErr w:type="gramEnd"/>
      <w:r>
        <w:rPr>
          <w:rFonts w:ascii="SFRM1000" w:hAnsi="SFRM1000" w:cs="SFRM1000"/>
          <w:kern w:val="0"/>
          <w:sz w:val="20"/>
          <w:szCs w:val="20"/>
        </w:rPr>
        <w:t xml:space="preserve"> models, which produces a more accurate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and computationally inexpensive model for computer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vision applications. Our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architecture leverages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 shallow embedding network to construct latent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mixture weights, which is then used by sparse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multi-headed gating networks to select and re-weight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individual channels at each layer in the deep convolutional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network. This design in conjunction with a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novel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sparsifying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and diversifying loss enabled joint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differentiable training, addressing the key limitations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of existing mixture of experts approaches in deep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learning. We provided theoretical analysis on the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expressive power of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and proposed two design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variants. The extensive experimental evaluation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indicated that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DeepMoE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can reduce computation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and surpass accuracy over baseline convolutional networks,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as well as improving upon the residual network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result on the challenging ImageNet benchmark by a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full 1%. Through our analysis we were also able to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prove that our embedding and gating network </w:t>
      </w:r>
      <w:proofErr w:type="gramStart"/>
      <w:r>
        <w:rPr>
          <w:rFonts w:ascii="SFRM1000" w:hAnsi="SFRM1000" w:cs="SFRM1000"/>
          <w:kern w:val="0"/>
          <w:sz w:val="20"/>
          <w:szCs w:val="20"/>
        </w:rPr>
        <w:t>is able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to</w:t>
      </w:r>
      <w:proofErr w:type="gramEnd"/>
      <w:r>
        <w:rPr>
          <w:rFonts w:ascii="SFRM1000" w:hAnsi="SFRM1000" w:cs="SFRM1000"/>
          <w:kern w:val="0"/>
          <w:sz w:val="20"/>
          <w:szCs w:val="20"/>
        </w:rPr>
        <w:t xml:space="preserve"> resolve coarse grain class structure in the underlying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problem. This work shows promising results when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applied to semantic segmentation tasks, and could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be incredibly useful for various other problems.</w:t>
      </w:r>
      <w:bookmarkStart w:id="0" w:name="_GoBack"/>
      <w:bookmarkEnd w:id="0"/>
    </w:p>
    <w:sectPr w:rsidR="00E109E2" w:rsidRPr="00E10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60"/>
    <w:rsid w:val="001B6DA9"/>
    <w:rsid w:val="00530A00"/>
    <w:rsid w:val="006C5CF6"/>
    <w:rsid w:val="00862CCC"/>
    <w:rsid w:val="00965969"/>
    <w:rsid w:val="00A85160"/>
    <w:rsid w:val="00C34222"/>
    <w:rsid w:val="00CA7525"/>
    <w:rsid w:val="00E07D68"/>
    <w:rsid w:val="00E109E2"/>
    <w:rsid w:val="00E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C54D"/>
  <w15:chartTrackingRefBased/>
  <w15:docId w15:val="{759B7D9A-F067-4B30-8BEE-8590C57E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2019-06-06T19:19:00Z</dcterms:created>
  <dcterms:modified xsi:type="dcterms:W3CDTF">2019-06-07T14:38:00Z</dcterms:modified>
</cp:coreProperties>
</file>