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054A" w14:textId="3CA06BE0" w:rsidR="00C1791D" w:rsidRDefault="00C1791D" w:rsidP="00C1791D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Dropout: A Simple Way to Prevent Neural Networks from</w:t>
      </w:r>
      <w:r>
        <w:rPr>
          <w:rFonts w:ascii="CMBX12" w:hAnsi="CMBX12" w:cs="CMBX12" w:hint="eastAsia"/>
          <w:kern w:val="0"/>
          <w:sz w:val="29"/>
          <w:szCs w:val="29"/>
        </w:rPr>
        <w:t xml:space="preserve"> </w:t>
      </w:r>
      <w:r>
        <w:rPr>
          <w:rFonts w:ascii="CMBX12" w:hAnsi="CMBX12" w:cs="CMBX12"/>
          <w:kern w:val="0"/>
          <w:sz w:val="29"/>
          <w:szCs w:val="29"/>
        </w:rPr>
        <w:t>Over</w:t>
      </w:r>
      <w:r>
        <w:rPr>
          <w:rFonts w:ascii="CMBX12" w:hAnsi="CMBX12" w:cs="CMBX12" w:hint="eastAsia"/>
          <w:kern w:val="0"/>
          <w:sz w:val="29"/>
          <w:szCs w:val="29"/>
        </w:rPr>
        <w:t>fi</w:t>
      </w:r>
      <w:r>
        <w:rPr>
          <w:rFonts w:ascii="CMBX12" w:hAnsi="CMBX12" w:cs="CMBX12"/>
          <w:kern w:val="0"/>
          <w:sz w:val="29"/>
          <w:szCs w:val="29"/>
        </w:rPr>
        <w:t>tting</w:t>
      </w:r>
    </w:p>
    <w:p w14:paraId="71574604" w14:textId="01DF5422" w:rsidR="00C1791D" w:rsidRDefault="00C1791D">
      <w:pPr>
        <w:widowControl/>
        <w:jc w:val="left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4"/>
          <w:szCs w:val="24"/>
        </w:rPr>
        <w:t>1. Introduction</w:t>
      </w:r>
    </w:p>
    <w:p w14:paraId="13E46918" w14:textId="4F2F58FF" w:rsidR="00C34BBE" w:rsidRDefault="00C1791D" w:rsidP="00C1791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The term “dropout” refers to dropping out units (hidden and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visible) in a neural network. By dropping a unit out, we mean temporarily removing it from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the network, along with all its incoming and outgoing connections, as shown in Figure 1.</w:t>
      </w:r>
    </w:p>
    <w:p w14:paraId="66760434" w14:textId="6C135DD9" w:rsidR="00C1791D" w:rsidRDefault="00C1791D" w:rsidP="00C1791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C1791D"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068A5C45" wp14:editId="2DD1FE3E">
            <wp:extent cx="5274310" cy="2889405"/>
            <wp:effectExtent l="0" t="0" r="2540" b="6350"/>
            <wp:docPr id="1" name="图片 1" descr="C:\Users\ADMINI~1\AppData\Local\Temp\155054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054837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390E" w14:textId="091B22E2" w:rsidR="00C1791D" w:rsidRDefault="00C1791D" w:rsidP="00C1791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C1791D"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0D61B2ED" wp14:editId="4C663C10">
            <wp:extent cx="5274310" cy="2262708"/>
            <wp:effectExtent l="0" t="0" r="2540" b="4445"/>
            <wp:docPr id="2" name="图片 2" descr="C:\Users\ADMINI~1\AppData\Local\Temp\1550548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054856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EF3F" w14:textId="732938D6" w:rsidR="00C1791D" w:rsidRDefault="00C1791D" w:rsidP="00C1791D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2. Motivation</w:t>
      </w:r>
    </w:p>
    <w:p w14:paraId="0BA56C75" w14:textId="7A114452" w:rsidR="00C1791D" w:rsidRDefault="00C1791D" w:rsidP="00C1791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A closely related, but slightly di</w:t>
      </w:r>
      <w:r w:rsidR="003109C5">
        <w:rPr>
          <w:rFonts w:ascii="CMR10" w:hAnsi="CMR10" w:cs="CMR10"/>
          <w:kern w:val="0"/>
          <w:sz w:val="22"/>
        </w:rPr>
        <w:t>ff</w:t>
      </w:r>
      <w:r>
        <w:rPr>
          <w:rFonts w:ascii="CMR10" w:hAnsi="CMR10" w:cs="CMR10"/>
          <w:kern w:val="0"/>
          <w:sz w:val="22"/>
        </w:rPr>
        <w:t>erent motivation for dropout comes from thinking</w:t>
      </w:r>
    </w:p>
    <w:p w14:paraId="0F76600F" w14:textId="03770231" w:rsidR="00C1791D" w:rsidRDefault="00C1791D" w:rsidP="00C1791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about successful conspiracies.</w:t>
      </w:r>
    </w:p>
    <w:p w14:paraId="079BC3C8" w14:textId="59E64A01" w:rsidR="003109C5" w:rsidRDefault="003109C5" w:rsidP="00C1791D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3. Related Work</w:t>
      </w:r>
    </w:p>
    <w:p w14:paraId="37827A02" w14:textId="77777777" w:rsidR="003109C5" w:rsidRDefault="003109C5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Dropout can be interpreted as a way of regularizing a neural network by adding noise to</w:t>
      </w:r>
    </w:p>
    <w:p w14:paraId="72B1FB27" w14:textId="51D7A6EF" w:rsidR="003109C5" w:rsidRDefault="003109C5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its hidden units.</w:t>
      </w:r>
    </w:p>
    <w:p w14:paraId="4149D51D" w14:textId="77777777" w:rsidR="003109C5" w:rsidRDefault="003109C5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In dropout, we minimize the loss function stochastically under a noise distribution.</w:t>
      </w:r>
    </w:p>
    <w:p w14:paraId="592BFDE8" w14:textId="2F304DD7" w:rsidR="003109C5" w:rsidRDefault="003109C5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This can be seen as minimizing an expected loss function.</w:t>
      </w:r>
    </w:p>
    <w:p w14:paraId="6B26FBA8" w14:textId="2B2958B5" w:rsidR="003109C5" w:rsidRDefault="003109C5" w:rsidP="003109C5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4. Model Description</w:t>
      </w:r>
    </w:p>
    <w:p w14:paraId="6C3CD0C6" w14:textId="5B4A0311" w:rsidR="003109C5" w:rsidRDefault="003109C5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3109C5">
        <w:rPr>
          <w:rFonts w:ascii="CMR10" w:hAnsi="CMR10" w:cs="CMR10"/>
          <w:noProof/>
          <w:kern w:val="0"/>
          <w:sz w:val="22"/>
        </w:rPr>
        <w:lastRenderedPageBreak/>
        <w:drawing>
          <wp:inline distT="0" distB="0" distL="0" distR="0" wp14:anchorId="05B4CED2" wp14:editId="428AA0DC">
            <wp:extent cx="5274310" cy="3054023"/>
            <wp:effectExtent l="0" t="0" r="2540" b="0"/>
            <wp:docPr id="3" name="图片 3" descr="C:\Users\ADMINI~1\AppData\Local\Temp\15505493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054936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99A3" w14:textId="2C16450F" w:rsidR="003109C5" w:rsidRDefault="003109C5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3109C5"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6126B35C" wp14:editId="1FB98B00">
            <wp:extent cx="5274310" cy="4059766"/>
            <wp:effectExtent l="0" t="0" r="2540" b="0"/>
            <wp:docPr id="4" name="图片 4" descr="C:\Users\ADMINI~1\AppData\Local\Temp\15505493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054938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23EB" w14:textId="56293395" w:rsidR="003109C5" w:rsidRDefault="003109C5" w:rsidP="003109C5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5. Learning Dropout Nets</w:t>
      </w:r>
    </w:p>
    <w:p w14:paraId="05ACBDD0" w14:textId="2D837C5F" w:rsidR="003109C5" w:rsidRDefault="003109C5" w:rsidP="003109C5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2"/>
        </w:rPr>
      </w:pPr>
      <w:r>
        <w:rPr>
          <w:rFonts w:ascii="CMBX10" w:hAnsi="CMBX10" w:cs="CMBX10"/>
          <w:kern w:val="0"/>
          <w:sz w:val="22"/>
        </w:rPr>
        <w:t>5.1 Backpropagation</w:t>
      </w:r>
    </w:p>
    <w:p w14:paraId="2480DD0F" w14:textId="77777777" w:rsidR="001F34D8" w:rsidRDefault="001F34D8" w:rsidP="001F34D8">
      <w:pPr>
        <w:pStyle w:val="a5"/>
      </w:pPr>
      <w:r>
        <w:rPr>
          <w:rFonts w:ascii="CMR10" w:hAnsi="CMR10"/>
          <w:sz w:val="22"/>
          <w:szCs w:val="22"/>
        </w:rPr>
        <w:t xml:space="preserve">One particular form of regularization was found to be especially useful for dropout— constraining the norm of the incoming weight vector at each hidden unit to be upper bounded by a fixed constant </w:t>
      </w:r>
      <w:r>
        <w:rPr>
          <w:rFonts w:ascii="CMMI10" w:hAnsi="CMMI10"/>
          <w:sz w:val="22"/>
          <w:szCs w:val="22"/>
        </w:rPr>
        <w:t>c</w:t>
      </w:r>
      <w:r>
        <w:rPr>
          <w:rFonts w:ascii="CMR10" w:hAnsi="CMR10"/>
          <w:sz w:val="22"/>
          <w:szCs w:val="22"/>
        </w:rPr>
        <w:t xml:space="preserve">. </w:t>
      </w:r>
    </w:p>
    <w:p w14:paraId="4F5BDA96" w14:textId="77777777" w:rsidR="001F34D8" w:rsidRDefault="001F34D8" w:rsidP="001F34D8">
      <w:pPr>
        <w:pStyle w:val="a5"/>
      </w:pPr>
      <w:r>
        <w:rPr>
          <w:rFonts w:ascii="CMR10" w:hAnsi="CMR10"/>
          <w:sz w:val="22"/>
          <w:szCs w:val="22"/>
        </w:rPr>
        <w:lastRenderedPageBreak/>
        <w:t xml:space="preserve">This is also called max-norm regularization since it implies that the maximum value that the norm of any weight can take is </w:t>
      </w:r>
      <w:r>
        <w:rPr>
          <w:rFonts w:ascii="CMMI10" w:hAnsi="CMMI10"/>
          <w:sz w:val="22"/>
          <w:szCs w:val="22"/>
        </w:rPr>
        <w:t>c</w:t>
      </w:r>
      <w:r>
        <w:rPr>
          <w:rFonts w:ascii="CMR10" w:hAnsi="CMR10"/>
          <w:sz w:val="22"/>
          <w:szCs w:val="22"/>
        </w:rPr>
        <w:t xml:space="preserve">. </w:t>
      </w:r>
    </w:p>
    <w:p w14:paraId="464D1DA7" w14:textId="77777777" w:rsidR="001F34D8" w:rsidRDefault="001F34D8" w:rsidP="001F34D8">
      <w:pPr>
        <w:pStyle w:val="a5"/>
      </w:pPr>
      <w:r>
        <w:rPr>
          <w:rFonts w:ascii="CMR10" w:hAnsi="CMR10"/>
          <w:sz w:val="22"/>
          <w:szCs w:val="22"/>
        </w:rPr>
        <w:t xml:space="preserve">The constant </w:t>
      </w:r>
      <w:r>
        <w:rPr>
          <w:rFonts w:ascii="CMMI10" w:hAnsi="CMMI10"/>
          <w:sz w:val="22"/>
          <w:szCs w:val="22"/>
        </w:rPr>
        <w:t xml:space="preserve">c </w:t>
      </w:r>
      <w:r>
        <w:rPr>
          <w:rFonts w:ascii="CMR10" w:hAnsi="CMR10"/>
          <w:sz w:val="22"/>
          <w:szCs w:val="22"/>
        </w:rPr>
        <w:t xml:space="preserve">is a tunable hyperparameter, which is determined using a validation set. </w:t>
      </w:r>
    </w:p>
    <w:p w14:paraId="227B5BD7" w14:textId="77777777" w:rsidR="001F34D8" w:rsidRDefault="001F34D8" w:rsidP="001F34D8">
      <w:pPr>
        <w:pStyle w:val="a5"/>
      </w:pPr>
      <w:r>
        <w:rPr>
          <w:rFonts w:ascii="CMR10" w:hAnsi="CMR10"/>
          <w:sz w:val="22"/>
          <w:szCs w:val="22"/>
        </w:rPr>
        <w:t xml:space="preserve">A possible justification is that constraining weight vectors to lie inside a ball of fixed radius makes it possible to use a huge learning rate without the possibility of weights blowing up </w:t>
      </w:r>
    </w:p>
    <w:p w14:paraId="6637BE23" w14:textId="77777777" w:rsidR="000A4B99" w:rsidRDefault="000A4B99" w:rsidP="000A4B99">
      <w:pPr>
        <w:pStyle w:val="a5"/>
      </w:pPr>
      <w:r>
        <w:rPr>
          <w:rFonts w:ascii="CMBX10" w:hAnsi="CMBX10"/>
          <w:sz w:val="22"/>
          <w:szCs w:val="22"/>
        </w:rPr>
        <w:t xml:space="preserve">5.2 Unsupervised Pretraining </w:t>
      </w:r>
    </w:p>
    <w:p w14:paraId="58145ED0" w14:textId="77777777" w:rsidR="000A4B99" w:rsidRDefault="000A4B99" w:rsidP="000A4B99">
      <w:pPr>
        <w:pStyle w:val="a5"/>
      </w:pPr>
      <w:r>
        <w:rPr>
          <w:rFonts w:ascii="CMBX12" w:hAnsi="CMBX12"/>
        </w:rPr>
        <w:t xml:space="preserve">6. Experimental Results </w:t>
      </w:r>
    </w:p>
    <w:p w14:paraId="5AD34E91" w14:textId="24CE902F" w:rsidR="001F34D8" w:rsidRPr="001F34D8" w:rsidRDefault="000A4B99" w:rsidP="001F34D8">
      <w:pPr>
        <w:pStyle w:val="a5"/>
      </w:pPr>
      <w:r w:rsidRPr="000A4B99">
        <w:drawing>
          <wp:inline distT="0" distB="0" distL="0" distR="0" wp14:anchorId="237E0E7A" wp14:editId="1B981385">
            <wp:extent cx="5274310" cy="1553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E82A" w14:textId="77777777" w:rsidR="000A4B99" w:rsidRDefault="000A4B99" w:rsidP="000A4B99">
      <w:pPr>
        <w:pStyle w:val="a5"/>
      </w:pPr>
      <w:r>
        <w:rPr>
          <w:rFonts w:ascii="CMBX10" w:hAnsi="CMBX10"/>
          <w:sz w:val="22"/>
          <w:szCs w:val="22"/>
        </w:rPr>
        <w:t xml:space="preserve">6.1 Results on Image Data Sets </w:t>
      </w:r>
    </w:p>
    <w:p w14:paraId="23454557" w14:textId="77777777" w:rsidR="000A4B99" w:rsidRDefault="000A4B99" w:rsidP="000A4B99">
      <w:pPr>
        <w:pStyle w:val="a5"/>
      </w:pPr>
      <w:r>
        <w:rPr>
          <w:rFonts w:ascii="CMBX10" w:hAnsi="CMBX10"/>
          <w:sz w:val="22"/>
          <w:szCs w:val="22"/>
        </w:rPr>
        <w:t xml:space="preserve">6.2 Results on TIMIT </w:t>
      </w:r>
    </w:p>
    <w:p w14:paraId="72A04034" w14:textId="77777777" w:rsidR="000A4B99" w:rsidRDefault="000A4B99" w:rsidP="000A4B99">
      <w:pPr>
        <w:pStyle w:val="a5"/>
      </w:pPr>
      <w:r>
        <w:rPr>
          <w:rFonts w:ascii="CMBX10" w:hAnsi="CMBX10"/>
          <w:sz w:val="22"/>
          <w:szCs w:val="22"/>
        </w:rPr>
        <w:t xml:space="preserve">6.3 Results on a Text Data Set </w:t>
      </w:r>
    </w:p>
    <w:p w14:paraId="2550AB09" w14:textId="77777777" w:rsidR="000A4B99" w:rsidRDefault="000A4B99" w:rsidP="000A4B99">
      <w:pPr>
        <w:pStyle w:val="a5"/>
      </w:pPr>
      <w:r>
        <w:rPr>
          <w:rFonts w:ascii="CMBX10" w:hAnsi="CMBX10"/>
          <w:sz w:val="22"/>
          <w:szCs w:val="22"/>
        </w:rPr>
        <w:t xml:space="preserve">6.4 Comparison with Bayesian Neural Networks </w:t>
      </w:r>
    </w:p>
    <w:p w14:paraId="4C009DF5" w14:textId="77777777" w:rsidR="000A4B99" w:rsidRDefault="000A4B99" w:rsidP="000A4B99">
      <w:pPr>
        <w:pStyle w:val="a5"/>
      </w:pPr>
      <w:r>
        <w:rPr>
          <w:rFonts w:ascii="CMBX10" w:hAnsi="CMBX10"/>
          <w:sz w:val="22"/>
          <w:szCs w:val="22"/>
        </w:rPr>
        <w:t xml:space="preserve">6.5 Comparison with Standard </w:t>
      </w:r>
      <w:proofErr w:type="spellStart"/>
      <w:r>
        <w:rPr>
          <w:rFonts w:ascii="CMBX10" w:hAnsi="CMBX10"/>
          <w:sz w:val="22"/>
          <w:szCs w:val="22"/>
        </w:rPr>
        <w:t>Regularizers</w:t>
      </w:r>
      <w:proofErr w:type="spellEnd"/>
      <w:r>
        <w:rPr>
          <w:rFonts w:ascii="CMBX10" w:hAnsi="CMBX10"/>
          <w:sz w:val="22"/>
          <w:szCs w:val="22"/>
        </w:rPr>
        <w:t xml:space="preserve"> </w:t>
      </w:r>
    </w:p>
    <w:p w14:paraId="5C93B95E" w14:textId="77777777" w:rsidR="002A3393" w:rsidRDefault="002A3393" w:rsidP="002A3393">
      <w:pPr>
        <w:pStyle w:val="a5"/>
      </w:pPr>
      <w:r>
        <w:rPr>
          <w:rFonts w:ascii="CMBX12" w:hAnsi="CMBX12"/>
        </w:rPr>
        <w:t xml:space="preserve">7. Salient Features </w:t>
      </w:r>
    </w:p>
    <w:p w14:paraId="057835FC" w14:textId="77777777" w:rsidR="002A3393" w:rsidRDefault="002A3393" w:rsidP="002A3393">
      <w:pPr>
        <w:pStyle w:val="a5"/>
      </w:pPr>
      <w:r>
        <w:rPr>
          <w:rFonts w:ascii="CMBX10" w:hAnsi="CMBX10"/>
          <w:sz w:val="22"/>
          <w:szCs w:val="22"/>
        </w:rPr>
        <w:t xml:space="preserve">7.1 Effect on Features </w:t>
      </w:r>
    </w:p>
    <w:p w14:paraId="591ED17E" w14:textId="77777777" w:rsidR="002A3393" w:rsidRDefault="002A3393" w:rsidP="002A3393">
      <w:pPr>
        <w:pStyle w:val="a5"/>
      </w:pPr>
      <w:r>
        <w:rPr>
          <w:rFonts w:ascii="CMBX10" w:hAnsi="CMBX10"/>
          <w:sz w:val="22"/>
          <w:szCs w:val="22"/>
        </w:rPr>
        <w:t xml:space="preserve">7.2 Effect on Sparsity </w:t>
      </w:r>
    </w:p>
    <w:p w14:paraId="2EBBB10F" w14:textId="77777777" w:rsidR="002A3393" w:rsidRDefault="002A3393" w:rsidP="002A3393">
      <w:pPr>
        <w:pStyle w:val="a5"/>
      </w:pPr>
      <w:r>
        <w:rPr>
          <w:rFonts w:ascii="CMBX10" w:hAnsi="CMBX10"/>
          <w:sz w:val="22"/>
          <w:szCs w:val="22"/>
        </w:rPr>
        <w:t xml:space="preserve">7.3 Effect of Dropout Rate </w:t>
      </w:r>
    </w:p>
    <w:p w14:paraId="51683952" w14:textId="77777777" w:rsidR="002A3393" w:rsidRDefault="002A3393" w:rsidP="002A3393">
      <w:pPr>
        <w:pStyle w:val="a5"/>
      </w:pPr>
      <w:r>
        <w:rPr>
          <w:rFonts w:ascii="CMBX10" w:hAnsi="CMBX10"/>
          <w:sz w:val="22"/>
          <w:szCs w:val="22"/>
        </w:rPr>
        <w:t xml:space="preserve">7.4 Effect of Data Set Size </w:t>
      </w:r>
    </w:p>
    <w:p w14:paraId="3B244871" w14:textId="77777777" w:rsidR="002A3393" w:rsidRDefault="002A3393" w:rsidP="002A3393">
      <w:pPr>
        <w:pStyle w:val="a5"/>
      </w:pPr>
      <w:r>
        <w:rPr>
          <w:rFonts w:ascii="CMBX10" w:hAnsi="CMBX10"/>
          <w:sz w:val="22"/>
          <w:szCs w:val="22"/>
        </w:rPr>
        <w:t xml:space="preserve">7.5 Monte-Carlo Model Averaging vs. Weight Scaling </w:t>
      </w:r>
    </w:p>
    <w:p w14:paraId="1E911E2A" w14:textId="77777777" w:rsidR="002A3393" w:rsidRDefault="002A3393" w:rsidP="002A3393">
      <w:pPr>
        <w:pStyle w:val="a5"/>
      </w:pPr>
      <w:r>
        <w:rPr>
          <w:rFonts w:ascii="CMBX12" w:hAnsi="CMBX12"/>
        </w:rPr>
        <w:t xml:space="preserve">8. Dropout Restricted Boltzmann Machines </w:t>
      </w:r>
    </w:p>
    <w:p w14:paraId="52539F18" w14:textId="77777777" w:rsidR="002A3393" w:rsidRDefault="002A3393" w:rsidP="002A3393">
      <w:pPr>
        <w:pStyle w:val="a5"/>
      </w:pPr>
      <w:r>
        <w:rPr>
          <w:rFonts w:ascii="CMBX10" w:hAnsi="CMBX10"/>
          <w:sz w:val="22"/>
          <w:szCs w:val="22"/>
        </w:rPr>
        <w:t>8.1 Model Description</w:t>
      </w:r>
    </w:p>
    <w:p w14:paraId="28471ADC" w14:textId="70D9C608" w:rsidR="003109C5" w:rsidRDefault="002A3393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2A3393">
        <w:rPr>
          <w:rFonts w:ascii="CMR10" w:hAnsi="CMR10" w:cs="CMR10"/>
          <w:kern w:val="0"/>
          <w:sz w:val="22"/>
        </w:rPr>
        <w:lastRenderedPageBreak/>
        <w:drawing>
          <wp:inline distT="0" distB="0" distL="0" distR="0" wp14:anchorId="7C29A8B2" wp14:editId="6539AE1F">
            <wp:extent cx="51816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90E5" w14:textId="77777777" w:rsidR="002A3393" w:rsidRDefault="002A3393" w:rsidP="002A3393">
      <w:pPr>
        <w:pStyle w:val="a5"/>
      </w:pPr>
      <w:r>
        <w:rPr>
          <w:rFonts w:ascii="CMR10" w:hAnsi="CMR10"/>
          <w:sz w:val="22"/>
          <w:szCs w:val="22"/>
        </w:rPr>
        <w:t xml:space="preserve">Where </w:t>
      </w:r>
      <w:r>
        <w:rPr>
          <w:rFonts w:ascii="CMMI10" w:hAnsi="CMMI10"/>
          <w:sz w:val="22"/>
          <w:szCs w:val="22"/>
        </w:rPr>
        <w:t xml:space="preserve">θ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Y10" w:hAnsi="CMSY10"/>
          <w:sz w:val="22"/>
          <w:szCs w:val="22"/>
        </w:rPr>
        <w:t>{</w:t>
      </w:r>
      <w:r>
        <w:rPr>
          <w:rFonts w:ascii="CMMI10" w:hAnsi="CMMI10"/>
          <w:sz w:val="22"/>
          <w:szCs w:val="22"/>
        </w:rPr>
        <w:t xml:space="preserve">W, </w:t>
      </w:r>
      <w:r>
        <w:rPr>
          <w:rFonts w:ascii="CMBX10" w:hAnsi="CMBX10"/>
          <w:sz w:val="22"/>
          <w:szCs w:val="22"/>
        </w:rPr>
        <w:t>a</w:t>
      </w:r>
      <w:r>
        <w:rPr>
          <w:rFonts w:ascii="CMMI10" w:hAnsi="CMMI10"/>
          <w:sz w:val="22"/>
          <w:szCs w:val="22"/>
        </w:rPr>
        <w:t xml:space="preserve">, </w:t>
      </w:r>
      <w:r>
        <w:rPr>
          <w:rFonts w:ascii="CMBX10" w:hAnsi="CMBX10"/>
          <w:sz w:val="22"/>
          <w:szCs w:val="22"/>
        </w:rPr>
        <w:t>b</w:t>
      </w:r>
      <w:r>
        <w:rPr>
          <w:rFonts w:ascii="CMSY10" w:hAnsi="CMSY10"/>
          <w:sz w:val="22"/>
          <w:szCs w:val="22"/>
        </w:rPr>
        <w:t xml:space="preserve">} </w:t>
      </w:r>
      <w:r>
        <w:rPr>
          <w:rFonts w:ascii="CMR10" w:hAnsi="CMR10"/>
          <w:sz w:val="22"/>
          <w:szCs w:val="22"/>
        </w:rPr>
        <w:t xml:space="preserve">represents the model parameters and </w:t>
      </w:r>
      <w:r>
        <w:rPr>
          <w:rFonts w:ascii="CMSY10" w:hAnsi="CMSY10"/>
          <w:sz w:val="22"/>
          <w:szCs w:val="22"/>
        </w:rPr>
        <w:t xml:space="preserve">Z </w:t>
      </w:r>
      <w:r>
        <w:rPr>
          <w:rFonts w:ascii="CMR10" w:hAnsi="CMR10"/>
          <w:sz w:val="22"/>
          <w:szCs w:val="22"/>
        </w:rPr>
        <w:t xml:space="preserve">is the partition function. </w:t>
      </w:r>
    </w:p>
    <w:p w14:paraId="47A750CA" w14:textId="77777777" w:rsidR="002A3393" w:rsidRDefault="002A3393" w:rsidP="002A3393">
      <w:pPr>
        <w:pStyle w:val="a5"/>
      </w:pPr>
      <w:r>
        <w:rPr>
          <w:rFonts w:ascii="CMBX10" w:hAnsi="CMBX10"/>
          <w:sz w:val="22"/>
          <w:szCs w:val="22"/>
        </w:rPr>
        <w:t xml:space="preserve">8.2 Learning Dropout RBMs </w:t>
      </w:r>
    </w:p>
    <w:p w14:paraId="4E8EB67C" w14:textId="77777777" w:rsidR="002A3393" w:rsidRDefault="002A3393" w:rsidP="002A3393">
      <w:pPr>
        <w:pStyle w:val="a5"/>
      </w:pPr>
      <w:r>
        <w:rPr>
          <w:rFonts w:ascii="CMBX10" w:hAnsi="CMBX10"/>
          <w:sz w:val="22"/>
          <w:szCs w:val="22"/>
        </w:rPr>
        <w:t xml:space="preserve">8.3 Effect on Features </w:t>
      </w:r>
    </w:p>
    <w:p w14:paraId="44084B52" w14:textId="77777777" w:rsidR="00A84FD7" w:rsidRDefault="00A84FD7" w:rsidP="00A84FD7">
      <w:pPr>
        <w:pStyle w:val="a5"/>
      </w:pPr>
      <w:r>
        <w:rPr>
          <w:rFonts w:ascii="CMBX10" w:hAnsi="CMBX10"/>
          <w:sz w:val="22"/>
          <w:szCs w:val="22"/>
        </w:rPr>
        <w:t xml:space="preserve">8.4 Effect on Sparsity </w:t>
      </w:r>
    </w:p>
    <w:p w14:paraId="6AB6D8CF" w14:textId="77777777" w:rsidR="00A84FD7" w:rsidRDefault="00A84FD7" w:rsidP="00A84FD7">
      <w:pPr>
        <w:pStyle w:val="a5"/>
      </w:pPr>
      <w:r>
        <w:rPr>
          <w:rFonts w:ascii="CMBX12" w:hAnsi="CMBX12"/>
        </w:rPr>
        <w:t xml:space="preserve">9. Marginalizing Dropout </w:t>
      </w:r>
    </w:p>
    <w:p w14:paraId="5178C918" w14:textId="77777777" w:rsidR="00A84FD7" w:rsidRDefault="00A84FD7" w:rsidP="00A84FD7">
      <w:pPr>
        <w:pStyle w:val="a5"/>
      </w:pPr>
      <w:r>
        <w:rPr>
          <w:rFonts w:ascii="CMR10" w:hAnsi="CMR10"/>
          <w:sz w:val="22"/>
          <w:szCs w:val="22"/>
        </w:rPr>
        <w:t xml:space="preserve">Dropout can be seen as a way of adding noise to the states of hidden units in a neural network. </w:t>
      </w:r>
    </w:p>
    <w:p w14:paraId="5EDE921A" w14:textId="77777777" w:rsidR="00A84FD7" w:rsidRDefault="00A84FD7" w:rsidP="00A84FD7">
      <w:pPr>
        <w:pStyle w:val="a5"/>
      </w:pPr>
      <w:r>
        <w:rPr>
          <w:rFonts w:ascii="CMBX10" w:hAnsi="CMBX10"/>
          <w:sz w:val="22"/>
          <w:szCs w:val="22"/>
        </w:rPr>
        <w:t xml:space="preserve">9.1 Linear Regression </w:t>
      </w:r>
    </w:p>
    <w:p w14:paraId="6D8F1AE3" w14:textId="400ABEAD" w:rsidR="002A3393" w:rsidRDefault="00A84FD7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A84FD7">
        <w:rPr>
          <w:rFonts w:ascii="CMR10" w:hAnsi="CMR10" w:cs="CMR10"/>
          <w:kern w:val="0"/>
          <w:sz w:val="22"/>
        </w:rPr>
        <w:drawing>
          <wp:inline distT="0" distB="0" distL="0" distR="0" wp14:anchorId="142EBBB1" wp14:editId="03BB35C7">
            <wp:extent cx="5274310" cy="3470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D334" w14:textId="3858ED0B" w:rsidR="00A84FD7" w:rsidRDefault="00A84FD7" w:rsidP="003109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 w:rsidRPr="00A84FD7">
        <w:rPr>
          <w:rFonts w:ascii="CMR10" w:hAnsi="CMR10" w:cs="CMR10"/>
          <w:kern w:val="0"/>
          <w:sz w:val="22"/>
        </w:rPr>
        <w:drawing>
          <wp:inline distT="0" distB="0" distL="0" distR="0" wp14:anchorId="7519F0E5" wp14:editId="6217710D">
            <wp:extent cx="5274310" cy="12992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26FA" w14:textId="77777777" w:rsidR="00A84FD7" w:rsidRDefault="00A84FD7" w:rsidP="00A84FD7">
      <w:pPr>
        <w:pStyle w:val="a5"/>
      </w:pPr>
      <w:r>
        <w:rPr>
          <w:rFonts w:ascii="CMBX10" w:hAnsi="CMBX10"/>
          <w:sz w:val="22"/>
          <w:szCs w:val="22"/>
        </w:rPr>
        <w:lastRenderedPageBreak/>
        <w:t xml:space="preserve">9.2 Logistic Regression and Deep Networks </w:t>
      </w:r>
    </w:p>
    <w:p w14:paraId="3B4FB6AC" w14:textId="77777777" w:rsidR="00A84FD7" w:rsidRDefault="00A84FD7" w:rsidP="00A84FD7">
      <w:pPr>
        <w:pStyle w:val="a5"/>
      </w:pPr>
      <w:r>
        <w:rPr>
          <w:rFonts w:ascii="CMBX12" w:hAnsi="CMBX12"/>
        </w:rPr>
        <w:t xml:space="preserve">10. Multiplicative Gaussian Noise </w:t>
      </w:r>
    </w:p>
    <w:p w14:paraId="72302C90" w14:textId="77777777" w:rsidR="00A84FD7" w:rsidRDefault="00A84FD7" w:rsidP="00A84FD7">
      <w:pPr>
        <w:pStyle w:val="a5"/>
      </w:pPr>
      <w:r>
        <w:rPr>
          <w:rFonts w:ascii="CMR10" w:hAnsi="CMR10"/>
          <w:sz w:val="22"/>
          <w:szCs w:val="22"/>
        </w:rPr>
        <w:t xml:space="preserve">Dropout involves multiplying hidden activations by Bernoulli distributed random variables which take the value 1 with probability </w:t>
      </w:r>
      <w:r>
        <w:rPr>
          <w:rFonts w:ascii="CMMI10" w:hAnsi="CMMI10"/>
          <w:sz w:val="22"/>
          <w:szCs w:val="22"/>
        </w:rPr>
        <w:t xml:space="preserve">p </w:t>
      </w:r>
      <w:r>
        <w:rPr>
          <w:rFonts w:ascii="CMR10" w:hAnsi="CMR10"/>
          <w:sz w:val="22"/>
          <w:szCs w:val="22"/>
        </w:rPr>
        <w:t xml:space="preserve">and 0 otherwise. This idea can be generalized by multiplying the activations with random variables drawn from other distributions. We recently discovered that multiplying by a random variable drawn from </w:t>
      </w:r>
      <w:r>
        <w:rPr>
          <w:rFonts w:ascii="CMSY10" w:hAnsi="CMSY10"/>
          <w:sz w:val="22"/>
          <w:szCs w:val="22"/>
        </w:rPr>
        <w:t xml:space="preserve">N </w:t>
      </w:r>
      <w:r>
        <w:rPr>
          <w:rFonts w:ascii="CMR10" w:hAnsi="CMR10"/>
          <w:sz w:val="22"/>
          <w:szCs w:val="22"/>
        </w:rPr>
        <w:t>(1</w:t>
      </w:r>
      <w:r>
        <w:rPr>
          <w:rFonts w:ascii="CMMI10" w:hAnsi="CMMI10"/>
          <w:sz w:val="22"/>
          <w:szCs w:val="22"/>
        </w:rPr>
        <w:t xml:space="preserve">, </w:t>
      </w:r>
      <w:r>
        <w:rPr>
          <w:rFonts w:ascii="CMR10" w:hAnsi="CMR10"/>
          <w:sz w:val="22"/>
          <w:szCs w:val="22"/>
        </w:rPr>
        <w:t xml:space="preserve">1) works just as well, or perhaps better than using Bernoulli noise. This new form of dropout amounts to adding a Gaussian distributed random variable with zero mean and standard deviation equal to the activation of the unit. </w:t>
      </w:r>
    </w:p>
    <w:p w14:paraId="4A6F9DF5" w14:textId="5C10B396" w:rsidR="00A84FD7" w:rsidRDefault="00A84FD7" w:rsidP="00A84FD7">
      <w:pPr>
        <w:pStyle w:val="a5"/>
      </w:pPr>
      <w:r>
        <w:rPr>
          <w:rFonts w:ascii="CMR10" w:hAnsi="CMR10"/>
          <w:sz w:val="22"/>
          <w:szCs w:val="22"/>
        </w:rPr>
        <w:t xml:space="preserve">Therefore, dropout can be seen as multiplying </w:t>
      </w:r>
      <w:r>
        <w:rPr>
          <w:rFonts w:ascii="CMMI10" w:hAnsi="CMMI10"/>
          <w:sz w:val="22"/>
          <w:szCs w:val="22"/>
        </w:rPr>
        <w:t>h</w:t>
      </w:r>
      <w:proofErr w:type="spellStart"/>
      <w:r>
        <w:rPr>
          <w:rFonts w:ascii="CMMI8" w:hAnsi="CMMI8"/>
          <w:position w:val="-4"/>
          <w:sz w:val="16"/>
          <w:szCs w:val="16"/>
        </w:rPr>
        <w:t>i</w:t>
      </w:r>
      <w:proofErr w:type="spellEnd"/>
      <w:r>
        <w:rPr>
          <w:rFonts w:ascii="CMMI8" w:hAnsi="CMMI8"/>
          <w:position w:val="-4"/>
          <w:sz w:val="16"/>
          <w:szCs w:val="16"/>
        </w:rPr>
        <w:t xml:space="preserve"> </w:t>
      </w:r>
      <w:r>
        <w:rPr>
          <w:rFonts w:ascii="CMR10" w:hAnsi="CMR10"/>
          <w:sz w:val="22"/>
          <w:szCs w:val="22"/>
        </w:rPr>
        <w:t xml:space="preserve">by a Bernoulli random variable </w:t>
      </w:r>
      <w:r>
        <w:rPr>
          <w:rFonts w:ascii="CMMI10" w:hAnsi="CMMI10"/>
          <w:sz w:val="22"/>
          <w:szCs w:val="22"/>
        </w:rPr>
        <w:t>r</w:t>
      </w:r>
      <w:r>
        <w:rPr>
          <w:rFonts w:ascii="CMMI8" w:hAnsi="CMMI8"/>
          <w:position w:val="-4"/>
          <w:sz w:val="16"/>
          <w:szCs w:val="16"/>
        </w:rPr>
        <w:t xml:space="preserve">b </w:t>
      </w:r>
      <w:r>
        <w:rPr>
          <w:rFonts w:ascii="CMR10" w:hAnsi="CMR10"/>
          <w:sz w:val="22"/>
          <w:szCs w:val="22"/>
        </w:rPr>
        <w:t>that takes the value 1</w:t>
      </w:r>
      <w:r>
        <w:rPr>
          <w:rFonts w:ascii="CMMI10" w:hAnsi="CMMI10"/>
          <w:sz w:val="22"/>
          <w:szCs w:val="22"/>
        </w:rPr>
        <w:t xml:space="preserve">/p </w:t>
      </w:r>
      <w:r>
        <w:rPr>
          <w:rFonts w:ascii="CMR10" w:hAnsi="CMR10"/>
          <w:sz w:val="22"/>
          <w:szCs w:val="22"/>
        </w:rPr>
        <w:t xml:space="preserve">with probability </w:t>
      </w:r>
      <w:r>
        <w:rPr>
          <w:rFonts w:ascii="CMMI10" w:hAnsi="CMMI10"/>
          <w:sz w:val="22"/>
          <w:szCs w:val="22"/>
        </w:rPr>
        <w:t xml:space="preserve">p </w:t>
      </w:r>
      <w:r>
        <w:rPr>
          <w:rFonts w:ascii="CMR10" w:hAnsi="CMR10"/>
          <w:sz w:val="22"/>
          <w:szCs w:val="22"/>
        </w:rPr>
        <w:t xml:space="preserve">and 0 otherwise. </w:t>
      </w:r>
    </w:p>
    <w:p w14:paraId="18FA2F22" w14:textId="77777777" w:rsidR="00A84FD7" w:rsidRDefault="00A84FD7" w:rsidP="00A84FD7">
      <w:pPr>
        <w:pStyle w:val="a5"/>
      </w:pPr>
      <w:r>
        <w:rPr>
          <w:rFonts w:ascii="CMBX12" w:hAnsi="CMBX12"/>
        </w:rPr>
        <w:t xml:space="preserve">11. Conclusion </w:t>
      </w:r>
    </w:p>
    <w:p w14:paraId="794C767A" w14:textId="77777777" w:rsidR="00A84FD7" w:rsidRDefault="00A84FD7" w:rsidP="00A84FD7">
      <w:pPr>
        <w:pStyle w:val="a5"/>
      </w:pPr>
      <w:r>
        <w:rPr>
          <w:rFonts w:ascii="CMR10" w:hAnsi="CMR10"/>
          <w:sz w:val="22"/>
          <w:szCs w:val="22"/>
        </w:rPr>
        <w:t xml:space="preserve">Dropout is a technique for improving neural networks by reducing overfitting. </w:t>
      </w:r>
    </w:p>
    <w:p w14:paraId="11250B56" w14:textId="77777777" w:rsidR="00A84FD7" w:rsidRDefault="00A84FD7" w:rsidP="00A84FD7">
      <w:pPr>
        <w:pStyle w:val="a5"/>
      </w:pPr>
      <w:r>
        <w:rPr>
          <w:rFonts w:ascii="CMR10" w:hAnsi="CMR10"/>
          <w:sz w:val="22"/>
          <w:szCs w:val="22"/>
        </w:rPr>
        <w:t xml:space="preserve">One of the drawbacks of dropout is that it increases training time. </w:t>
      </w:r>
    </w:p>
    <w:p w14:paraId="468A995C" w14:textId="77777777" w:rsidR="00A84FD7" w:rsidRPr="00A84FD7" w:rsidRDefault="00A84FD7" w:rsidP="003109C5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</w:rPr>
      </w:pPr>
      <w:bookmarkStart w:id="0" w:name="_GoBack"/>
      <w:bookmarkEnd w:id="0"/>
    </w:p>
    <w:sectPr w:rsidR="00A84FD7" w:rsidRPr="00A8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E8"/>
    <w:rsid w:val="000A4B99"/>
    <w:rsid w:val="001148E8"/>
    <w:rsid w:val="001F34D8"/>
    <w:rsid w:val="002A3393"/>
    <w:rsid w:val="003109C5"/>
    <w:rsid w:val="00A84FD7"/>
    <w:rsid w:val="00C1791D"/>
    <w:rsid w:val="00C34BBE"/>
    <w:rsid w:val="00C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D00"/>
  <w15:chartTrackingRefBased/>
  <w15:docId w15:val="{FC5E8B65-5DBC-4B1E-AE7F-B1E6DB9F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4D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F34D8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3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4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2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2019-02-19T03:49:00Z</dcterms:created>
  <dcterms:modified xsi:type="dcterms:W3CDTF">2019-02-19T14:18:00Z</dcterms:modified>
</cp:coreProperties>
</file>