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36F" w:rsidRDefault="005D136F" w:rsidP="005D136F">
      <w:pPr>
        <w:pStyle w:val="a3"/>
      </w:pPr>
      <w:r>
        <w:rPr>
          <w:rFonts w:ascii="CMBX12" w:hAnsi="CMBX12"/>
          <w:sz w:val="28"/>
          <w:szCs w:val="28"/>
        </w:rPr>
        <w:t xml:space="preserve">On the importance of initialization and momentum in deep learning </w:t>
      </w:r>
    </w:p>
    <w:p w:rsidR="005D136F" w:rsidRPr="005D136F" w:rsidRDefault="005D136F" w:rsidP="005D136F">
      <w:pPr>
        <w:pStyle w:val="a3"/>
      </w:pPr>
      <w:r>
        <w:rPr>
          <w:rFonts w:ascii="CMBX12" w:hAnsi="CMBX12"/>
        </w:rPr>
        <w:t xml:space="preserve">1. Introduction </w:t>
      </w:r>
    </w:p>
    <w:p w:rsidR="005D136F" w:rsidRDefault="005D136F" w:rsidP="005D136F">
      <w:pPr>
        <w:pStyle w:val="a3"/>
      </w:pPr>
      <w:r>
        <w:rPr>
          <w:rFonts w:ascii="CMR10" w:hAnsi="CMR10"/>
          <w:sz w:val="20"/>
          <w:szCs w:val="20"/>
        </w:rPr>
        <w:t xml:space="preserve">In particular, we study the effectiveness of SGD when combined with well-chosen initialization schemes and various forms of momentum-based acceleration. </w:t>
      </w:r>
    </w:p>
    <w:p w:rsidR="005D136F" w:rsidRDefault="005D136F" w:rsidP="005D136F">
      <w:pPr>
        <w:pStyle w:val="a3"/>
      </w:pPr>
      <w:r>
        <w:rPr>
          <w:rFonts w:ascii="CMBX12" w:hAnsi="CMBX12"/>
        </w:rPr>
        <w:t xml:space="preserve">2. Momentum and </w:t>
      </w:r>
      <w:proofErr w:type="spellStart"/>
      <w:r>
        <w:rPr>
          <w:rFonts w:ascii="CMBX12" w:hAnsi="CMBX12"/>
        </w:rPr>
        <w:t>Nesterov’s</w:t>
      </w:r>
      <w:proofErr w:type="spellEnd"/>
      <w:r>
        <w:rPr>
          <w:rFonts w:ascii="CMBX12" w:hAnsi="CMBX12"/>
        </w:rPr>
        <w:t xml:space="preserve"> Accelerated Gradient </w:t>
      </w:r>
    </w:p>
    <w:p w:rsidR="005D136F" w:rsidRDefault="005D136F" w:rsidP="005D136F">
      <w:pPr>
        <w:pStyle w:val="a3"/>
        <w:rPr>
          <w:rFonts w:ascii="CMR10" w:hAnsi="CMR10" w:hint="eastAsia"/>
          <w:sz w:val="20"/>
          <w:szCs w:val="20"/>
        </w:rPr>
      </w:pPr>
      <w:r>
        <w:rPr>
          <w:rFonts w:ascii="CMR10" w:hAnsi="CMR10"/>
          <w:sz w:val="20"/>
          <w:szCs w:val="20"/>
        </w:rPr>
        <w:t>The momentum method, which we refer to as classical momentum (CM), is a technique for accelerating gradient descent that accumulates a velocity vector in directions of persistent reduction in the o</w:t>
      </w:r>
      <w:r>
        <w:rPr>
          <w:rFonts w:ascii="CMR10" w:hAnsi="CMR10" w:hint="eastAsia"/>
          <w:sz w:val="20"/>
          <w:szCs w:val="20"/>
        </w:rPr>
        <w:t>b</w:t>
      </w:r>
      <w:r>
        <w:rPr>
          <w:rFonts w:ascii="CMR10" w:hAnsi="CMR10"/>
          <w:sz w:val="20"/>
          <w:szCs w:val="20"/>
        </w:rPr>
        <w:t xml:space="preserve">jective across iterations. Given an objective function </w:t>
      </w:r>
      <w:r>
        <w:rPr>
          <w:rFonts w:ascii="CMMI10" w:hAnsi="CMMI10"/>
          <w:sz w:val="20"/>
          <w:szCs w:val="20"/>
        </w:rPr>
        <w:t>f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θ</w:t>
      </w:r>
      <w:r>
        <w:rPr>
          <w:rFonts w:ascii="CMR10" w:hAnsi="CMR10"/>
          <w:sz w:val="20"/>
          <w:szCs w:val="20"/>
        </w:rPr>
        <w:t>) to be minimized, classical momentum is given by:</w:t>
      </w:r>
    </w:p>
    <w:p w:rsidR="005D136F" w:rsidRDefault="005D136F" w:rsidP="005D136F">
      <w:pPr>
        <w:pStyle w:val="a3"/>
      </w:pPr>
      <w:r>
        <w:rPr>
          <w:rFonts w:ascii="CMR10" w:hAnsi="CMR10"/>
          <w:sz w:val="20"/>
          <w:szCs w:val="20"/>
        </w:rPr>
        <w:tab/>
      </w:r>
      <w:r w:rsidRPr="005D136F">
        <w:rPr>
          <w:rFonts w:ascii="CMR10" w:hAnsi="CMR10"/>
          <w:noProof/>
          <w:sz w:val="20"/>
          <w:szCs w:val="20"/>
        </w:rPr>
        <w:drawing>
          <wp:inline distT="0" distB="0" distL="0" distR="0" wp14:anchorId="4B1624E0" wp14:editId="067701EB">
            <wp:extent cx="426720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hAnsi="CMR10"/>
          <w:sz w:val="20"/>
          <w:szCs w:val="20"/>
        </w:rPr>
        <w:t xml:space="preserve"> </w:t>
      </w:r>
    </w:p>
    <w:p w:rsidR="005D136F" w:rsidRDefault="005D136F" w:rsidP="005D136F">
      <w:pPr>
        <w:pStyle w:val="a3"/>
      </w:pPr>
      <w:r>
        <w:rPr>
          <w:rFonts w:ascii="CMR10" w:hAnsi="CMR10"/>
          <w:sz w:val="20"/>
          <w:szCs w:val="20"/>
        </w:rPr>
        <w:t xml:space="preserve">where </w:t>
      </w:r>
      <w:r>
        <w:rPr>
          <w:rFonts w:ascii="CMMI10" w:hAnsi="CMMI10"/>
          <w:sz w:val="20"/>
          <w:szCs w:val="20"/>
        </w:rPr>
        <w:t xml:space="preserve">ε &gt; </w:t>
      </w:r>
      <w:r>
        <w:rPr>
          <w:rFonts w:ascii="CMR10" w:hAnsi="CMR10"/>
          <w:sz w:val="20"/>
          <w:szCs w:val="20"/>
        </w:rPr>
        <w:t xml:space="preserve">0 is the learning rate, </w:t>
      </w:r>
      <w:r>
        <w:rPr>
          <w:rFonts w:ascii="CMMI10" w:hAnsi="CMMI10"/>
          <w:sz w:val="20"/>
          <w:szCs w:val="20"/>
        </w:rPr>
        <w:t xml:space="preserve">μ </w:t>
      </w:r>
      <w:r>
        <w:rPr>
          <w:rFonts w:ascii="CMSY10" w:hAnsi="CMSY10"/>
          <w:sz w:val="20"/>
          <w:szCs w:val="20"/>
        </w:rPr>
        <w:t xml:space="preserve">∈ </w:t>
      </w:r>
      <w:r>
        <w:rPr>
          <w:rFonts w:ascii="CMR10" w:hAnsi="CMR10"/>
          <w:sz w:val="20"/>
          <w:szCs w:val="20"/>
        </w:rPr>
        <w:t>[0</w:t>
      </w:r>
      <w:r>
        <w:rPr>
          <w:rFonts w:ascii="CMMI10" w:hAnsi="CMMI10"/>
          <w:sz w:val="20"/>
          <w:szCs w:val="20"/>
        </w:rPr>
        <w:t>,</w:t>
      </w:r>
      <w:r>
        <w:rPr>
          <w:rFonts w:ascii="CMR10" w:hAnsi="CMR10"/>
          <w:sz w:val="20"/>
          <w:szCs w:val="20"/>
        </w:rPr>
        <w:t xml:space="preserve">1] is the momentum coefficient, and </w:t>
      </w:r>
      <w:r>
        <w:rPr>
          <w:rFonts w:ascii="Cambria Math" w:hAnsi="Cambria Math" w:cs="Cambria Math"/>
          <w:sz w:val="20"/>
          <w:szCs w:val="20"/>
        </w:rPr>
        <w:t>∇</w:t>
      </w:r>
      <w:r>
        <w:rPr>
          <w:rFonts w:ascii="CMMI10" w:hAnsi="CMMI10"/>
          <w:sz w:val="20"/>
          <w:szCs w:val="20"/>
        </w:rPr>
        <w:t>f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θ</w:t>
      </w:r>
      <w:r>
        <w:rPr>
          <w:rFonts w:ascii="CMMI7" w:hAnsi="CMMI7"/>
          <w:position w:val="-2"/>
          <w:sz w:val="14"/>
          <w:szCs w:val="14"/>
        </w:rPr>
        <w:t>t</w:t>
      </w:r>
      <w:r>
        <w:rPr>
          <w:rFonts w:ascii="CMR10" w:hAnsi="CMR10"/>
          <w:sz w:val="20"/>
          <w:szCs w:val="20"/>
        </w:rPr>
        <w:t xml:space="preserve">) is the gradient at </w:t>
      </w:r>
      <w:r>
        <w:rPr>
          <w:rFonts w:ascii="CMMI10" w:hAnsi="CMMI10"/>
          <w:sz w:val="20"/>
          <w:szCs w:val="20"/>
        </w:rPr>
        <w:t>θ</w:t>
      </w:r>
      <w:r>
        <w:rPr>
          <w:rFonts w:ascii="CMMI7" w:hAnsi="CMMI7"/>
          <w:position w:val="-2"/>
          <w:sz w:val="14"/>
          <w:szCs w:val="14"/>
        </w:rPr>
        <w:t>t</w:t>
      </w:r>
      <w:r>
        <w:rPr>
          <w:rFonts w:ascii="CMR10" w:hAnsi="CMR10"/>
          <w:sz w:val="20"/>
          <w:szCs w:val="20"/>
        </w:rPr>
        <w:t xml:space="preserve">. </w:t>
      </w:r>
    </w:p>
    <w:p w:rsidR="005F5A44" w:rsidRDefault="005D136F" w:rsidP="005F5A44">
      <w:pPr>
        <w:pStyle w:val="a3"/>
      </w:pPr>
      <w:r>
        <w:rPr>
          <w:rFonts w:ascii="CMR10" w:hAnsi="CMR10"/>
          <w:sz w:val="20"/>
          <w:szCs w:val="20"/>
        </w:rPr>
        <w:t xml:space="preserve">Like momentum, NAG is a first-order optimization method with better convergence rate guarantee than gradient descent in </w:t>
      </w:r>
      <w:r w:rsidR="001B2F14">
        <w:rPr>
          <w:rFonts w:ascii="CMR10" w:hAnsi="CMR10"/>
          <w:sz w:val="20"/>
          <w:szCs w:val="20"/>
        </w:rPr>
        <w:t>certain situations</w:t>
      </w:r>
      <w:r w:rsidR="005F5A44">
        <w:rPr>
          <w:rFonts w:ascii="CMR10" w:hAnsi="CMR10" w:hint="eastAsia"/>
          <w:sz w:val="20"/>
          <w:szCs w:val="20"/>
        </w:rPr>
        <w:t>.</w:t>
      </w:r>
    </w:p>
    <w:p w:rsidR="005D136F" w:rsidRDefault="001B2F14" w:rsidP="005F5A44">
      <w:pPr>
        <w:pStyle w:val="a3"/>
      </w:pPr>
      <w:r>
        <w:rPr>
          <w:rFonts w:ascii="CMR10" w:hAnsi="CMR10"/>
          <w:sz w:val="20"/>
          <w:szCs w:val="20"/>
        </w:rPr>
        <w:lastRenderedPageBreak/>
        <w:t xml:space="preserve">The NAG update may be rewritten as: </w:t>
      </w:r>
      <w:r w:rsidRPr="001B2F14">
        <w:rPr>
          <w:noProof/>
        </w:rPr>
        <w:drawing>
          <wp:inline distT="0" distB="0" distL="0" distR="0" wp14:anchorId="2D0C24BF" wp14:editId="5097EE7E">
            <wp:extent cx="4406900" cy="66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F14">
        <w:rPr>
          <w:noProof/>
        </w:rPr>
        <w:drawing>
          <wp:inline distT="0" distB="0" distL="0" distR="0" wp14:anchorId="0CBA4624" wp14:editId="75652BF7">
            <wp:extent cx="5270500" cy="3181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F14" w:rsidRDefault="001B2F14" w:rsidP="001B2F14">
      <w:pPr>
        <w:pStyle w:val="a3"/>
      </w:pPr>
      <w:r>
        <w:rPr>
          <w:rFonts w:ascii="CMBX10" w:hAnsi="CMBX10"/>
          <w:sz w:val="20"/>
          <w:szCs w:val="20"/>
        </w:rPr>
        <w:t xml:space="preserve">2.1. The Relationship between CM and NAG </w:t>
      </w:r>
    </w:p>
    <w:p w:rsidR="001B2F14" w:rsidRDefault="001B2F14" w:rsidP="001B2F14">
      <w:pPr>
        <w:pStyle w:val="a3"/>
      </w:pPr>
      <w:r>
        <w:rPr>
          <w:rFonts w:ascii="CMR10" w:hAnsi="CMR10"/>
          <w:sz w:val="20"/>
          <w:szCs w:val="20"/>
        </w:rPr>
        <w:t xml:space="preserve">While CM computes the gradient update from the current position </w:t>
      </w:r>
      <w:r>
        <w:rPr>
          <w:rFonts w:ascii="CMMI10" w:hAnsi="CMMI10"/>
          <w:sz w:val="20"/>
          <w:szCs w:val="20"/>
        </w:rPr>
        <w:t>θ</w:t>
      </w:r>
      <w:r>
        <w:rPr>
          <w:rFonts w:ascii="CMMI7" w:hAnsi="CMMI7"/>
          <w:position w:val="-2"/>
          <w:sz w:val="14"/>
          <w:szCs w:val="14"/>
        </w:rPr>
        <w:t>t</w:t>
      </w:r>
      <w:r>
        <w:rPr>
          <w:rFonts w:ascii="CMR10" w:hAnsi="CMR10"/>
          <w:sz w:val="20"/>
          <w:szCs w:val="20"/>
        </w:rPr>
        <w:t xml:space="preserve">, NAG first performs a partial update to </w:t>
      </w:r>
      <w:r>
        <w:rPr>
          <w:rFonts w:ascii="CMMI10" w:hAnsi="CMMI10"/>
          <w:sz w:val="20"/>
          <w:szCs w:val="20"/>
        </w:rPr>
        <w:t>θ</w:t>
      </w:r>
      <w:r>
        <w:rPr>
          <w:rFonts w:ascii="CMMI7" w:hAnsi="CMMI7"/>
          <w:position w:val="-2"/>
          <w:sz w:val="14"/>
          <w:szCs w:val="14"/>
        </w:rPr>
        <w:t>t</w:t>
      </w:r>
      <w:r>
        <w:rPr>
          <w:rFonts w:ascii="CMR10" w:hAnsi="CMR10"/>
          <w:sz w:val="20"/>
          <w:szCs w:val="20"/>
        </w:rPr>
        <w:t xml:space="preserve">, computing </w:t>
      </w:r>
      <w:r>
        <w:rPr>
          <w:rFonts w:ascii="CMMI10" w:hAnsi="CMMI10"/>
          <w:sz w:val="20"/>
          <w:szCs w:val="20"/>
        </w:rPr>
        <w:t>θ</w:t>
      </w:r>
      <w:r>
        <w:rPr>
          <w:rFonts w:ascii="CMMI7" w:hAnsi="CMMI7"/>
          <w:position w:val="-2"/>
          <w:sz w:val="14"/>
          <w:szCs w:val="14"/>
        </w:rPr>
        <w:t xml:space="preserve">t </w:t>
      </w:r>
      <w:r>
        <w:rPr>
          <w:rFonts w:ascii="CMR10" w:hAnsi="CMR10"/>
          <w:sz w:val="20"/>
          <w:szCs w:val="20"/>
        </w:rPr>
        <w:t xml:space="preserve">+ </w:t>
      </w:r>
      <w:proofErr w:type="spellStart"/>
      <w:r>
        <w:rPr>
          <w:rFonts w:ascii="CMMI10" w:hAnsi="CMMI10"/>
          <w:sz w:val="20"/>
          <w:szCs w:val="20"/>
        </w:rPr>
        <w:t>μv</w:t>
      </w:r>
      <w:proofErr w:type="spellEnd"/>
      <w:r>
        <w:rPr>
          <w:rFonts w:ascii="CMMI7" w:hAnsi="CMMI7"/>
          <w:position w:val="-2"/>
          <w:sz w:val="14"/>
          <w:szCs w:val="14"/>
        </w:rPr>
        <w:t>t</w:t>
      </w:r>
      <w:r>
        <w:rPr>
          <w:rFonts w:ascii="CMR10" w:hAnsi="CMR10"/>
          <w:sz w:val="20"/>
          <w:szCs w:val="20"/>
        </w:rPr>
        <w:t xml:space="preserve">, which is similar to </w:t>
      </w:r>
      <w:r>
        <w:rPr>
          <w:rFonts w:ascii="CMMI10" w:hAnsi="CMMI10"/>
          <w:sz w:val="20"/>
          <w:szCs w:val="20"/>
        </w:rPr>
        <w:t>θ</w:t>
      </w:r>
      <w:r>
        <w:rPr>
          <w:rFonts w:ascii="CMMI7" w:hAnsi="CMMI7"/>
          <w:position w:val="-2"/>
          <w:sz w:val="14"/>
          <w:szCs w:val="14"/>
        </w:rPr>
        <w:t>t</w:t>
      </w:r>
      <w:r>
        <w:rPr>
          <w:rFonts w:ascii="CMR7" w:hAnsi="CMR7"/>
          <w:position w:val="-2"/>
          <w:sz w:val="14"/>
          <w:szCs w:val="14"/>
        </w:rPr>
        <w:t>+1</w:t>
      </w:r>
      <w:r>
        <w:rPr>
          <w:rFonts w:ascii="CMR10" w:hAnsi="CMR10"/>
          <w:sz w:val="20"/>
          <w:szCs w:val="20"/>
        </w:rPr>
        <w:t xml:space="preserve">, but missing the as yet unknown correction. This benign-looking difference seems to allow NAG to change </w:t>
      </w:r>
      <w:r>
        <w:rPr>
          <w:rFonts w:ascii="CMMI10" w:hAnsi="CMMI10"/>
          <w:sz w:val="20"/>
          <w:szCs w:val="20"/>
        </w:rPr>
        <w:t xml:space="preserve">v </w:t>
      </w:r>
      <w:r>
        <w:rPr>
          <w:rFonts w:ascii="CMR10" w:hAnsi="CMR10"/>
          <w:sz w:val="20"/>
          <w:szCs w:val="20"/>
        </w:rPr>
        <w:t xml:space="preserve">in a quicker and more responsive way, letting it behave more </w:t>
      </w:r>
      <w:proofErr w:type="spellStart"/>
      <w:r>
        <w:rPr>
          <w:rFonts w:ascii="CMR10" w:hAnsi="CMR10"/>
          <w:sz w:val="20"/>
          <w:szCs w:val="20"/>
        </w:rPr>
        <w:t>stably</w:t>
      </w:r>
      <w:proofErr w:type="spellEnd"/>
      <w:r>
        <w:rPr>
          <w:rFonts w:ascii="CMR10" w:hAnsi="CMR10"/>
          <w:sz w:val="20"/>
          <w:szCs w:val="20"/>
        </w:rPr>
        <w:t xml:space="preserve"> than CM in many situations, especially for higher values of </w:t>
      </w:r>
      <w:r>
        <w:rPr>
          <w:rFonts w:ascii="CMMI10" w:hAnsi="CMMI10"/>
          <w:sz w:val="20"/>
          <w:szCs w:val="20"/>
        </w:rPr>
        <w:t>μ</w:t>
      </w:r>
      <w:r>
        <w:rPr>
          <w:rFonts w:ascii="CMR10" w:hAnsi="CMR10"/>
          <w:sz w:val="20"/>
          <w:szCs w:val="20"/>
        </w:rPr>
        <w:t xml:space="preserve">. </w:t>
      </w:r>
    </w:p>
    <w:p w:rsidR="001B2F14" w:rsidRDefault="001B2F14" w:rsidP="001B2F14">
      <w:pPr>
        <w:pStyle w:val="a3"/>
      </w:pPr>
      <w:r>
        <w:rPr>
          <w:rFonts w:ascii="CMBX12" w:hAnsi="CMBX12"/>
        </w:rPr>
        <w:t xml:space="preserve">3. Deep Autoencoders </w:t>
      </w:r>
    </w:p>
    <w:p w:rsidR="001B2F14" w:rsidRDefault="001B2F14" w:rsidP="001B2F14">
      <w:pPr>
        <w:pStyle w:val="a3"/>
      </w:pPr>
      <w:r>
        <w:rPr>
          <w:rFonts w:ascii="CMR10" w:hAnsi="CMR10"/>
          <w:sz w:val="20"/>
          <w:szCs w:val="20"/>
        </w:rPr>
        <w:t xml:space="preserve">The aim of our experiments is three-fold. First, to investigate the attainable performance of stochastic momentum methods on deep autoencoders starting from well-designed random initializations; second, to explore the importance and effect of the schedule for the momentum parameter </w:t>
      </w:r>
      <w:r>
        <w:rPr>
          <w:rFonts w:ascii="CMMI10" w:hAnsi="CMMI10"/>
          <w:sz w:val="20"/>
          <w:szCs w:val="20"/>
        </w:rPr>
        <w:t xml:space="preserve">μ </w:t>
      </w:r>
      <w:r>
        <w:rPr>
          <w:rFonts w:ascii="CMR10" w:hAnsi="CMR10"/>
          <w:sz w:val="20"/>
          <w:szCs w:val="20"/>
        </w:rPr>
        <w:t xml:space="preserve">assuming an optimal fixed choice of the learning rate </w:t>
      </w:r>
      <w:r>
        <w:rPr>
          <w:rFonts w:ascii="CMMI10" w:hAnsi="CMMI10"/>
          <w:sz w:val="20"/>
          <w:szCs w:val="20"/>
        </w:rPr>
        <w:t>ε</w:t>
      </w:r>
      <w:r>
        <w:rPr>
          <w:rFonts w:ascii="CMR10" w:hAnsi="CMR10"/>
          <w:sz w:val="20"/>
          <w:szCs w:val="20"/>
        </w:rPr>
        <w:t xml:space="preserve">; and third, to compare the performance of NAG versus CM. </w:t>
      </w:r>
    </w:p>
    <w:p w:rsidR="001B2F14" w:rsidRDefault="001B2F14" w:rsidP="001B2F14">
      <w:pPr>
        <w:pStyle w:val="a3"/>
      </w:pPr>
      <w:r>
        <w:rPr>
          <w:rFonts w:ascii="CMBX10" w:hAnsi="CMBX10"/>
          <w:sz w:val="20"/>
          <w:szCs w:val="20"/>
        </w:rPr>
        <w:t xml:space="preserve">3.1. Random Initializations </w:t>
      </w:r>
    </w:p>
    <w:p w:rsidR="001B2F14" w:rsidRDefault="001B2F14" w:rsidP="001B2F14">
      <w:pPr>
        <w:pStyle w:val="a3"/>
      </w:pPr>
      <w:r>
        <w:rPr>
          <w:rFonts w:ascii="CMBX12" w:hAnsi="CMBX12"/>
        </w:rPr>
        <w:t xml:space="preserve">4. Recurrent Neural Networks </w:t>
      </w:r>
    </w:p>
    <w:p w:rsidR="00127368" w:rsidRDefault="00127368" w:rsidP="00127368">
      <w:pPr>
        <w:pStyle w:val="a3"/>
      </w:pPr>
      <w:r>
        <w:rPr>
          <w:rFonts w:ascii="CMR10" w:hAnsi="CMR10"/>
          <w:sz w:val="20"/>
          <w:szCs w:val="20"/>
        </w:rPr>
        <w:lastRenderedPageBreak/>
        <w:t xml:space="preserve">Echo-State Networks (ESNs) is a family of RNNs with an unusually simple training method: their hidden-to- output connections are learned from data, but their re- current connections are fixed to a random draw from a specific distribution and are not learned. </w:t>
      </w:r>
    </w:p>
    <w:p w:rsidR="001B2F14" w:rsidRDefault="005F5A44" w:rsidP="001B2F14">
      <w:pPr>
        <w:pStyle w:val="a3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4.1. ESN-based Initialization</w:t>
      </w:r>
    </w:p>
    <w:p w:rsidR="005F5A44" w:rsidRDefault="005F5A44" w:rsidP="001B2F14">
      <w:pPr>
        <w:pStyle w:val="a3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4.2. Experimental Results</w:t>
      </w:r>
    </w:p>
    <w:p w:rsidR="005F5A44" w:rsidRPr="00127368" w:rsidRDefault="005F5A44" w:rsidP="001B2F14">
      <w:pPr>
        <w:pStyle w:val="a3"/>
        <w:rPr>
          <w:rFonts w:hint="eastAsia"/>
        </w:rPr>
      </w:pPr>
      <w:r>
        <w:rPr>
          <w:rFonts w:ascii="CMBX12" w:hAnsi="CMBX12" w:cs="CMBX12"/>
        </w:rPr>
        <w:t>5. Momentum and HF</w:t>
      </w:r>
    </w:p>
    <w:p w:rsidR="005D136F" w:rsidRPr="005D136F" w:rsidRDefault="005F5A44">
      <w:r>
        <w:rPr>
          <w:rFonts w:ascii="CMBX12" w:hAnsi="CMBX12" w:cs="CMBX12"/>
          <w:kern w:val="0"/>
          <w:sz w:val="24"/>
        </w:rPr>
        <w:t>6. Discussion</w:t>
      </w:r>
      <w:bookmarkStart w:id="0" w:name="_GoBack"/>
      <w:bookmarkEnd w:id="0"/>
    </w:p>
    <w:sectPr w:rsidR="005D136F" w:rsidRPr="005D136F" w:rsidSect="00AF74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BX1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7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7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6F"/>
    <w:rsid w:val="00127368"/>
    <w:rsid w:val="001B2F14"/>
    <w:rsid w:val="005D136F"/>
    <w:rsid w:val="005F5A44"/>
    <w:rsid w:val="00A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998F"/>
  <w15:chartTrackingRefBased/>
  <w15:docId w15:val="{4F534685-C386-5E4E-95D6-38ADC8FC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13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5D136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D136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3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4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7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7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2019-02-28T16:33:00Z</dcterms:created>
  <dcterms:modified xsi:type="dcterms:W3CDTF">2019-02-28T17:39:00Z</dcterms:modified>
</cp:coreProperties>
</file>