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星座分析网站速查清单（2023 年 10 月 1 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以下是分梯队、按专业场景梳理的星座分析网站，兼顾</w:t>
      </w:r>
      <w:r>
        <w:rPr>
          <w:rFonts w:eastAsia="等线" w:ascii="Arial" w:cs="Arial" w:hAnsi="Arial"/>
          <w:b w:val="true"/>
          <w:sz w:val="22"/>
        </w:rPr>
        <w:t>数据精准度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解读深度</w:t>
      </w:r>
      <w:r>
        <w:rPr>
          <w:rFonts w:eastAsia="等线" w:ascii="Arial" w:cs="Arial" w:hAnsi="Arial"/>
          <w:sz w:val="22"/>
        </w:rPr>
        <w:t>，覆盖西方占星、印度占星（吠陀）及多语言需求，附核心功能与适用人群，便于直接选用。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🏆 专业级首选（占星师/高阶爱好者）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Astrodienst (</w:t>
      </w:r>
      <w:hyperlink r:id="rId4">
        <w:r>
          <w:rPr>
            <w:rFonts w:eastAsia="等线" w:ascii="Arial" w:cs="Arial" w:hAnsi="Arial"/>
            <w:b w:val="true"/>
            <w:color w:val="3370ff"/>
            <w:sz w:val="28"/>
          </w:rPr>
          <w:t>Astro.com</w:t>
        </w:r>
      </w:hyperlink>
      <w:r>
        <w:rPr>
          <w:rFonts w:eastAsia="等线" w:ascii="Arial" w:cs="Arial" w:hAnsi="Arial"/>
          <w:b w:val="true"/>
          <w:sz w:val="28"/>
        </w:rPr>
        <w:t>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：全球占星界“黄金标准”，荣格心理学派解读标杆。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：数据精度极高，支持</w:t>
      </w:r>
      <w:r>
        <w:rPr>
          <w:rFonts w:eastAsia="等线" w:ascii="Arial" w:cs="Arial" w:hAnsi="Arial"/>
          <w:b w:val="true"/>
          <w:sz w:val="22"/>
        </w:rPr>
        <w:t>本命盘/行进盘/太阳弧/组合盘</w:t>
      </w:r>
      <w:r>
        <w:rPr>
          <w:rFonts w:eastAsia="等线" w:ascii="Arial" w:cs="Arial" w:hAnsi="Arial"/>
          <w:sz w:val="22"/>
        </w:rPr>
        <w:t>等专业图表；提供由心理治疗师撰写的</w:t>
      </w:r>
      <w:r>
        <w:rPr>
          <w:rFonts w:eastAsia="等线" w:ascii="Arial" w:cs="Arial" w:hAnsi="Arial"/>
          <w:b w:val="true"/>
          <w:sz w:val="22"/>
        </w:rPr>
        <w:t>深度心理占星报告</w:t>
      </w:r>
      <w:r>
        <w:rPr>
          <w:rFonts w:eastAsia="等线" w:ascii="Arial" w:cs="Arial" w:hAnsi="Arial"/>
          <w:sz w:val="22"/>
        </w:rPr>
        <w:t>，名人星盘标注“AAA级”出生时间认证。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：需要严谨数据、心理层面解读的深度研究，适合学术与专业咨询场景。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AstroSeek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：功能最全面的免费占星工具站，数据可视化强。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：支持</w:t>
      </w:r>
      <w:r>
        <w:rPr>
          <w:rFonts w:eastAsia="等线" w:ascii="Arial" w:cs="Arial" w:hAnsi="Arial"/>
          <w:b w:val="true"/>
          <w:sz w:val="22"/>
        </w:rPr>
        <w:t>古典占星/现代占星/卜卦占星</w:t>
      </w:r>
      <w:r>
        <w:rPr>
          <w:rFonts w:eastAsia="等线" w:ascii="Arial" w:cs="Arial" w:hAnsi="Arial"/>
          <w:sz w:val="22"/>
        </w:rPr>
        <w:t>多体系；提供星盘校正、小行星（凯龙星、谷神星）、阿拉伯点计算，生成可导出的高清星图与数据表格。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：喜欢“即插即用”工具、需要批量分析或验证星象数据的研究者。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📚 系统学习与综合解读（进阶用户）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Cafe Astrology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：入门到进阶的“教科书式”网站，内容结构化极强。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：从基础星座、行星、宫位到</w:t>
      </w:r>
      <w:r>
        <w:rPr>
          <w:rFonts w:eastAsia="等线" w:ascii="Arial" w:cs="Arial" w:hAnsi="Arial"/>
          <w:b w:val="true"/>
          <w:sz w:val="22"/>
        </w:rPr>
        <w:t>相位解读、月度星象专题</w:t>
      </w:r>
      <w:r>
        <w:rPr>
          <w:rFonts w:eastAsia="等线" w:ascii="Arial" w:cs="Arial" w:hAnsi="Arial"/>
          <w:sz w:val="22"/>
        </w:rPr>
        <w:t>，文章兼具深度与可读性；免费本命盘报告包含</w:t>
      </w:r>
      <w:r>
        <w:rPr>
          <w:rFonts w:eastAsia="等线" w:ascii="Arial" w:cs="Arial" w:hAnsi="Arial"/>
          <w:b w:val="true"/>
          <w:sz w:val="22"/>
        </w:rPr>
        <w:t>宫主星、宫内行星</w:t>
      </w:r>
      <w:r>
        <w:rPr>
          <w:rFonts w:eastAsia="等线" w:ascii="Arial" w:cs="Arial" w:hAnsi="Arial"/>
          <w:sz w:val="22"/>
        </w:rPr>
        <w:t>等关键分析，适合系统学习。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：想夯实理论基础、拒绝“娱乐化星座”的进阶学习者。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Lagna360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：正统吠陀占星（印度占星）专业平台。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：严格遵循《Brihat Parashara Hora Shastra》等经典文本，提供</w:t>
      </w:r>
      <w:r>
        <w:rPr>
          <w:rFonts w:eastAsia="等线" w:ascii="Arial" w:cs="Arial" w:hAnsi="Arial"/>
          <w:b w:val="true"/>
          <w:sz w:val="22"/>
        </w:rPr>
        <w:t>Dasha大运、Sade Sati、Shadbala行星强度、Upagrahas隐星</w:t>
      </w:r>
      <w:r>
        <w:rPr>
          <w:rFonts w:eastAsia="等线" w:ascii="Arial" w:cs="Arial" w:hAnsi="Arial"/>
          <w:sz w:val="22"/>
        </w:rPr>
        <w:t>等专业分析；AI结合传统理论给出精准解读。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：专注吠陀占星、需要东方占星体系深度分析的用户。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🌐 多语言/特色功能（细分需求）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5. 爱占星 (</w:t>
      </w:r>
      <w:hyperlink r:id="rId6">
        <w:r>
          <w:rPr>
            <w:rFonts w:eastAsia="等线" w:ascii="Arial" w:cs="Arial" w:hAnsi="Arial"/>
            <w:b w:val="true"/>
            <w:color w:val="3370ff"/>
            <w:sz w:val="28"/>
          </w:rPr>
          <w:t>aizhanxing.com</w:t>
        </w:r>
      </w:hyperlink>
      <w:r>
        <w:rPr>
          <w:rFonts w:eastAsia="等线" w:ascii="Arial" w:cs="Arial" w:hAnsi="Arial"/>
          <w:b w:val="true"/>
          <w:sz w:val="28"/>
        </w:rPr>
        <w:t>)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：中文圈全体系占星工具站，兼顾东西方融合。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：支持</w:t>
      </w:r>
      <w:r>
        <w:rPr>
          <w:rFonts w:eastAsia="等线" w:ascii="Arial" w:cs="Arial" w:hAnsi="Arial"/>
          <w:b w:val="true"/>
          <w:sz w:val="22"/>
        </w:rPr>
        <w:t>西方占星/印度占星/八字/紫微斗数</w:t>
      </w:r>
      <w:r>
        <w:rPr>
          <w:rFonts w:eastAsia="等线" w:ascii="Arial" w:cs="Arial" w:hAnsi="Arial"/>
          <w:sz w:val="22"/>
        </w:rPr>
        <w:t>跨体系排盘；内置占星百科，覆盖易经、人类图等延伸领域，适合中文用户一站式操作。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：需要中文界面、跨占星体系对比分析的爱好者。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6. FindYourFate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：综合占星与数字命理的老牌英文站。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：提供</w:t>
      </w:r>
      <w:r>
        <w:rPr>
          <w:rFonts w:eastAsia="等线" w:ascii="Arial" w:cs="Arial" w:hAnsi="Arial"/>
          <w:b w:val="true"/>
          <w:sz w:val="22"/>
        </w:rPr>
        <w:t>吠陀与西方占星双认证课程</w:t>
      </w:r>
      <w:r>
        <w:rPr>
          <w:rFonts w:eastAsia="等线" w:ascii="Arial" w:cs="Arial" w:hAnsi="Arial"/>
          <w:sz w:val="22"/>
        </w:rPr>
        <w:t>，结合行星与植物（如水星-莳萝、天王星-桉树）的对应研究；名人星盘库附带数字命理解读。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：计划考取占星认证、对占星跨界应用（如草药）感兴趣的用户。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✨ 特色新锐（AI融合/心理导向）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7. NatalChartRuler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：符号学自我探索与塔罗结合的心理占星站。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：以占星为框架，聚焦“自我发现”而非预测；报告结合塔罗指引，解读偏心理成长，适合追求内在探索的用户。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8. Oraseer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：AI驱动的占星与梦境解析结合平台。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：输入出生信息生成</w:t>
      </w:r>
      <w:r>
        <w:rPr>
          <w:rFonts w:eastAsia="等线" w:ascii="Arial" w:cs="Arial" w:hAnsi="Arial"/>
          <w:b w:val="true"/>
          <w:sz w:val="22"/>
        </w:rPr>
        <w:t>含月亮/上升的详细星盘</w:t>
      </w:r>
      <w:r>
        <w:rPr>
          <w:rFonts w:eastAsia="等线" w:ascii="Arial" w:cs="Arial" w:hAnsi="Arial"/>
          <w:sz w:val="22"/>
        </w:rPr>
        <w:t>，AI解读行星影响与运势趋势；支持梦境符号分析，适合对潜意识与星象关联感兴趣的用户。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📌 速选清单（按需求匹配）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首选网站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专业心理占星解读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Astrodienst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荣格派深度，数据与报告双权威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免费高精度星盘工具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AstroSeek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多体系、小行星、数据导出全覆盖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中文系统学习占星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Cafe Astrology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结构化教程，从入门到进阶无压力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吠陀占星（印度占星）专业分析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Lagna360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经典文本为基础，隐星/大运全解析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东西方占星体系对比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爱占星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中文界面，跨体系排盘一站式搞定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AI+占星+梦境探索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Oraseer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创新融合，基础功能免注册体验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⚠️ 专业使用提示</w:t>
      </w:r>
      <w:bookmarkEnd w:id="1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数据准确性</w:t>
      </w:r>
      <w:r>
        <w:rPr>
          <w:rFonts w:eastAsia="等线" w:ascii="Arial" w:cs="Arial" w:hAnsi="Arial"/>
          <w:sz w:val="22"/>
        </w:rPr>
        <w:t>：专业分析需填写**精确出生时间（分钟）**与地点，Astrodienst、AstroSeek的坐标库最完善。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体系区分</w:t>
      </w:r>
      <w:r>
        <w:rPr>
          <w:rFonts w:eastAsia="等线" w:ascii="Arial" w:cs="Arial" w:hAnsi="Arial"/>
          <w:sz w:val="22"/>
        </w:rPr>
        <w:t>：西方占星（热带黄道）与吠陀占星（恒星黄道）计算基准不同，避免混合解读。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付费建议</w:t>
      </w:r>
      <w:r>
        <w:rPr>
          <w:rFonts w:eastAsia="等线" w:ascii="Arial" w:cs="Arial" w:hAnsi="Arial"/>
          <w:sz w:val="22"/>
        </w:rPr>
        <w:t>：基础工具免费足够，深度报告（如Astrodienst的心理报告）可按需付费，避免盲目订阅。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需要我把这些网站整理成一份可直接收藏的速查清单（含网址、核心功能标签和适用场景），方便你快速调用吗？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89563">
    <w:lvl>
      <w:numFmt w:val="bullet"/>
      <w:suff w:val="tab"/>
      <w:lvlText w:val="•"/>
      <w:rPr>
        <w:color w:val="3370ff"/>
      </w:rPr>
    </w:lvl>
  </w:abstractNum>
  <w:abstractNum w:abstractNumId="6089564">
    <w:lvl>
      <w:numFmt w:val="bullet"/>
      <w:suff w:val="tab"/>
      <w:lvlText w:val="•"/>
      <w:rPr>
        <w:color w:val="3370ff"/>
      </w:rPr>
    </w:lvl>
  </w:abstractNum>
  <w:abstractNum w:abstractNumId="6089565">
    <w:lvl>
      <w:numFmt w:val="bullet"/>
      <w:suff w:val="tab"/>
      <w:lvlText w:val="•"/>
      <w:rPr>
        <w:color w:val="3370ff"/>
      </w:rPr>
    </w:lvl>
  </w:abstractNum>
  <w:abstractNum w:abstractNumId="6089566">
    <w:lvl>
      <w:numFmt w:val="bullet"/>
      <w:suff w:val="tab"/>
      <w:lvlText w:val="•"/>
      <w:rPr>
        <w:color w:val="3370ff"/>
      </w:rPr>
    </w:lvl>
  </w:abstractNum>
  <w:abstractNum w:abstractNumId="6089567">
    <w:lvl>
      <w:numFmt w:val="bullet"/>
      <w:suff w:val="tab"/>
      <w:lvlText w:val="•"/>
      <w:rPr>
        <w:color w:val="3370ff"/>
      </w:rPr>
    </w:lvl>
  </w:abstractNum>
  <w:abstractNum w:abstractNumId="6089568">
    <w:lvl>
      <w:numFmt w:val="bullet"/>
      <w:suff w:val="tab"/>
      <w:lvlText w:val="•"/>
      <w:rPr>
        <w:color w:val="3370ff"/>
      </w:rPr>
    </w:lvl>
  </w:abstractNum>
  <w:abstractNum w:abstractNumId="6089569">
    <w:lvl>
      <w:numFmt w:val="bullet"/>
      <w:suff w:val="tab"/>
      <w:lvlText w:val="•"/>
      <w:rPr>
        <w:color w:val="3370ff"/>
      </w:rPr>
    </w:lvl>
  </w:abstractNum>
  <w:abstractNum w:abstractNumId="6089570">
    <w:lvl>
      <w:numFmt w:val="bullet"/>
      <w:suff w:val="tab"/>
      <w:lvlText w:val="•"/>
      <w:rPr>
        <w:color w:val="3370ff"/>
      </w:rPr>
    </w:lvl>
  </w:abstractNum>
  <w:abstractNum w:abstractNumId="6089571">
    <w:lvl>
      <w:numFmt w:val="bullet"/>
      <w:suff w:val="tab"/>
      <w:lvlText w:val="•"/>
      <w:rPr>
        <w:color w:val="3370ff"/>
      </w:rPr>
    </w:lvl>
  </w:abstractNum>
  <w:abstractNum w:abstractNumId="6089572">
    <w:lvl>
      <w:numFmt w:val="bullet"/>
      <w:suff w:val="tab"/>
      <w:lvlText w:val="•"/>
      <w:rPr>
        <w:color w:val="3370ff"/>
      </w:rPr>
    </w:lvl>
  </w:abstractNum>
  <w:abstractNum w:abstractNumId="6089573">
    <w:lvl>
      <w:numFmt w:val="bullet"/>
      <w:suff w:val="tab"/>
      <w:lvlText w:val="•"/>
      <w:rPr>
        <w:color w:val="3370ff"/>
      </w:rPr>
    </w:lvl>
  </w:abstractNum>
  <w:abstractNum w:abstractNumId="6089574">
    <w:lvl>
      <w:numFmt w:val="bullet"/>
      <w:suff w:val="tab"/>
      <w:lvlText w:val="•"/>
      <w:rPr>
        <w:color w:val="3370ff"/>
      </w:rPr>
    </w:lvl>
  </w:abstractNum>
  <w:abstractNum w:abstractNumId="6089575">
    <w:lvl>
      <w:numFmt w:val="bullet"/>
      <w:suff w:val="tab"/>
      <w:lvlText w:val="•"/>
      <w:rPr>
        <w:color w:val="3370ff"/>
      </w:rPr>
    </w:lvl>
  </w:abstractNum>
  <w:abstractNum w:abstractNumId="6089576">
    <w:lvl>
      <w:numFmt w:val="bullet"/>
      <w:suff w:val="tab"/>
      <w:lvlText w:val="•"/>
      <w:rPr>
        <w:color w:val="3370ff"/>
      </w:rPr>
    </w:lvl>
  </w:abstractNum>
  <w:abstractNum w:abstractNumId="6089577">
    <w:lvl>
      <w:numFmt w:val="bullet"/>
      <w:suff w:val="tab"/>
      <w:lvlText w:val="•"/>
      <w:rPr>
        <w:color w:val="3370ff"/>
      </w:rPr>
    </w:lvl>
  </w:abstractNum>
  <w:abstractNum w:abstractNumId="6089578">
    <w:lvl>
      <w:numFmt w:val="bullet"/>
      <w:suff w:val="tab"/>
      <w:lvlText w:val="•"/>
      <w:rPr>
        <w:color w:val="3370ff"/>
      </w:rPr>
    </w:lvl>
  </w:abstractNum>
  <w:abstractNum w:abstractNumId="6089579">
    <w:lvl>
      <w:numFmt w:val="bullet"/>
      <w:suff w:val="tab"/>
      <w:lvlText w:val="•"/>
      <w:rPr>
        <w:color w:val="3370ff"/>
      </w:rPr>
    </w:lvl>
  </w:abstractNum>
  <w:abstractNum w:abstractNumId="6089580">
    <w:lvl>
      <w:numFmt w:val="bullet"/>
      <w:suff w:val="tab"/>
      <w:lvlText w:val="•"/>
      <w:rPr>
        <w:color w:val="3370ff"/>
      </w:rPr>
    </w:lvl>
  </w:abstractNum>
  <w:abstractNum w:abstractNumId="6089581">
    <w:lvl>
      <w:numFmt w:val="bullet"/>
      <w:suff w:val="tab"/>
      <w:lvlText w:val="•"/>
      <w:rPr>
        <w:color w:val="3370ff"/>
      </w:rPr>
    </w:lvl>
  </w:abstractNum>
  <w:abstractNum w:abstractNumId="6089582">
    <w:lvl>
      <w:numFmt w:val="bullet"/>
      <w:suff w:val="tab"/>
      <w:lvlText w:val="•"/>
      <w:rPr>
        <w:color w:val="3370ff"/>
      </w:rPr>
    </w:lvl>
  </w:abstractNum>
  <w:abstractNum w:abstractNumId="6089583">
    <w:lvl>
      <w:numFmt w:val="bullet"/>
      <w:suff w:val="tab"/>
      <w:lvlText w:val="•"/>
      <w:rPr>
        <w:color w:val="3370ff"/>
      </w:rPr>
    </w:lvl>
  </w:abstractNum>
  <w:abstractNum w:abstractNumId="6089584">
    <w:lvl>
      <w:numFmt w:val="bullet"/>
      <w:suff w:val="tab"/>
      <w:lvlText w:val="•"/>
      <w:rPr>
        <w:color w:val="3370ff"/>
      </w:rPr>
    </w:lvl>
  </w:abstractNum>
  <w:abstractNum w:abstractNumId="6089585">
    <w:lvl>
      <w:start w:val="1"/>
      <w:numFmt w:val="decimal"/>
      <w:suff w:val="tab"/>
      <w:lvlText w:val="%1."/>
      <w:rPr>
        <w:color w:val="3370ff"/>
      </w:rPr>
    </w:lvl>
  </w:abstractNum>
  <w:abstractNum w:abstractNumId="6089586">
    <w:lvl>
      <w:start w:val="2"/>
      <w:numFmt w:val="decimal"/>
      <w:suff w:val="tab"/>
      <w:lvlText w:val="%1."/>
      <w:rPr>
        <w:color w:val="3370ff"/>
      </w:rPr>
    </w:lvl>
  </w:abstractNum>
  <w:abstractNum w:abstractNumId="608958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089563"/>
  </w:num>
  <w:num w:numId="2">
    <w:abstractNumId w:val="6089564"/>
  </w:num>
  <w:num w:numId="3">
    <w:abstractNumId w:val="6089565"/>
  </w:num>
  <w:num w:numId="4">
    <w:abstractNumId w:val="6089566"/>
  </w:num>
  <w:num w:numId="5">
    <w:abstractNumId w:val="6089567"/>
  </w:num>
  <w:num w:numId="6">
    <w:abstractNumId w:val="6089568"/>
  </w:num>
  <w:num w:numId="7">
    <w:abstractNumId w:val="6089569"/>
  </w:num>
  <w:num w:numId="8">
    <w:abstractNumId w:val="6089570"/>
  </w:num>
  <w:num w:numId="9">
    <w:abstractNumId w:val="6089571"/>
  </w:num>
  <w:num w:numId="10">
    <w:abstractNumId w:val="6089572"/>
  </w:num>
  <w:num w:numId="11">
    <w:abstractNumId w:val="6089573"/>
  </w:num>
  <w:num w:numId="12">
    <w:abstractNumId w:val="6089574"/>
  </w:num>
  <w:num w:numId="13">
    <w:abstractNumId w:val="6089575"/>
  </w:num>
  <w:num w:numId="14">
    <w:abstractNumId w:val="6089576"/>
  </w:num>
  <w:num w:numId="15">
    <w:abstractNumId w:val="6089577"/>
  </w:num>
  <w:num w:numId="16">
    <w:abstractNumId w:val="6089578"/>
  </w:num>
  <w:num w:numId="17">
    <w:abstractNumId w:val="6089579"/>
  </w:num>
  <w:num w:numId="18">
    <w:abstractNumId w:val="6089580"/>
  </w:num>
  <w:num w:numId="19">
    <w:abstractNumId w:val="6089581"/>
  </w:num>
  <w:num w:numId="20">
    <w:abstractNumId w:val="6089582"/>
  </w:num>
  <w:num w:numId="21">
    <w:abstractNumId w:val="6089583"/>
  </w:num>
  <w:num w:numId="22">
    <w:abstractNumId w:val="6089584"/>
  </w:num>
  <w:num w:numId="23">
    <w:abstractNumId w:val="6089585"/>
  </w:num>
  <w:num w:numId="24">
    <w:abstractNumId w:val="6089586"/>
  </w:num>
  <w:num w:numId="25">
    <w:abstractNumId w:val="60895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://Astro.com" TargetMode="External" Type="http://schemas.openxmlformats.org/officeDocument/2006/relationships/hyperlink"/><Relationship Id="rId5" Target="numbering.xml" Type="http://schemas.openxmlformats.org/officeDocument/2006/relationships/numbering"/><Relationship Id="rId6" Target="http://aizhanxing.com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2026-02-24T13:44:50Z</dcterms:created>
  <dc:creator>Apache POI</dc:creator>
</cp:coreProperties>
</file>