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332"/>
        </w:rPr>
        <w:t>Module 2.2 — Commercial and financial inputs for contract preparation</w:t>
      </w:r>
    </w:p>
    <w:p>
      <w:pPr>
        <w:spacing w:after="40"/>
      </w:pPr>
      <w:r>
        <w:rPr>
          <w:b/>
          <w:sz w:val="22"/>
        </w:rPr>
        <w:t xml:space="preserve">Target learner: </w:t>
      </w:r>
      <w:r>
        <w:rPr>
          <w:sz w:val="22"/>
        </w:rPr>
        <w:t>EY professionals and public-sector project teams involved in infrastructure procurement</w:t>
      </w:r>
    </w:p>
    <w:p>
      <w:pPr>
        <w:spacing w:after="40"/>
      </w:pPr>
      <w:r>
        <w:rPr>
          <w:b/>
          <w:sz w:val="22"/>
        </w:rPr>
        <w:t xml:space="preserve">Duration target: </w:t>
      </w:r>
      <w:r>
        <w:rPr>
          <w:sz w:val="22"/>
        </w:rPr>
        <w:t>~20 min</w:t>
      </w:r>
    </w:p>
    <w:p>
      <w:pPr>
        <w:spacing w:after="40"/>
      </w:pPr>
      <w:r>
        <w:rPr>
          <w:b/>
          <w:sz w:val="22"/>
        </w:rPr>
        <w:t xml:space="preserve">Assessment strategy: </w:t>
      </w:r>
      <w:r>
        <w:rPr>
          <w:sz w:val="22"/>
        </w:rPr>
        <w:t>2 scenario MCQs (one per objective, from outline)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1A9AFA" w:val="clear"/>
          </w:tcPr>
          <w:p>
            <w:r/>
            <w:r>
              <w:rPr>
                <w:b/>
                <w:color w:val="FFFFFF"/>
                <w:sz w:val="20"/>
              </w:rPr>
              <w:t>Objective</w:t>
            </w:r>
          </w:p>
        </w:tc>
        <w:tc>
          <w:tcPr>
            <w:tcW w:type="dxa" w:w="2880"/>
            <w:shd w:fill="1A9AFA" w:val="clear"/>
          </w:tcPr>
          <w:p>
            <w:r/>
            <w:r>
              <w:rPr>
                <w:b/>
                <w:color w:val="FFFFFF"/>
                <w:sz w:val="20"/>
              </w:rPr>
              <w:t>Assessment</w:t>
            </w:r>
          </w:p>
        </w:tc>
        <w:tc>
          <w:tcPr>
            <w:tcW w:type="dxa" w:w="2160"/>
            <w:shd w:fill="1A9AFA" w:val="clear"/>
          </w:tcPr>
          <w:p>
            <w:r/>
            <w:r>
              <w:rPr>
                <w:b/>
                <w:color w:val="FFFFFF"/>
                <w:sz w:val="20"/>
              </w:rPr>
              <w:t>Practice</w:t>
            </w:r>
          </w:p>
        </w:tc>
        <w:tc>
          <w:tcPr>
            <w:tcW w:type="dxa" w:w="3600"/>
            <w:shd w:fill="1A9AFA" w:val="clear"/>
          </w:tcPr>
          <w:p>
            <w:r/>
            <w:r>
              <w:rPr>
                <w:b/>
                <w:color w:val="FFFFFF"/>
                <w:sz w:val="20"/>
              </w:rPr>
              <w:t>Presentation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Identify key principles and best practices in exclusive contract negotiation and transaction support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Scenario MCQ: given a procurement stage, determine what the team should focus on first (outline Q1)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Knowledge-check MCQ: sequence the stages of the procurement process leading to negotiation (outline Q2)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Slide 2 (L03): Procurement process + entry to negotiation. Left: procurement lifecycle flowchart (Market Engagement → RFQ → RFP → Negotiations) with negotiation highlighted. Right: what triggers entry (preferred proponent selected), what it means (exclusive right to negotiate terms). Cognitive purpose: context + concept in one visual — learner sees WHERE and WHAT simultaneously. Slide 3 (L03): What negotiation finalizes + how inputs map to close. Left: two-close structure (Commercial Close: PA, construction contract, services contract, letters of credit, performance security. Financial Close: adapted PA, aligned docs, price adjustment). Right: diagram showing commercial inputs → commercial close docs, financial inputs → financial close docs. Key callout: timing, payment structures, alignment. Cognitive purpose: learner sees END STATE and INPUT→OUTPUT mapping together.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Identify commercial and financial inputs required for contract preparation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Scenario MCQ: given incomplete inputs, determine what to obtain next (outline Q3)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Knowledge-check MCQ: classify inputs by category — commercial vs financial (outline Q4)</w:t>
            </w:r>
          </w:p>
        </w:tc>
        <w:tc>
          <w:tcPr>
            <w:tcW w:type="dxa" w:w="3600"/>
            <w:shd w:fill="F0F4FA" w:val="clear"/>
          </w:tcPr>
          <w:p>
            <w:r>
              <w:rPr>
                <w:sz w:val="20"/>
              </w:rPr>
              <w:t>Slide 4 (L12 menu hub): Two bars — "Commercial inputs" and "Financial inputs." Commercial popup: What (contract types, key terms &amp; conditions per 6.1+6.2). Where from (procurement/transaction development). Who (Technical, Financial, Legal Advisors, Procurement Authority). Why (shape contractual structure). Financial popup: What (Financial Plan/Offering, Funding Plan, Financial Modelling, Price Forms). Where from (financial submission requirements). Who (Financial Advisors). Why (financial suitability, VFM, pricing, funding). Cognitive purpose: side-by-side contrast forces learner to notice the boundary between commercial and financial. Slide 5 (L03): How inputs map to close documents. Left: commercial inputs flowing into commercial close docs. Right: financial inputs flowing into financial close docs. Bridges Obj 1 (close structure) with Obj 2 (what the inputs are).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Layout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Title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Type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L13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What you will be able to do</w:t>
            </w:r>
          </w:p>
        </w:tc>
        <w:tc>
          <w:tcPr>
            <w:tcW w:type="dxa" w:w="3600"/>
            <w:shd w:fill="F0F4FA" w:val="clear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Procurement process and entry to negotiation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Obj 1 presentation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L03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From inputs to close</w:t>
            </w:r>
          </w:p>
        </w:tc>
        <w:tc>
          <w:tcPr>
            <w:tcW w:type="dxa" w:w="3600"/>
            <w:shd w:fill="F0F4FA" w:val="clear"/>
          </w:tcPr>
          <w:p>
            <w:r>
              <w:rPr>
                <w:sz w:val="20"/>
              </w:rPr>
              <w:t>Obj 1 presentation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L12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Commercial and financial inputs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Obj 2 presentation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L03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How inputs map to close documents</w:t>
            </w:r>
          </w:p>
        </w:tc>
        <w:tc>
          <w:tcPr>
            <w:tcW w:type="dxa" w:w="3600"/>
            <w:shd w:fill="F0F4FA" w:val="clear"/>
          </w:tcPr>
          <w:p>
            <w:r>
              <w:rPr>
                <w:sz w:val="20"/>
              </w:rPr>
              <w:t>Obj 2 presentation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Practice: procurement sequence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Obj 1 practice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L09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Practice: which inputs</w:t>
            </w:r>
          </w:p>
        </w:tc>
        <w:tc>
          <w:tcPr>
            <w:tcW w:type="dxa" w:w="3600"/>
            <w:shd w:fill="F0F4FA" w:val="clear"/>
          </w:tcPr>
          <w:p>
            <w:r>
              <w:rPr>
                <w:sz w:val="20"/>
              </w:rPr>
              <w:t>Obj 2 practice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Assessment: preferred proponent selected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Obj 1 assessment</w:t>
            </w:r>
          </w:p>
        </w:tc>
      </w:tr>
      <w:tr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880"/>
            <w:shd w:fill="F0F4FA" w:val="clear"/>
          </w:tcPr>
          <w:p>
            <w:r>
              <w:rPr>
                <w:sz w:val="20"/>
              </w:rPr>
              <w:t>L09</w:t>
            </w:r>
          </w:p>
        </w:tc>
        <w:tc>
          <w:tcPr>
            <w:tcW w:type="dxa" w:w="2160"/>
            <w:shd w:fill="F0F4FA" w:val="clear"/>
          </w:tcPr>
          <w:p>
            <w:r>
              <w:rPr>
                <w:sz w:val="20"/>
              </w:rPr>
              <w:t>Assessment: incomplete inputs</w:t>
            </w:r>
          </w:p>
        </w:tc>
        <w:tc>
          <w:tcPr>
            <w:tcW w:type="dxa" w:w="3600"/>
            <w:shd w:fill="F0F4FA" w:val="clear"/>
          </w:tcPr>
          <w:p>
            <w:r>
              <w:rPr>
                <w:sz w:val="20"/>
              </w:rPr>
              <w:t>Obj 2 assessment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L14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Key takeaways</w:t>
            </w:r>
          </w:p>
        </w:tc>
        <w:tc>
          <w:tcPr>
            <w:tcW w:type="dxa" w:w="360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2"/>
      </w:pPr>
      <w:r>
        <w:t>Notes</w:t>
      </w:r>
    </w:p>
    <w:p>
      <w:pPr>
        <w:pStyle w:val="ListBullet"/>
      </w:pPr>
      <w:r>
        <w:t>Presentation column covers Slides 2-5 (teaching). Practice MCQs are Slides 6-7. Assessment MCQs are Slides 8-9. Summary is Slide 10. Clean separation.</w:t>
      </w:r>
    </w:p>
    <w:p>
      <w:pPr>
        <w:pStyle w:val="ListBullet"/>
      </w:pPr>
      <w:r>
        <w:t>Practice MCQs are simpler knowledge-checks (outline Q2, Q4). Assessment MCQs are harder scenario questions (outline Q1, Q3).</w:t>
      </w:r>
    </w:p>
    <w:p>
      <w:pPr>
        <w:pStyle w:val="ListBullet"/>
      </w:pPr>
      <w:r>
        <w:t>Source gap: outline Slide 4 (explicit best practices) and Slide 11 (EY service lines) remain excluded pending source material.</w:t>
      </w:r>
    </w:p>
    <w:p>
      <w:pPr>
        <w:pStyle w:val="ListBullet"/>
      </w:pPr>
      <w:r>
        <w:t>Source materials 6.3–6.6 are for later modules.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