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C2" w:rsidRPr="005D64E3" w:rsidRDefault="00764DC2" w:rsidP="00067C94">
      <w:pPr>
        <w:rPr>
          <w:rFonts w:cs="Arial"/>
          <w:sz w:val="24"/>
        </w:rPr>
      </w:pPr>
      <w:r>
        <w:rPr>
          <w:rFonts w:ascii="Arial" w:hAnsi="Arial" w:cs="Arial"/>
          <w:noProof/>
        </w:rPr>
        <mc:AlternateContent>
          <mc:Choice Requires="wps">
            <w:drawing>
              <wp:anchor distT="0" distB="0" distL="114300" distR="114300" simplePos="0" relativeHeight="251658239" behindDoc="1" locked="0" layoutInCell="1" allowOverlap="1">
                <wp:simplePos x="0" y="0"/>
                <wp:positionH relativeFrom="margin">
                  <wp:posOffset>-95250</wp:posOffset>
                </wp:positionH>
                <wp:positionV relativeFrom="paragraph">
                  <wp:posOffset>77470</wp:posOffset>
                </wp:positionV>
                <wp:extent cx="5553075" cy="342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55530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C2" w:rsidRDefault="00764DC2">
                            <w:r w:rsidRPr="00205D40">
                              <w:rPr>
                                <w:rFonts w:asciiTheme="majorEastAsia" w:eastAsiaTheme="majorEastAsia" w:hAnsiTheme="majorEastAsia" w:cs="Aharoni"/>
                                <w:b/>
                                <w:sz w:val="24"/>
                              </w:rPr>
                              <w:t>Table 1.1</w:t>
                            </w:r>
                            <w:r w:rsidRPr="005D64E3">
                              <w:rPr>
                                <w:rFonts w:cs="Arial"/>
                                <w:sz w:val="24"/>
                              </w:rPr>
                              <w:t xml:space="preserve"> Comparison Female Undergraduate and Graduate Enrolment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5pt;margin-top:6.1pt;width:437.25pt;height:27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" fillcolor="white [3201]" stroked="f" strokeweight=".5pt">
                <v:textbox>
                  <w:txbxContent>
                    <w:p w:rsidR="00764DC2" w:rsidRDefault="00764DC2">
                      <w:r w:rsidRPr="00205D40">
                        <w:rPr>
                          <w:rFonts w:asciiTheme="majorEastAsia" w:eastAsiaTheme="majorEastAsia" w:hAnsiTheme="majorEastAsia" w:cs="Aharoni"/>
                          <w:b/>
                          <w:sz w:val="24"/>
                        </w:rPr>
                        <w:t>Table 1.1</w:t>
                      </w:r>
                      <w:r w:rsidRPr="005D64E3">
                        <w:rPr>
                          <w:rFonts w:cs="Arial"/>
                          <w:sz w:val="24"/>
                        </w:rPr>
                        <w:t xml:space="preserve"> Comparison Female Undergraduate and Graduate Enrolment</w:t>
                      </w:r>
                    </w:p>
                  </w:txbxContent>
                </v:textbox>
                <w10:wrap anchorx="margin"/>
              </v:shape>
            </w:pict>
          </mc:Fallback>
        </mc:AlternateContent>
      </w:r>
    </w:p>
    <w:tbl>
      <w:tblPr>
        <w:tblStyle w:val="PlainTable1"/>
        <w:tblW w:w="0" w:type="auto"/>
        <w:tblLook w:val="04A0" w:firstRow="1" w:lastRow="0" w:firstColumn="1" w:lastColumn="0" w:noHBand="0" w:noVBand="1"/>
      </w:tblPr>
      <w:tblGrid>
        <w:gridCol w:w="3116"/>
        <w:gridCol w:w="3117"/>
        <w:gridCol w:w="3117"/>
      </w:tblGrid>
      <w:tr w:rsidR="006934B3" w:rsidRPr="00AE5FE3"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p>
        </w:tc>
        <w:tc>
          <w:tcPr>
            <w:tcW w:w="3117" w:type="dxa"/>
          </w:tcPr>
          <w:p w:rsidR="006934B3" w:rsidRPr="00AE5FE3" w:rsidRDefault="006934B3" w:rsidP="00497805">
            <w:pPr>
              <w:cnfStyle w:val="100000000000" w:firstRow="1" w:lastRow="0" w:firstColumn="0" w:lastColumn="0" w:oddVBand="0" w:evenVBand="0" w:oddHBand="0" w:evenHBand="0" w:firstRowFirstColumn="0" w:firstRowLastColumn="0" w:lastRowFirstColumn="0" w:lastRowLastColumn="0"/>
              <w:rPr>
                <w:sz w:val="28"/>
                <w:szCs w:val="28"/>
              </w:rPr>
            </w:pPr>
            <w:r w:rsidRPr="00AE5FE3">
              <w:rPr>
                <w:sz w:val="28"/>
                <w:szCs w:val="28"/>
              </w:rPr>
              <w:t xml:space="preserve">Female </w:t>
            </w:r>
            <w:r w:rsidR="00CE589D" w:rsidRPr="00AE5FE3">
              <w:rPr>
                <w:sz w:val="28"/>
                <w:szCs w:val="28"/>
              </w:rPr>
              <w:t xml:space="preserve">Undergraduate </w:t>
            </w:r>
          </w:p>
        </w:tc>
        <w:tc>
          <w:tcPr>
            <w:tcW w:w="3117" w:type="dxa"/>
          </w:tcPr>
          <w:p w:rsidR="006934B3" w:rsidRPr="00AE5FE3" w:rsidRDefault="00CE589D" w:rsidP="00497805">
            <w:pPr>
              <w:cnfStyle w:val="100000000000" w:firstRow="1" w:lastRow="0" w:firstColumn="0" w:lastColumn="0" w:oddVBand="0" w:evenVBand="0" w:oddHBand="0" w:evenHBand="0" w:firstRowFirstColumn="0" w:firstRowLastColumn="0" w:lastRowFirstColumn="0" w:lastRowLastColumn="0"/>
              <w:rPr>
                <w:sz w:val="28"/>
                <w:szCs w:val="28"/>
              </w:rPr>
            </w:pPr>
            <w:r w:rsidRPr="00AE5FE3">
              <w:rPr>
                <w:sz w:val="28"/>
                <w:szCs w:val="28"/>
              </w:rPr>
              <w:t>F</w:t>
            </w:r>
            <w:r w:rsidR="006934B3" w:rsidRPr="00AE5FE3">
              <w:rPr>
                <w:sz w:val="28"/>
                <w:szCs w:val="28"/>
              </w:rPr>
              <w:t xml:space="preserve">emale </w:t>
            </w:r>
            <w:r w:rsidRPr="00AE5FE3">
              <w:rPr>
                <w:sz w:val="28"/>
                <w:szCs w:val="28"/>
              </w:rPr>
              <w:t>G</w:t>
            </w:r>
            <w:r w:rsidR="006934B3" w:rsidRPr="00AE5FE3">
              <w:rPr>
                <w:sz w:val="28"/>
                <w:szCs w:val="28"/>
              </w:rPr>
              <w:t xml:space="preserve">raduate </w:t>
            </w:r>
          </w:p>
        </w:tc>
      </w:tr>
      <w:tr w:rsidR="006934B3" w:rsidRPr="00205D40"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2012-2013</w:t>
            </w:r>
          </w:p>
        </w:tc>
        <w:tc>
          <w:tcPr>
            <w:tcW w:w="3117" w:type="dxa"/>
          </w:tcPr>
          <w:p w:rsidR="006934B3" w:rsidRPr="00205D40" w:rsidRDefault="00F223B5">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55</w:t>
            </w:r>
          </w:p>
        </w:tc>
        <w:tc>
          <w:tcPr>
            <w:tcW w:w="3117" w:type="dxa"/>
          </w:tcPr>
          <w:p w:rsidR="006934B3" w:rsidRPr="00205D40" w:rsidRDefault="00F223B5">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72</w:t>
            </w:r>
          </w:p>
        </w:tc>
      </w:tr>
      <w:tr w:rsidR="006934B3" w:rsidRPr="00205D40" w:rsidTr="00AE5FE3">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2014-2015</w:t>
            </w:r>
          </w:p>
        </w:tc>
        <w:tc>
          <w:tcPr>
            <w:tcW w:w="3117" w:type="dxa"/>
          </w:tcPr>
          <w:p w:rsidR="006934B3" w:rsidRPr="00205D40" w:rsidRDefault="007C03EB">
            <w:pPr>
              <w:cnfStyle w:val="000000000000" w:firstRow="0" w:lastRow="0" w:firstColumn="0" w:lastColumn="0" w:oddVBand="0" w:evenVBand="0" w:oddHBand="0" w:evenHBand="0" w:firstRowFirstColumn="0" w:firstRowLastColumn="0" w:lastRowFirstColumn="0" w:lastRowLastColumn="0"/>
              <w:rPr>
                <w:sz w:val="28"/>
                <w:szCs w:val="28"/>
              </w:rPr>
            </w:pPr>
            <w:r w:rsidRPr="00205D40">
              <w:rPr>
                <w:sz w:val="28"/>
                <w:szCs w:val="28"/>
              </w:rPr>
              <w:t>84</w:t>
            </w:r>
          </w:p>
        </w:tc>
        <w:tc>
          <w:tcPr>
            <w:tcW w:w="3117" w:type="dxa"/>
          </w:tcPr>
          <w:p w:rsidR="006934B3" w:rsidRPr="00205D40" w:rsidRDefault="000A3635">
            <w:pPr>
              <w:cnfStyle w:val="000000000000" w:firstRow="0" w:lastRow="0" w:firstColumn="0" w:lastColumn="0" w:oddVBand="0" w:evenVBand="0" w:oddHBand="0" w:evenHBand="0" w:firstRowFirstColumn="0" w:firstRowLastColumn="0" w:lastRowFirstColumn="0" w:lastRowLastColumn="0"/>
              <w:rPr>
                <w:sz w:val="28"/>
                <w:szCs w:val="28"/>
              </w:rPr>
            </w:pPr>
            <w:r w:rsidRPr="00205D40">
              <w:rPr>
                <w:sz w:val="28"/>
                <w:szCs w:val="28"/>
              </w:rPr>
              <w:t>76</w:t>
            </w:r>
          </w:p>
        </w:tc>
      </w:tr>
      <w:tr w:rsidR="006934B3" w:rsidRPr="00205D40"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2016-2017</w:t>
            </w:r>
          </w:p>
        </w:tc>
        <w:tc>
          <w:tcPr>
            <w:tcW w:w="3117" w:type="dxa"/>
          </w:tcPr>
          <w:p w:rsidR="006934B3" w:rsidRPr="00205D40" w:rsidRDefault="00EC0CBB">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121</w:t>
            </w:r>
          </w:p>
        </w:tc>
        <w:tc>
          <w:tcPr>
            <w:tcW w:w="3117" w:type="dxa"/>
          </w:tcPr>
          <w:p w:rsidR="006934B3" w:rsidRPr="00205D40" w:rsidRDefault="00D62BCE">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97</w:t>
            </w:r>
          </w:p>
        </w:tc>
      </w:tr>
    </w:tbl>
    <w:p w:rsidR="00BC49C5" w:rsidRPr="005D64E3" w:rsidRDefault="00304F2C">
      <w:pPr>
        <w:rPr>
          <w:sz w:val="20"/>
        </w:rPr>
      </w:pPr>
      <w:r w:rsidRPr="007C7064">
        <w:rPr>
          <w:rFonts w:asciiTheme="majorEastAsia" w:eastAsiaTheme="majorEastAsia" w:hAnsiTheme="majorEastAsia" w:cs="Aharoni"/>
          <w:b/>
          <w:sz w:val="20"/>
        </w:rPr>
        <w:t>Source:</w:t>
      </w:r>
      <w:r w:rsidRPr="005D64E3">
        <w:rPr>
          <w:sz w:val="20"/>
        </w:rPr>
        <w:t xml:space="preserve"> </w:t>
      </w:r>
      <w:r w:rsidR="00E03521" w:rsidRPr="005D64E3">
        <w:rPr>
          <w:sz w:val="20"/>
        </w:rPr>
        <w:t>Dalhousie Analytics, https://www.dal.ca/dept/oiar/Advanced-analysis-planning/enrollment.html</w:t>
      </w:r>
    </w:p>
    <w:p w:rsidR="00C076CE" w:rsidRPr="005D64E3" w:rsidRDefault="00C076CE"/>
    <w:p w:rsidR="00C076CE" w:rsidRPr="005D64E3" w:rsidRDefault="00380E59">
      <w:r>
        <w:rPr>
          <w:rFonts w:ascii="Arial" w:hAnsi="Arial" w:cs="Arial"/>
          <w:noProof/>
        </w:rPr>
        <mc:AlternateContent>
          <mc:Choice Requires="wps">
            <w:drawing>
              <wp:anchor distT="0" distB="0" distL="114300" distR="114300" simplePos="0" relativeHeight="251658751" behindDoc="0" locked="0" layoutInCell="1" allowOverlap="1" wp14:anchorId="00EEF172" wp14:editId="69B159A2">
                <wp:simplePos x="0" y="0"/>
                <wp:positionH relativeFrom="margin">
                  <wp:posOffset>-95250</wp:posOffset>
                </wp:positionH>
                <wp:positionV relativeFrom="paragraph">
                  <wp:posOffset>3200400</wp:posOffset>
                </wp:positionV>
                <wp:extent cx="6029960" cy="266700"/>
                <wp:effectExtent l="0" t="0" r="8890" b="0"/>
                <wp:wrapNone/>
                <wp:docPr id="13" name="Text Box 13"/>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F172" id="Text Box 13" o:spid="_x0000_s1027" type="#_x0000_t202" style="position:absolute;margin-left:-7.5pt;margin-top:252pt;width:474.8pt;height:21pt;z-index:2516587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" fillcolor="white [3201]" stroked="f" strokeweight=".5pt">
                <v:textbo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v:textbox>
                <w10:wrap anchorx="margin"/>
              </v:shape>
            </w:pict>
          </mc:Fallback>
        </mc:AlternateContent>
      </w:r>
      <w:r w:rsidR="00764DC2">
        <w:rPr>
          <w:rFonts w:ascii="Arial" w:hAnsi="Arial" w:cs="Arial"/>
          <w:noProof/>
        </w:rPr>
        <mc:AlternateContent>
          <mc:Choice Requires="wps">
            <w:drawing>
              <wp:anchor distT="0" distB="0" distL="114300" distR="114300" simplePos="0" relativeHeight="251665408" behindDoc="1" locked="0" layoutInCell="1" allowOverlap="1" wp14:anchorId="68DF504F" wp14:editId="5A18D837">
                <wp:simplePos x="0" y="0"/>
                <wp:positionH relativeFrom="margin">
                  <wp:posOffset>-95250</wp:posOffset>
                </wp:positionH>
                <wp:positionV relativeFrom="paragraph">
                  <wp:posOffset>3029585</wp:posOffset>
                </wp:positionV>
                <wp:extent cx="6029960" cy="266700"/>
                <wp:effectExtent l="0" t="0" r="8890" b="0"/>
                <wp:wrapNone/>
                <wp:docPr id="11" name="Text Box 11"/>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C2" w:rsidRPr="00380E59" w:rsidRDefault="00764DC2" w:rsidP="00380E59">
                            <w:pPr>
                              <w:spacing w:line="180" w:lineRule="exact"/>
                            </w:pPr>
                            <w:r w:rsidRPr="007C7064">
                              <w:rPr>
                                <w:rFonts w:asciiTheme="majorEastAsia" w:eastAsiaTheme="majorEastAsia" w:hAnsiTheme="majorEastAsia" w:cs="Aharoni"/>
                                <w:b/>
                                <w:sz w:val="20"/>
                              </w:rPr>
                              <w:t>Figure 1.1</w:t>
                            </w:r>
                            <w:r w:rsidRPr="007C7064">
                              <w:rPr>
                                <w:sz w:val="18"/>
                              </w:rPr>
                              <w:t xml:space="preserve"> </w:t>
                            </w:r>
                            <w:r w:rsidRPr="005D64E3">
                              <w:t>Comparison Female Undergraduate and Graduate Enrolment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F504F" id="Text Box 11" o:spid="_x0000_s1028" type="#_x0000_t202" style="position:absolute;margin-left:-7.5pt;margin-top:238.55pt;width:474.8pt;height: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" fillcolor="white [3201]" stroked="f" strokeweight=".5pt">
                <v:textbox>
                  <w:txbxContent>
                    <w:p w:rsidR="00764DC2" w:rsidRPr="00380E59" w:rsidRDefault="00764DC2" w:rsidP="00380E59">
                      <w:pPr>
                        <w:spacing w:line="180" w:lineRule="exact"/>
                      </w:pPr>
                      <w:r w:rsidRPr="007C7064">
                        <w:rPr>
                          <w:rFonts w:asciiTheme="majorEastAsia" w:eastAsiaTheme="majorEastAsia" w:hAnsiTheme="majorEastAsia" w:cs="Aharoni"/>
                          <w:b/>
                          <w:sz w:val="20"/>
                        </w:rPr>
                        <w:t>Figure 1.1</w:t>
                      </w:r>
                      <w:r w:rsidRPr="007C7064">
                        <w:rPr>
                          <w:sz w:val="18"/>
                        </w:rPr>
                        <w:t xml:space="preserve"> </w:t>
                      </w:r>
                      <w:r w:rsidRPr="005D64E3">
                        <w:t>Comparison Female Undergraduate and Graduate Enrolment</w:t>
                      </w:r>
                    </w:p>
                  </w:txbxContent>
                </v:textbox>
                <w10:wrap anchorx="margin"/>
              </v:shape>
            </w:pict>
          </mc:Fallback>
        </mc:AlternateContent>
      </w:r>
      <w:r w:rsidR="003008E8" w:rsidRPr="005D64E3">
        <w:rPr>
          <w:noProof/>
        </w:rPr>
        <w:drawing>
          <wp:inline distT="0" distB="0" distL="0" distR="0" wp14:anchorId="5B49EDAD" wp14:editId="3E2FF9E9">
            <wp:extent cx="5934974" cy="3062377"/>
            <wp:effectExtent l="0" t="0" r="889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629B" w:rsidRPr="005D64E3" w:rsidRDefault="001F629B"/>
    <w:p w:rsidR="001F629B" w:rsidRPr="00764DC2" w:rsidRDefault="001F629B" w:rsidP="001F629B">
      <w:pPr>
        <w:rPr>
          <w:sz w:val="20"/>
          <w:lang w:val="fr-CA"/>
        </w:rPr>
      </w:pPr>
    </w:p>
    <w:p w:rsidR="001F629B" w:rsidRPr="00380E59" w:rsidRDefault="001F629B">
      <w:pPr>
        <w:rPr>
          <w:lang w:val="fr-CA"/>
        </w:rPr>
      </w:pPr>
    </w:p>
    <w:p w:rsidR="00C076CE" w:rsidRPr="00764DC2" w:rsidRDefault="00C076CE">
      <w:pPr>
        <w:rPr>
          <w:lang w:val="fr-CA"/>
        </w:rPr>
      </w:pPr>
    </w:p>
    <w:p w:rsidR="007C7064" w:rsidRPr="005613E6" w:rsidRDefault="007C7064">
      <w:pPr>
        <w:rPr>
          <w:rFonts w:asciiTheme="majorEastAsia" w:eastAsiaTheme="majorEastAsia" w:hAnsiTheme="majorEastAsia" w:cs="Aharoni"/>
          <w:b/>
        </w:rPr>
      </w:pPr>
      <w:r w:rsidRPr="005613E6">
        <w:rPr>
          <w:rFonts w:asciiTheme="majorEastAsia" w:eastAsiaTheme="majorEastAsia" w:hAnsiTheme="majorEastAsia" w:cs="Aharoni"/>
          <w:b/>
        </w:rPr>
        <w:t xml:space="preserve">The </w:t>
      </w:r>
      <w:r w:rsidR="005613E6" w:rsidRPr="005613E6">
        <w:rPr>
          <w:rFonts w:asciiTheme="majorEastAsia" w:eastAsiaTheme="majorEastAsia" w:hAnsiTheme="majorEastAsia" w:cs="Aharoni"/>
          <w:b/>
        </w:rPr>
        <w:t>explanation</w:t>
      </w:r>
    </w:p>
    <w:p w:rsidR="007C7064" w:rsidRDefault="00960410">
      <w:r>
        <w:t>Column bar graphs are useful in representing data with distinct units, such as years in this comparison sample. The disadvantage of bar chart is that it often require additional explanation because sometimes bar chart can be easily manipulated to give false impressions. But in this sample, the comparison is simple and data is clear. So the column bar has been chosen for this.</w:t>
      </w:r>
    </w:p>
    <w:p w:rsidR="009D104E" w:rsidRPr="005D64E3" w:rsidRDefault="009D104E">
      <w:r w:rsidRPr="005D64E3">
        <w:br w:type="page"/>
      </w:r>
    </w:p>
    <w:p w:rsidR="00464955" w:rsidRPr="005D64E3" w:rsidRDefault="00764DC2" w:rsidP="00464955">
      <w:pPr>
        <w:rPr>
          <w:rFonts w:cs="Arial"/>
          <w:sz w:val="24"/>
        </w:rPr>
      </w:pPr>
      <w:r>
        <w:rPr>
          <w:rFonts w:ascii="Arial" w:hAnsi="Arial" w:cs="Arial"/>
          <w:noProof/>
        </w:rPr>
        <w:lastRenderedPageBreak/>
        <mc:AlternateContent>
          <mc:Choice Requires="wps">
            <w:drawing>
              <wp:anchor distT="0" distB="0" distL="114300" distR="114300" simplePos="0" relativeHeight="251661312" behindDoc="1" locked="0" layoutInCell="1" allowOverlap="1" wp14:anchorId="27D9E8B3" wp14:editId="6DC0ED99">
                <wp:simplePos x="0" y="0"/>
                <wp:positionH relativeFrom="margin">
                  <wp:posOffset>-95250</wp:posOffset>
                </wp:positionH>
                <wp:positionV relativeFrom="paragraph">
                  <wp:posOffset>66040</wp:posOffset>
                </wp:positionV>
                <wp:extent cx="5553075" cy="2762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553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C2" w:rsidRDefault="00764DC2" w:rsidP="00764DC2">
                            <w:r>
                              <w:rPr>
                                <w:rFonts w:asciiTheme="majorEastAsia" w:eastAsiaTheme="majorEastAsia" w:hAnsiTheme="majorEastAsia" w:cs="Aharoni"/>
                                <w:b/>
                                <w:sz w:val="24"/>
                              </w:rPr>
                              <w:t>Table 1.2</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9E8B3" id="Text Box 9" o:spid="_x0000_s1029" type="#_x0000_t202" style="position:absolute;margin-left:-7.5pt;margin-top:5.2pt;width:437.25pt;height:21.7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" fillcolor="white [3201]" stroked="f" strokeweight=".5pt">
                <v:textbox>
                  <w:txbxContent>
                    <w:p w:rsidR="00764DC2" w:rsidRDefault="00764DC2" w:rsidP="00764DC2">
                      <w:r>
                        <w:rPr>
                          <w:rFonts w:asciiTheme="majorEastAsia" w:eastAsiaTheme="majorEastAsia" w:hAnsiTheme="majorEastAsia" w:cs="Aharoni"/>
                          <w:b/>
                          <w:sz w:val="24"/>
                        </w:rPr>
                        <w:t>Table 1.2</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xbxContent>
                </v:textbox>
                <w10:wrap anchorx="margin"/>
              </v:shape>
            </w:pict>
          </mc:Fallback>
        </mc:AlternateContent>
      </w:r>
    </w:p>
    <w:tbl>
      <w:tblPr>
        <w:tblStyle w:val="PlainTable1"/>
        <w:tblW w:w="0" w:type="auto"/>
        <w:tblLook w:val="04A0" w:firstRow="1" w:lastRow="0" w:firstColumn="1" w:lastColumn="0" w:noHBand="0" w:noVBand="1"/>
      </w:tblPr>
      <w:tblGrid>
        <w:gridCol w:w="4390"/>
        <w:gridCol w:w="1701"/>
        <w:gridCol w:w="1559"/>
        <w:gridCol w:w="1700"/>
      </w:tblGrid>
      <w:tr w:rsidR="00464955" w:rsidRPr="005D64E3"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p>
        </w:tc>
        <w:tc>
          <w:tcPr>
            <w:tcW w:w="1701"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2012-2013</w:t>
            </w:r>
          </w:p>
        </w:tc>
        <w:tc>
          <w:tcPr>
            <w:tcW w:w="1559"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2014-2015</w:t>
            </w:r>
          </w:p>
        </w:tc>
        <w:tc>
          <w:tcPr>
            <w:tcW w:w="1700"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2016-2017</w:t>
            </w:r>
          </w:p>
        </w:tc>
      </w:tr>
      <w:tr w:rsidR="00AE5FE3" w:rsidRPr="005D64E3"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Nova Scotia</w:t>
            </w:r>
          </w:p>
        </w:tc>
        <w:tc>
          <w:tcPr>
            <w:tcW w:w="1701"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232</w:t>
            </w:r>
          </w:p>
        </w:tc>
        <w:tc>
          <w:tcPr>
            <w:tcW w:w="1559"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288</w:t>
            </w:r>
          </w:p>
        </w:tc>
        <w:tc>
          <w:tcPr>
            <w:tcW w:w="1700"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363</w:t>
            </w:r>
          </w:p>
        </w:tc>
      </w:tr>
      <w:tr w:rsidR="00464955" w:rsidRPr="005D64E3" w:rsidTr="00AE5FE3">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Rest of Atlantic Canada (NB, PE, NL)</w:t>
            </w:r>
          </w:p>
        </w:tc>
        <w:tc>
          <w:tcPr>
            <w:tcW w:w="1701"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20</w:t>
            </w:r>
          </w:p>
        </w:tc>
        <w:tc>
          <w:tcPr>
            <w:tcW w:w="1559"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24</w:t>
            </w:r>
          </w:p>
        </w:tc>
        <w:tc>
          <w:tcPr>
            <w:tcW w:w="1700"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20</w:t>
            </w:r>
          </w:p>
        </w:tc>
      </w:tr>
      <w:tr w:rsidR="00AE5FE3" w:rsidRPr="005D64E3"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 xml:space="preserve">Other Canadian </w:t>
            </w:r>
          </w:p>
        </w:tc>
        <w:tc>
          <w:tcPr>
            <w:tcW w:w="1701"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63</w:t>
            </w:r>
          </w:p>
        </w:tc>
        <w:tc>
          <w:tcPr>
            <w:tcW w:w="1559"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81</w:t>
            </w:r>
          </w:p>
        </w:tc>
        <w:tc>
          <w:tcPr>
            <w:tcW w:w="1700"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95</w:t>
            </w:r>
          </w:p>
        </w:tc>
      </w:tr>
      <w:tr w:rsidR="00464955" w:rsidRPr="005D64E3" w:rsidTr="00AE5FE3">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International</w:t>
            </w:r>
          </w:p>
        </w:tc>
        <w:tc>
          <w:tcPr>
            <w:tcW w:w="1701"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109</w:t>
            </w:r>
          </w:p>
        </w:tc>
        <w:tc>
          <w:tcPr>
            <w:tcW w:w="1559"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164</w:t>
            </w:r>
          </w:p>
        </w:tc>
        <w:tc>
          <w:tcPr>
            <w:tcW w:w="1700"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253</w:t>
            </w:r>
          </w:p>
        </w:tc>
      </w:tr>
    </w:tbl>
    <w:p w:rsidR="00464955" w:rsidRPr="002A31E5" w:rsidRDefault="00464955" w:rsidP="00464955">
      <w:pPr>
        <w:rPr>
          <w:sz w:val="20"/>
          <w:lang w:val="fr-CA"/>
        </w:rPr>
      </w:pPr>
      <w:r w:rsidRPr="002A31E5">
        <w:rPr>
          <w:rFonts w:asciiTheme="majorEastAsia" w:eastAsiaTheme="majorEastAsia" w:hAnsiTheme="majorEastAsia" w:cs="Aharoni"/>
          <w:b/>
          <w:sz w:val="20"/>
          <w:lang w:val="fr-CA"/>
        </w:rPr>
        <w:t>Source:</w:t>
      </w:r>
      <w:r w:rsidRPr="002A31E5">
        <w:rPr>
          <w:sz w:val="20"/>
          <w:lang w:val="fr-CA"/>
        </w:rPr>
        <w:t xml:space="preserve"> Dalhousie </w:t>
      </w:r>
      <w:proofErr w:type="spellStart"/>
      <w:r w:rsidRPr="002A31E5">
        <w:rPr>
          <w:sz w:val="20"/>
          <w:lang w:val="fr-CA"/>
        </w:rPr>
        <w:t>Analytics</w:t>
      </w:r>
      <w:proofErr w:type="spellEnd"/>
      <w:r w:rsidRPr="002A31E5">
        <w:rPr>
          <w:sz w:val="20"/>
          <w:lang w:val="fr-CA"/>
        </w:rPr>
        <w:t>, https://www.dal.ca/dept/oiar/Advanced-analysis-planning/enrollment.html</w:t>
      </w:r>
    </w:p>
    <w:p w:rsidR="00464955" w:rsidRPr="002A31E5" w:rsidRDefault="00464955" w:rsidP="00464955">
      <w:pPr>
        <w:rPr>
          <w:lang w:val="fr-CA"/>
        </w:rPr>
      </w:pPr>
    </w:p>
    <w:p w:rsidR="00464955" w:rsidRDefault="00B92F4A" w:rsidP="00464955">
      <w:r>
        <w:rPr>
          <w:rFonts w:ascii="Arial" w:hAnsi="Arial" w:cs="Arial"/>
          <w:noProof/>
        </w:rPr>
        <mc:AlternateContent>
          <mc:Choice Requires="wps">
            <w:drawing>
              <wp:anchor distT="0" distB="0" distL="114300" distR="114300" simplePos="0" relativeHeight="251667456" behindDoc="0" locked="0" layoutInCell="1" allowOverlap="1" wp14:anchorId="1FCFA37A" wp14:editId="7BBF417B">
                <wp:simplePos x="0" y="0"/>
                <wp:positionH relativeFrom="margin">
                  <wp:posOffset>-95250</wp:posOffset>
                </wp:positionH>
                <wp:positionV relativeFrom="paragraph">
                  <wp:posOffset>3143250</wp:posOffset>
                </wp:positionV>
                <wp:extent cx="6029960" cy="266700"/>
                <wp:effectExtent l="0" t="0" r="8890" b="0"/>
                <wp:wrapNone/>
                <wp:docPr id="15" name="Text Box 15"/>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A37A" id="Text Box 15" o:spid="_x0000_s1030" type="#_x0000_t202" style="position:absolute;margin-left:-7.5pt;margin-top:247.5pt;width:474.8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" fillcolor="white [3201]" stroked="f" strokeweight=".5pt">
                <v:textbo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v:textbox>
                <w10:wrap anchorx="margin"/>
              </v:shape>
            </w:pict>
          </mc:Fallback>
        </mc:AlternateContent>
      </w:r>
      <w:r w:rsidR="00380E59">
        <w:rPr>
          <w:rFonts w:ascii="Arial" w:hAnsi="Arial" w:cs="Arial"/>
          <w:noProof/>
        </w:rPr>
        <mc:AlternateContent>
          <mc:Choice Requires="wps">
            <w:drawing>
              <wp:anchor distT="0" distB="0" distL="114300" distR="114300" simplePos="0" relativeHeight="251670528" behindDoc="1" locked="0" layoutInCell="1" allowOverlap="1" wp14:anchorId="0C80EFB2" wp14:editId="49784546">
                <wp:simplePos x="0" y="0"/>
                <wp:positionH relativeFrom="margin">
                  <wp:posOffset>-95250</wp:posOffset>
                </wp:positionH>
                <wp:positionV relativeFrom="paragraph">
                  <wp:posOffset>2937510</wp:posOffset>
                </wp:positionV>
                <wp:extent cx="6029960" cy="266700"/>
                <wp:effectExtent l="0" t="0" r="8890" b="0"/>
                <wp:wrapNone/>
                <wp:docPr id="17" name="Text Box 17"/>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0E59" w:rsidRPr="005D64E3" w:rsidRDefault="00380E59" w:rsidP="00380E59">
                            <w:r>
                              <w:rPr>
                                <w:rFonts w:asciiTheme="majorEastAsia" w:eastAsiaTheme="majorEastAsia" w:hAnsiTheme="majorEastAsia" w:cs="Aharoni"/>
                                <w:b/>
                                <w:sz w:val="20"/>
                              </w:rPr>
                              <w:t>Figure 1.2</w:t>
                            </w:r>
                            <w:r w:rsidRPr="007C7064">
                              <w:rPr>
                                <w:sz w:val="18"/>
                              </w:rPr>
                              <w:t xml:space="preserve"> </w:t>
                            </w:r>
                            <w:r w:rsidRPr="002A31E5">
                              <w:t>Comparison Undergraduate Student Enrolment by Place of Residence</w:t>
                            </w:r>
                          </w:p>
                          <w:p w:rsidR="00380E59" w:rsidRPr="00380E59" w:rsidRDefault="00380E59" w:rsidP="00380E59">
                            <w:pPr>
                              <w:spacing w:line="18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EFB2" id="Text Box 17" o:spid="_x0000_s1031" type="#_x0000_t202" style="position:absolute;margin-left:-7.5pt;margin-top:231.3pt;width:474.8pt;height:2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" fillcolor="white [3201]" stroked="f" strokeweight=".5pt">
                <v:textbox>
                  <w:txbxContent>
                    <w:p w:rsidR="00380E59" w:rsidRPr="005D64E3" w:rsidRDefault="00380E59" w:rsidP="00380E59">
                      <w:r>
                        <w:rPr>
                          <w:rFonts w:asciiTheme="majorEastAsia" w:eastAsiaTheme="majorEastAsia" w:hAnsiTheme="majorEastAsia" w:cs="Aharoni"/>
                          <w:b/>
                          <w:sz w:val="20"/>
                        </w:rPr>
                        <w:t>Figure 1.2</w:t>
                      </w:r>
                      <w:r w:rsidRPr="007C7064">
                        <w:rPr>
                          <w:sz w:val="18"/>
                        </w:rPr>
                        <w:t xml:space="preserve"> </w:t>
                      </w:r>
                      <w:r w:rsidRPr="002A31E5">
                        <w:t>Comparison Undergraduate Student Enrolment by Place of Residence</w:t>
                      </w:r>
                    </w:p>
                    <w:p w:rsidR="00380E59" w:rsidRPr="00380E59" w:rsidRDefault="00380E59" w:rsidP="00380E59">
                      <w:pPr>
                        <w:spacing w:line="180" w:lineRule="exact"/>
                      </w:pPr>
                    </w:p>
                  </w:txbxContent>
                </v:textbox>
                <w10:wrap anchorx="margin"/>
              </v:shape>
            </w:pict>
          </mc:Fallback>
        </mc:AlternateContent>
      </w:r>
      <w:r w:rsidR="00464955">
        <w:rPr>
          <w:noProof/>
        </w:rPr>
        <w:drawing>
          <wp:inline distT="0" distB="0" distL="0" distR="0" wp14:anchorId="4B9CDB46" wp14:editId="7B3B8C42">
            <wp:extent cx="5964865" cy="2998382"/>
            <wp:effectExtent l="0" t="0" r="1714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80E59" w:rsidRPr="005D64E3" w:rsidRDefault="00380E59" w:rsidP="00380E59"/>
    <w:p w:rsidR="00464955" w:rsidRPr="00464955" w:rsidRDefault="00464955" w:rsidP="00464955">
      <w:pPr>
        <w:rPr>
          <w:lang w:val="fr-CA"/>
        </w:rPr>
      </w:pPr>
    </w:p>
    <w:p w:rsidR="00464955" w:rsidRDefault="00464955" w:rsidP="00464955">
      <w:pPr>
        <w:rPr>
          <w:lang w:val="fr-CA"/>
        </w:rPr>
      </w:pPr>
    </w:p>
    <w:p w:rsidR="00B92F4A" w:rsidRPr="00464955" w:rsidRDefault="00B92F4A" w:rsidP="00464955">
      <w:pPr>
        <w:rPr>
          <w:lang w:val="fr-CA"/>
        </w:rPr>
      </w:pPr>
    </w:p>
    <w:p w:rsidR="00464955" w:rsidRPr="005613E6" w:rsidRDefault="00464955" w:rsidP="00464955">
      <w:pPr>
        <w:rPr>
          <w:rFonts w:asciiTheme="majorEastAsia" w:eastAsiaTheme="majorEastAsia" w:hAnsiTheme="majorEastAsia" w:cs="Aharoni"/>
          <w:b/>
        </w:rPr>
      </w:pPr>
      <w:r w:rsidRPr="005613E6">
        <w:rPr>
          <w:rFonts w:asciiTheme="majorEastAsia" w:eastAsiaTheme="majorEastAsia" w:hAnsiTheme="majorEastAsia" w:cs="Aharoni"/>
          <w:b/>
        </w:rPr>
        <w:t>The explanation</w:t>
      </w:r>
    </w:p>
    <w:p w:rsidR="00464955" w:rsidRDefault="00934C1D" w:rsidP="00464955">
      <w:r>
        <w:t xml:space="preserve">Stacked bar charts are sued to show how a larger category is divided into smaller subcategories and what the relationship of each part has on the total amount. For this sample, the enrolment by place of residence can be shown clearly, at the same time, the readers can find the different proportion of different place in each year. So the stacked bar chart has been chosen for this sample.  </w:t>
      </w:r>
    </w:p>
    <w:p w:rsidR="00B92F4A" w:rsidRDefault="00B92F4A">
      <w:r>
        <w:br w:type="page"/>
      </w:r>
    </w:p>
    <w:p w:rsidR="000E6502" w:rsidRDefault="00764DC2" w:rsidP="000E6502">
      <w:pPr>
        <w:rPr>
          <w:rFonts w:cs="Arial"/>
          <w:sz w:val="24"/>
        </w:rPr>
      </w:pPr>
      <w:r>
        <w:rPr>
          <w:rFonts w:ascii="Arial" w:hAnsi="Arial" w:cs="Arial"/>
          <w:noProof/>
        </w:rPr>
        <w:lastRenderedPageBreak/>
        <mc:AlternateContent>
          <mc:Choice Requires="wps">
            <w:drawing>
              <wp:anchor distT="0" distB="0" distL="114300" distR="114300" simplePos="0" relativeHeight="251663360" behindDoc="1" locked="0" layoutInCell="1" allowOverlap="1" wp14:anchorId="709979AC" wp14:editId="4ADDA249">
                <wp:simplePos x="0" y="0"/>
                <wp:positionH relativeFrom="margin">
                  <wp:posOffset>-104775</wp:posOffset>
                </wp:positionH>
                <wp:positionV relativeFrom="paragraph">
                  <wp:posOffset>66040</wp:posOffset>
                </wp:positionV>
                <wp:extent cx="5553075" cy="2762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5553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4DC2" w:rsidRDefault="00764DC2" w:rsidP="00764DC2">
                            <w:r>
                              <w:rPr>
                                <w:rFonts w:asciiTheme="majorEastAsia" w:eastAsiaTheme="majorEastAsia" w:hAnsiTheme="majorEastAsia" w:cs="Aharoni"/>
                                <w:b/>
                                <w:sz w:val="24"/>
                              </w:rPr>
                              <w:t>Table 1.3</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979AC" id="Text Box 10" o:spid="_x0000_s1032" type="#_x0000_t202" style="position:absolute;margin-left:-8.25pt;margin-top:5.2pt;width:437.25pt;height:21.7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" fillcolor="white [3201]" stroked="f" strokeweight=".5pt">
                <v:textbox>
                  <w:txbxContent>
                    <w:p w:rsidR="00764DC2" w:rsidRDefault="00764DC2" w:rsidP="00764DC2">
                      <w:r>
                        <w:rPr>
                          <w:rFonts w:asciiTheme="majorEastAsia" w:eastAsiaTheme="majorEastAsia" w:hAnsiTheme="majorEastAsia" w:cs="Aharoni"/>
                          <w:b/>
                          <w:sz w:val="24"/>
                        </w:rPr>
                        <w:t>Table 1.3</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xbxContent>
                </v:textbox>
                <w10:wrap anchorx="margin"/>
              </v:shape>
            </w:pict>
          </mc:Fallback>
        </mc:AlternateContent>
      </w:r>
    </w:p>
    <w:tbl>
      <w:tblPr>
        <w:tblStyle w:val="PlainTable1"/>
        <w:tblW w:w="0" w:type="auto"/>
        <w:tblLook w:val="04A0" w:firstRow="1" w:lastRow="0" w:firstColumn="1" w:lastColumn="0" w:noHBand="0" w:noVBand="1"/>
      </w:tblPr>
      <w:tblGrid>
        <w:gridCol w:w="1523"/>
        <w:gridCol w:w="3859"/>
        <w:gridCol w:w="1417"/>
        <w:gridCol w:w="1288"/>
        <w:gridCol w:w="1263"/>
      </w:tblGrid>
      <w:tr w:rsidR="000E6502" w:rsidRPr="00D436C4"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0E6502" w:rsidRPr="00D436C4" w:rsidRDefault="000E6502" w:rsidP="00E46464">
            <w:pPr>
              <w:rPr>
                <w:sz w:val="24"/>
              </w:rPr>
            </w:pPr>
          </w:p>
        </w:tc>
        <w:tc>
          <w:tcPr>
            <w:tcW w:w="3859"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p>
        </w:tc>
        <w:tc>
          <w:tcPr>
            <w:tcW w:w="1417"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2012-2013</w:t>
            </w:r>
          </w:p>
        </w:tc>
        <w:tc>
          <w:tcPr>
            <w:tcW w:w="1288"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2014-2015</w:t>
            </w:r>
          </w:p>
        </w:tc>
        <w:tc>
          <w:tcPr>
            <w:tcW w:w="1263"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2016-2017</w:t>
            </w:r>
          </w:p>
        </w:tc>
      </w:tr>
      <w:tr w:rsidR="00AE5FE3" w:rsidRPr="00D436C4"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Merge w:val="restart"/>
          </w:tcPr>
          <w:p w:rsidR="00E95814" w:rsidRDefault="000E6502" w:rsidP="00E46464">
            <w:pPr>
              <w:rPr>
                <w:b w:val="0"/>
                <w:bCs w:val="0"/>
                <w:sz w:val="24"/>
              </w:rPr>
            </w:pPr>
            <w:r w:rsidRPr="00D436C4">
              <w:rPr>
                <w:sz w:val="24"/>
              </w:rPr>
              <w:t>Canadian</w:t>
            </w:r>
          </w:p>
          <w:p w:rsidR="000E6502" w:rsidRPr="00E95814" w:rsidRDefault="000E6502" w:rsidP="00E95814">
            <w:pPr>
              <w:jc w:val="center"/>
              <w:rPr>
                <w:sz w:val="24"/>
              </w:rPr>
            </w:pPr>
          </w:p>
        </w:tc>
        <w:tc>
          <w:tcPr>
            <w:tcW w:w="3859" w:type="dxa"/>
          </w:tcPr>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r w:rsidRPr="00AE5FE3">
              <w:rPr>
                <w:b/>
                <w:sz w:val="24"/>
              </w:rPr>
              <w:t>Nova Scotia</w:t>
            </w:r>
          </w:p>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p>
        </w:tc>
        <w:tc>
          <w:tcPr>
            <w:tcW w:w="1417"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232</w:t>
            </w:r>
          </w:p>
        </w:tc>
        <w:tc>
          <w:tcPr>
            <w:tcW w:w="1288"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288</w:t>
            </w:r>
          </w:p>
        </w:tc>
        <w:tc>
          <w:tcPr>
            <w:tcW w:w="1263"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363</w:t>
            </w:r>
          </w:p>
        </w:tc>
      </w:tr>
      <w:tr w:rsidR="00AE5FE3" w:rsidRPr="00D436C4" w:rsidTr="00AE5FE3">
        <w:tc>
          <w:tcPr>
            <w:cnfStyle w:val="001000000000" w:firstRow="0" w:lastRow="0" w:firstColumn="1" w:lastColumn="0" w:oddVBand="0" w:evenVBand="0" w:oddHBand="0" w:evenHBand="0" w:firstRowFirstColumn="0" w:firstRowLastColumn="0" w:lastRowFirstColumn="0" w:lastRowLastColumn="0"/>
            <w:tcW w:w="1523" w:type="dxa"/>
            <w:vMerge/>
          </w:tcPr>
          <w:p w:rsidR="000E6502" w:rsidRPr="00D436C4" w:rsidRDefault="000E6502" w:rsidP="00E46464">
            <w:pPr>
              <w:rPr>
                <w:sz w:val="24"/>
              </w:rPr>
            </w:pPr>
          </w:p>
        </w:tc>
        <w:tc>
          <w:tcPr>
            <w:tcW w:w="3859" w:type="dxa"/>
          </w:tcPr>
          <w:p w:rsidR="000E6502" w:rsidRPr="00AE5FE3" w:rsidRDefault="000E6502" w:rsidP="00AE5FE3">
            <w:pPr>
              <w:cnfStyle w:val="000000000000" w:firstRow="0" w:lastRow="0" w:firstColumn="0" w:lastColumn="0" w:oddVBand="0" w:evenVBand="0" w:oddHBand="0" w:evenHBand="0" w:firstRowFirstColumn="0" w:firstRowLastColumn="0" w:lastRowFirstColumn="0" w:lastRowLastColumn="0"/>
              <w:rPr>
                <w:b/>
                <w:sz w:val="24"/>
              </w:rPr>
            </w:pPr>
            <w:r w:rsidRPr="00AE5FE3">
              <w:rPr>
                <w:b/>
                <w:sz w:val="24"/>
              </w:rPr>
              <w:t>Rest of</w:t>
            </w:r>
            <w:r w:rsidR="00AE5FE3">
              <w:rPr>
                <w:b/>
                <w:sz w:val="24"/>
              </w:rPr>
              <w:t xml:space="preserve"> </w:t>
            </w:r>
            <w:r w:rsidRPr="00AE5FE3">
              <w:rPr>
                <w:b/>
                <w:sz w:val="24"/>
              </w:rPr>
              <w:t>Atlantic Canada (NB, PE, NL)</w:t>
            </w:r>
          </w:p>
        </w:tc>
        <w:tc>
          <w:tcPr>
            <w:tcW w:w="1417"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20</w:t>
            </w:r>
          </w:p>
        </w:tc>
        <w:tc>
          <w:tcPr>
            <w:tcW w:w="1288"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24</w:t>
            </w:r>
          </w:p>
        </w:tc>
        <w:tc>
          <w:tcPr>
            <w:tcW w:w="1263"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20</w:t>
            </w:r>
          </w:p>
        </w:tc>
      </w:tr>
      <w:tr w:rsidR="00AE5FE3" w:rsidRPr="00D436C4"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Merge/>
          </w:tcPr>
          <w:p w:rsidR="000E6502" w:rsidRPr="00D436C4" w:rsidRDefault="000E6502" w:rsidP="00E46464">
            <w:pPr>
              <w:rPr>
                <w:sz w:val="24"/>
              </w:rPr>
            </w:pPr>
          </w:p>
        </w:tc>
        <w:tc>
          <w:tcPr>
            <w:tcW w:w="3859" w:type="dxa"/>
          </w:tcPr>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r w:rsidRPr="00AE5FE3">
              <w:rPr>
                <w:b/>
                <w:sz w:val="24"/>
              </w:rPr>
              <w:t xml:space="preserve">Other Canadian </w:t>
            </w:r>
          </w:p>
        </w:tc>
        <w:tc>
          <w:tcPr>
            <w:tcW w:w="1417"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63</w:t>
            </w:r>
          </w:p>
        </w:tc>
        <w:tc>
          <w:tcPr>
            <w:tcW w:w="1288"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81</w:t>
            </w:r>
          </w:p>
        </w:tc>
        <w:tc>
          <w:tcPr>
            <w:tcW w:w="1263"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95</w:t>
            </w:r>
          </w:p>
        </w:tc>
      </w:tr>
      <w:tr w:rsidR="000E6502" w:rsidRPr="00D436C4" w:rsidTr="00AE5FE3">
        <w:tc>
          <w:tcPr>
            <w:cnfStyle w:val="001000000000" w:firstRow="0" w:lastRow="0" w:firstColumn="1" w:lastColumn="0" w:oddVBand="0" w:evenVBand="0" w:oddHBand="0" w:evenHBand="0" w:firstRowFirstColumn="0" w:firstRowLastColumn="0" w:lastRowFirstColumn="0" w:lastRowLastColumn="0"/>
            <w:tcW w:w="1523" w:type="dxa"/>
          </w:tcPr>
          <w:p w:rsidR="000E6502" w:rsidRPr="00D436C4" w:rsidRDefault="000E6502" w:rsidP="00E46464">
            <w:pPr>
              <w:rPr>
                <w:sz w:val="24"/>
              </w:rPr>
            </w:pPr>
            <w:r w:rsidRPr="00D436C4">
              <w:rPr>
                <w:sz w:val="24"/>
              </w:rPr>
              <w:t>International</w:t>
            </w:r>
          </w:p>
        </w:tc>
        <w:tc>
          <w:tcPr>
            <w:tcW w:w="3859"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p>
        </w:tc>
        <w:tc>
          <w:tcPr>
            <w:tcW w:w="1417"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109</w:t>
            </w:r>
          </w:p>
        </w:tc>
        <w:tc>
          <w:tcPr>
            <w:tcW w:w="1288"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164</w:t>
            </w:r>
          </w:p>
        </w:tc>
        <w:tc>
          <w:tcPr>
            <w:tcW w:w="1263"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253</w:t>
            </w:r>
          </w:p>
        </w:tc>
      </w:tr>
    </w:tbl>
    <w:p w:rsidR="000E6502" w:rsidRPr="002A31E5" w:rsidRDefault="000E6502" w:rsidP="000E6502">
      <w:pPr>
        <w:rPr>
          <w:sz w:val="20"/>
          <w:lang w:val="fr-CA"/>
        </w:rPr>
      </w:pPr>
      <w:r w:rsidRPr="002A31E5">
        <w:rPr>
          <w:rFonts w:asciiTheme="majorEastAsia" w:eastAsiaTheme="majorEastAsia" w:hAnsiTheme="majorEastAsia" w:cs="Aharoni"/>
          <w:b/>
          <w:sz w:val="20"/>
          <w:lang w:val="fr-CA"/>
        </w:rPr>
        <w:t>Source:</w:t>
      </w:r>
      <w:r w:rsidRPr="002A31E5">
        <w:rPr>
          <w:sz w:val="20"/>
          <w:lang w:val="fr-CA"/>
        </w:rPr>
        <w:t xml:space="preserve"> Dalhousie </w:t>
      </w:r>
      <w:proofErr w:type="spellStart"/>
      <w:r w:rsidRPr="002A31E5">
        <w:rPr>
          <w:sz w:val="20"/>
          <w:lang w:val="fr-CA"/>
        </w:rPr>
        <w:t>Analytics</w:t>
      </w:r>
      <w:proofErr w:type="spellEnd"/>
      <w:r w:rsidRPr="002A31E5">
        <w:rPr>
          <w:sz w:val="20"/>
          <w:lang w:val="fr-CA"/>
        </w:rPr>
        <w:t>, https://www.dal.ca/dept/oiar/Advanced-analysis-planning/enrollment.html</w:t>
      </w:r>
    </w:p>
    <w:p w:rsidR="000E6502" w:rsidRPr="00D436C4" w:rsidRDefault="000E6502" w:rsidP="000E6502">
      <w:pPr>
        <w:rPr>
          <w:rFonts w:cs="Arial"/>
          <w:sz w:val="24"/>
          <w:lang w:val="fr-CA"/>
        </w:rPr>
      </w:pPr>
    </w:p>
    <w:p w:rsidR="000E6502" w:rsidRDefault="00B92F4A" w:rsidP="000E6502">
      <w:r>
        <w:rPr>
          <w:rFonts w:ascii="Arial" w:hAnsi="Arial" w:cs="Arial"/>
          <w:noProof/>
        </w:rPr>
        <mc:AlternateContent>
          <mc:Choice Requires="wps">
            <w:drawing>
              <wp:anchor distT="0" distB="0" distL="114300" distR="114300" simplePos="0" relativeHeight="251672576" behindDoc="0" locked="0" layoutInCell="1" allowOverlap="1" wp14:anchorId="4C523FC8" wp14:editId="0A65B98C">
                <wp:simplePos x="0" y="0"/>
                <wp:positionH relativeFrom="margin">
                  <wp:posOffset>-95250</wp:posOffset>
                </wp:positionH>
                <wp:positionV relativeFrom="paragraph">
                  <wp:posOffset>3391535</wp:posOffset>
                </wp:positionV>
                <wp:extent cx="6029960" cy="266700"/>
                <wp:effectExtent l="0" t="0" r="8890" b="0"/>
                <wp:wrapNone/>
                <wp:docPr id="19" name="Text Box 19"/>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23FC8" id="Text Box 19" o:spid="_x0000_s1033" type="#_x0000_t202" style="position:absolute;margin-left:-7.5pt;margin-top:267.05pt;width:474.8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" fillcolor="white [3201]" stroked="f" strokeweight=".5pt">
                <v:textbox>
                  <w:txbxContent>
                    <w:p w:rsidR="00380E59" w:rsidRPr="00764DC2" w:rsidRDefault="00380E59" w:rsidP="00380E59">
                      <w:pPr>
                        <w:spacing w:line="180" w:lineRule="exact"/>
                        <w:rPr>
                          <w:lang w:val="fr-CA"/>
                        </w:rPr>
                      </w:pPr>
                      <w:r w:rsidRPr="00764DC2">
                        <w:rPr>
                          <w:rFonts w:asciiTheme="majorEastAsia" w:eastAsiaTheme="majorEastAsia" w:hAnsiTheme="majorEastAsia" w:cs="Aharoni"/>
                          <w:b/>
                          <w:sz w:val="20"/>
                          <w:lang w:val="fr-CA"/>
                        </w:rPr>
                        <w:t>Source:</w:t>
                      </w:r>
                      <w:r w:rsidRPr="00764DC2">
                        <w:rPr>
                          <w:sz w:val="20"/>
                          <w:lang w:val="fr-CA"/>
                        </w:rPr>
                        <w:t xml:space="preserve"> Dalhousie </w:t>
                      </w:r>
                      <w:proofErr w:type="spellStart"/>
                      <w:r w:rsidRPr="00764DC2">
                        <w:rPr>
                          <w:sz w:val="20"/>
                          <w:lang w:val="fr-CA"/>
                        </w:rPr>
                        <w:t>Analytics</w:t>
                      </w:r>
                      <w:proofErr w:type="spellEnd"/>
                      <w:r w:rsidRPr="00764DC2">
                        <w:rPr>
                          <w:sz w:val="20"/>
                          <w:lang w:val="fr-CA"/>
                        </w:rPr>
                        <w:t>, https://www.dal.ca/dept/oiar/Advanced-analysis-planning/enrollment.html</w:t>
                      </w:r>
                    </w:p>
                    <w:p w:rsidR="00380E59" w:rsidRPr="00380E59" w:rsidRDefault="00380E59" w:rsidP="00380E59">
                      <w:pPr>
                        <w:spacing w:line="180" w:lineRule="exact"/>
                        <w:rPr>
                          <w:lang w:val="fr-CA"/>
                        </w:rPr>
                      </w:pP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74624" behindDoc="1" locked="0" layoutInCell="1" allowOverlap="1" wp14:anchorId="283B7E7A" wp14:editId="0D6FD030">
                <wp:simplePos x="0" y="0"/>
                <wp:positionH relativeFrom="margin">
                  <wp:posOffset>-95250</wp:posOffset>
                </wp:positionH>
                <wp:positionV relativeFrom="paragraph">
                  <wp:posOffset>3239135</wp:posOffset>
                </wp:positionV>
                <wp:extent cx="6029960" cy="266700"/>
                <wp:effectExtent l="0" t="0" r="8890" b="0"/>
                <wp:wrapNone/>
                <wp:docPr id="20" name="Text Box 20"/>
                <wp:cNvGraphicFramePr/>
                <a:graphic xmlns:a="http://schemas.openxmlformats.org/drawingml/2006/main">
                  <a:graphicData uri="http://schemas.microsoft.com/office/word/2010/wordprocessingShape">
                    <wps:wsp>
                      <wps:cNvSpPr txBox="1"/>
                      <wps:spPr>
                        <a:xfrm>
                          <a:off x="0" y="0"/>
                          <a:ext cx="60299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2F4A" w:rsidRPr="00B92F4A" w:rsidRDefault="00B92F4A" w:rsidP="00B92F4A">
                            <w:pPr>
                              <w:spacing w:line="180" w:lineRule="exact"/>
                            </w:pPr>
                            <w:r>
                              <w:rPr>
                                <w:rFonts w:asciiTheme="majorEastAsia" w:eastAsiaTheme="majorEastAsia" w:hAnsiTheme="majorEastAsia" w:cs="Aharoni"/>
                                <w:b/>
                                <w:sz w:val="20"/>
                              </w:rPr>
                              <w:t>Figure 1.3</w:t>
                            </w:r>
                            <w:r w:rsidRPr="007C7064">
                              <w:rPr>
                                <w:sz w:val="18"/>
                              </w:rPr>
                              <w:t xml:space="preserve"> </w:t>
                            </w:r>
                            <w:r w:rsidRPr="002A31E5">
                              <w:t>Comparison Undergraduate Student Enrolment by Place of Residence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B7E7A" id="Text Box 20" o:spid="_x0000_s1034" type="#_x0000_t202" style="position:absolute;margin-left:-7.5pt;margin-top:255.05pt;width:474.8pt;height:21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" fillcolor="white [3201]" stroked="f" strokeweight=".5pt">
                <v:textbox>
                  <w:txbxContent>
                    <w:p w:rsidR="00B92F4A" w:rsidRPr="00B92F4A" w:rsidRDefault="00B92F4A" w:rsidP="00B92F4A">
                      <w:pPr>
                        <w:spacing w:line="180" w:lineRule="exact"/>
                      </w:pPr>
                      <w:r>
                        <w:rPr>
                          <w:rFonts w:asciiTheme="majorEastAsia" w:eastAsiaTheme="majorEastAsia" w:hAnsiTheme="majorEastAsia" w:cs="Aharoni"/>
                          <w:b/>
                          <w:sz w:val="20"/>
                        </w:rPr>
                        <w:t>Figure 1.3</w:t>
                      </w:r>
                      <w:r w:rsidRPr="007C7064">
                        <w:rPr>
                          <w:sz w:val="18"/>
                        </w:rPr>
                        <w:t xml:space="preserve"> </w:t>
                      </w:r>
                      <w:r w:rsidRPr="002A31E5">
                        <w:t>Comparison Undergraduate Student Enrolment by Place of Residence</w:t>
                      </w:r>
                    </w:p>
                  </w:txbxContent>
                </v:textbox>
                <w10:wrap anchorx="margin"/>
              </v:shape>
            </w:pict>
          </mc:Fallback>
        </mc:AlternateContent>
      </w:r>
      <w:r w:rsidR="000E6502">
        <w:rPr>
          <w:noProof/>
        </w:rPr>
        <mc:AlternateContent>
          <mc:Choice Requires="wps">
            <w:drawing>
              <wp:anchor distT="0" distB="0" distL="114300" distR="114300" simplePos="0" relativeHeight="251659264" behindDoc="0" locked="0" layoutInCell="1" allowOverlap="1" wp14:anchorId="6616FACA" wp14:editId="1AA00EF9">
                <wp:simplePos x="0" y="0"/>
                <wp:positionH relativeFrom="column">
                  <wp:posOffset>276447</wp:posOffset>
                </wp:positionH>
                <wp:positionV relativeFrom="paragraph">
                  <wp:posOffset>2707035</wp:posOffset>
                </wp:positionV>
                <wp:extent cx="5550195" cy="233916"/>
                <wp:effectExtent l="0" t="0" r="0" b="0"/>
                <wp:wrapNone/>
                <wp:docPr id="6" name="Text Box 6"/>
                <wp:cNvGraphicFramePr/>
                <a:graphic xmlns:a="http://schemas.openxmlformats.org/drawingml/2006/main">
                  <a:graphicData uri="http://schemas.microsoft.com/office/word/2010/wordprocessingShape">
                    <wps:wsp>
                      <wps:cNvSpPr txBox="1"/>
                      <wps:spPr>
                        <a:xfrm>
                          <a:off x="0" y="0"/>
                          <a:ext cx="5550195" cy="233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6502" w:rsidRDefault="000E6502" w:rsidP="000E6502">
                            <w:r>
                              <w:t xml:space="preserve">                           2012-2013                                       2014-2015                                     2016-2017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6FACA" id="Text Box 6" o:spid="_x0000_s1035" type="#_x0000_t202" style="position:absolute;margin-left:21.75pt;margin-top:213.15pt;width:437pt;height:1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" fillcolor="white [3201]" stroked="f" strokeweight=".5pt">
                <v:textbox>
                  <w:txbxContent>
                    <w:p w:rsidR="000E6502" w:rsidRDefault="000E6502" w:rsidP="000E6502">
                      <w:r>
                        <w:t xml:space="preserve">                           2012-2013                                       2014-2015                                     2016-2017</w:t>
                      </w:r>
                    </w:p>
                  </w:txbxContent>
                </v:textbox>
              </v:shape>
            </w:pict>
          </mc:Fallback>
        </mc:AlternateContent>
      </w:r>
      <w:r w:rsidR="000E6502">
        <w:rPr>
          <w:noProof/>
        </w:rPr>
        <w:drawing>
          <wp:inline distT="0" distB="0" distL="0" distR="0" wp14:anchorId="096B160A" wp14:editId="6B14DA36">
            <wp:extent cx="5934075" cy="3261360"/>
            <wp:effectExtent l="0" t="0" r="9525"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80E59" w:rsidRPr="005D64E3" w:rsidRDefault="00380E59" w:rsidP="00380E59"/>
    <w:p w:rsidR="000E6502" w:rsidRDefault="000E6502" w:rsidP="000E6502"/>
    <w:p w:rsidR="00B92F4A" w:rsidRDefault="00B92F4A" w:rsidP="000E6502"/>
    <w:p w:rsidR="00B92F4A" w:rsidRPr="00380E59" w:rsidRDefault="00B92F4A" w:rsidP="000E6502"/>
    <w:p w:rsidR="000E6502" w:rsidRPr="005613E6" w:rsidRDefault="000E6502" w:rsidP="000E6502">
      <w:pPr>
        <w:rPr>
          <w:rFonts w:asciiTheme="majorEastAsia" w:eastAsiaTheme="majorEastAsia" w:hAnsiTheme="majorEastAsia" w:cs="Aharoni"/>
          <w:b/>
        </w:rPr>
      </w:pPr>
      <w:bookmarkStart w:id="0" w:name="_GoBack"/>
      <w:bookmarkEnd w:id="0"/>
      <w:r w:rsidRPr="005613E6">
        <w:rPr>
          <w:rFonts w:asciiTheme="majorEastAsia" w:eastAsiaTheme="majorEastAsia" w:hAnsiTheme="majorEastAsia" w:cs="Aharoni"/>
          <w:b/>
        </w:rPr>
        <w:t>The explanation</w:t>
      </w:r>
    </w:p>
    <w:p w:rsidR="00DC38EE" w:rsidRPr="005D64E3" w:rsidRDefault="000E6502">
      <w:r>
        <w:t xml:space="preserve">The challenge for this sample is that there are two groups: Canadian/international students and in Canadian student, there are three subtypes. So the basic bar chart is not suitable for this sample because the author would like to show the two difference in one chart. As a result, the grouped stacked bar chart is good option. There are two bars for each year. The left is Canadian, the right is international. At the same time, the Canadian bar is stacked, so it’s convenient for the readers to learn </w:t>
      </w:r>
      <w:r>
        <w:t>the whole scope of the raw data.</w:t>
      </w:r>
    </w:p>
    <w:sectPr w:rsidR="00DC38EE" w:rsidRPr="005D6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B0"/>
    <w:rsid w:val="000053CE"/>
    <w:rsid w:val="00067C94"/>
    <w:rsid w:val="000A3635"/>
    <w:rsid w:val="000E6502"/>
    <w:rsid w:val="0019618F"/>
    <w:rsid w:val="001E0DB0"/>
    <w:rsid w:val="001F629B"/>
    <w:rsid w:val="00205D40"/>
    <w:rsid w:val="003008E8"/>
    <w:rsid w:val="00300C02"/>
    <w:rsid w:val="00304F2C"/>
    <w:rsid w:val="00325814"/>
    <w:rsid w:val="0033081B"/>
    <w:rsid w:val="00340A26"/>
    <w:rsid w:val="00346753"/>
    <w:rsid w:val="00380E59"/>
    <w:rsid w:val="004224AC"/>
    <w:rsid w:val="00464955"/>
    <w:rsid w:val="00497805"/>
    <w:rsid w:val="005303D7"/>
    <w:rsid w:val="00536C1A"/>
    <w:rsid w:val="005613E6"/>
    <w:rsid w:val="005D64E3"/>
    <w:rsid w:val="006934B3"/>
    <w:rsid w:val="006A6463"/>
    <w:rsid w:val="006C231C"/>
    <w:rsid w:val="007308F5"/>
    <w:rsid w:val="0075278C"/>
    <w:rsid w:val="00764DC2"/>
    <w:rsid w:val="00774CED"/>
    <w:rsid w:val="007B0DE8"/>
    <w:rsid w:val="007B41A4"/>
    <w:rsid w:val="007C03EB"/>
    <w:rsid w:val="007C7064"/>
    <w:rsid w:val="008734E6"/>
    <w:rsid w:val="008D4272"/>
    <w:rsid w:val="00934C1D"/>
    <w:rsid w:val="00960410"/>
    <w:rsid w:val="00964C3F"/>
    <w:rsid w:val="009A44D7"/>
    <w:rsid w:val="009D104E"/>
    <w:rsid w:val="00AE5FE3"/>
    <w:rsid w:val="00AF0DAB"/>
    <w:rsid w:val="00B66365"/>
    <w:rsid w:val="00B92F4A"/>
    <w:rsid w:val="00BC49C5"/>
    <w:rsid w:val="00C076CE"/>
    <w:rsid w:val="00CA2B2B"/>
    <w:rsid w:val="00CD42EA"/>
    <w:rsid w:val="00CE589D"/>
    <w:rsid w:val="00D62BCE"/>
    <w:rsid w:val="00DA4EC2"/>
    <w:rsid w:val="00DC38EE"/>
    <w:rsid w:val="00DD0740"/>
    <w:rsid w:val="00E03521"/>
    <w:rsid w:val="00E34FAA"/>
    <w:rsid w:val="00E95814"/>
    <w:rsid w:val="00EC0CBB"/>
    <w:rsid w:val="00F16B6D"/>
    <w:rsid w:val="00F223B5"/>
    <w:rsid w:val="00F71182"/>
    <w:rsid w:val="00F9013E"/>
    <w:rsid w:val="00FA1C3F"/>
    <w:rsid w:val="00FD72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961A6-D1EC-435B-AB52-2DF7486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258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D64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E5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3"/>
    <w:rPr>
      <w:rFonts w:ascii="Segoe UI" w:hAnsi="Segoe UI" w:cs="Segoe UI"/>
      <w:sz w:val="18"/>
      <w:szCs w:val="18"/>
    </w:rPr>
  </w:style>
  <w:style w:type="table" w:styleId="GridTable2">
    <w:name w:val="Grid Table 2"/>
    <w:basedOn w:val="TableNormal"/>
    <w:uiPriority w:val="47"/>
    <w:rsid w:val="00AE5F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E5F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E5F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solidFill>
                  <a:sysClr val="windowText" lastClr="000000"/>
                </a:solidFill>
                <a:effectLst/>
                <a:latin typeface="Batang" panose="02030600000101010101" pitchFamily="18" charset="-127"/>
                <a:ea typeface="Batang" panose="02030600000101010101" pitchFamily="18" charset="-127"/>
              </a:rPr>
              <a:t>The comparison about female enrolment </a:t>
            </a:r>
            <a:endParaRPr lang="en-CA">
              <a:solidFill>
                <a:sysClr val="windowText" lastClr="000000"/>
              </a:solidFill>
              <a:latin typeface="Batang" panose="02030600000101010101" pitchFamily="18" charset="-127"/>
              <a:ea typeface="Batang" panose="02030600000101010101" pitchFamily="18" charset="-127"/>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[Book1.xlsx]Sheet1!$C$2</c:f>
              <c:strCache>
                <c:ptCount val="1"/>
                <c:pt idx="0">
                  <c:v>Female Undergraduate Enrolment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[Book1.xlsx]Sheet1!$B$3:$B$5</c:f>
              <c:strCache>
                <c:ptCount val="3"/>
                <c:pt idx="0">
                  <c:v>2012-2013</c:v>
                </c:pt>
                <c:pt idx="1">
                  <c:v>2014-2015</c:v>
                </c:pt>
                <c:pt idx="2">
                  <c:v>2016-2017</c:v>
                </c:pt>
              </c:strCache>
            </c:strRef>
          </c:cat>
          <c:val>
            <c:numRef>
              <c:f>[Book1.xlsx]Sheet1!$C$3:$C$5</c:f>
              <c:numCache>
                <c:formatCode>General</c:formatCode>
                <c:ptCount val="3"/>
                <c:pt idx="0">
                  <c:v>55</c:v>
                </c:pt>
                <c:pt idx="1">
                  <c:v>84</c:v>
                </c:pt>
                <c:pt idx="2">
                  <c:v>121</c:v>
                </c:pt>
              </c:numCache>
            </c:numRef>
          </c:val>
        </c:ser>
        <c:ser>
          <c:idx val="1"/>
          <c:order val="1"/>
          <c:tx>
            <c:strRef>
              <c:f>[Book1.xlsx]Sheet1!$D$2</c:f>
              <c:strCache>
                <c:ptCount val="1"/>
                <c:pt idx="0">
                  <c:v>Female Graduate Enrolment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[Book1.xlsx]Sheet1!$B$3:$B$5</c:f>
              <c:strCache>
                <c:ptCount val="3"/>
                <c:pt idx="0">
                  <c:v>2012-2013</c:v>
                </c:pt>
                <c:pt idx="1">
                  <c:v>2014-2015</c:v>
                </c:pt>
                <c:pt idx="2">
                  <c:v>2016-2017</c:v>
                </c:pt>
              </c:strCache>
            </c:strRef>
          </c:cat>
          <c:val>
            <c:numRef>
              <c:f>[Book1.xlsx]Sheet1!$D$3:$D$5</c:f>
              <c:numCache>
                <c:formatCode>General</c:formatCode>
                <c:ptCount val="3"/>
                <c:pt idx="0">
                  <c:v>72</c:v>
                </c:pt>
                <c:pt idx="1">
                  <c:v>76</c:v>
                </c:pt>
                <c:pt idx="2">
                  <c:v>97</c:v>
                </c:pt>
              </c:numCache>
            </c:numRef>
          </c:val>
        </c:ser>
        <c:dLbls>
          <c:dLblPos val="outEnd"/>
          <c:showLegendKey val="0"/>
          <c:showVal val="1"/>
          <c:showCatName val="0"/>
          <c:showSerName val="0"/>
          <c:showPercent val="0"/>
          <c:showBubbleSize val="0"/>
        </c:dLbls>
        <c:gapWidth val="219"/>
        <c:overlap val="-27"/>
        <c:axId val="623918600"/>
        <c:axId val="623917424"/>
      </c:barChart>
      <c:catAx>
        <c:axId val="62391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917424"/>
        <c:crosses val="autoZero"/>
        <c:auto val="1"/>
        <c:lblAlgn val="ctr"/>
        <c:lblOffset val="100"/>
        <c:noMultiLvlLbl val="0"/>
      </c:catAx>
      <c:valAx>
        <c:axId val="62391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918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atin typeface="Batang" panose="02030600000101010101" pitchFamily="18" charset="-127"/>
                <a:ea typeface="Batang" panose="02030600000101010101" pitchFamily="18" charset="-127"/>
              </a:rPr>
              <a:t>The comparison about place of residence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Sheet2!$C$4</c:f>
              <c:strCache>
                <c:ptCount val="1"/>
                <c:pt idx="0">
                  <c:v>Nova Scotia</c:v>
                </c:pt>
              </c:strCache>
            </c:strRef>
          </c:tx>
          <c:spPr>
            <a:solidFill>
              <a:schemeClr val="accent1"/>
            </a:solidFill>
            <a:ln>
              <a:noFill/>
            </a:ln>
            <a:effectLst/>
          </c:spPr>
          <c:invertIfNegative val="0"/>
          <c:cat>
            <c:strRef>
              <c:f>Sheet2!$D$3:$F$3</c:f>
              <c:strCache>
                <c:ptCount val="3"/>
                <c:pt idx="0">
                  <c:v>2012-2013</c:v>
                </c:pt>
                <c:pt idx="1">
                  <c:v>2014-2015</c:v>
                </c:pt>
                <c:pt idx="2">
                  <c:v>2016-2017</c:v>
                </c:pt>
              </c:strCache>
            </c:strRef>
          </c:cat>
          <c:val>
            <c:numRef>
              <c:f>Sheet2!$D$4:$F$4</c:f>
              <c:numCache>
                <c:formatCode>General</c:formatCode>
                <c:ptCount val="3"/>
                <c:pt idx="0">
                  <c:v>232</c:v>
                </c:pt>
                <c:pt idx="1">
                  <c:v>288</c:v>
                </c:pt>
                <c:pt idx="2">
                  <c:v>363</c:v>
                </c:pt>
              </c:numCache>
            </c:numRef>
          </c:val>
        </c:ser>
        <c:ser>
          <c:idx val="2"/>
          <c:order val="2"/>
          <c:tx>
            <c:strRef>
              <c:f>Sheet2!$C$6</c:f>
              <c:strCache>
                <c:ptCount val="1"/>
                <c:pt idx="0">
                  <c:v>Rest ofAtlantic Canada (NB, PE, NL)</c:v>
                </c:pt>
              </c:strCache>
            </c:strRef>
          </c:tx>
          <c:spPr>
            <a:solidFill>
              <a:schemeClr val="accent3"/>
            </a:solidFill>
            <a:ln>
              <a:noFill/>
            </a:ln>
            <a:effectLst/>
          </c:spPr>
          <c:invertIfNegative val="0"/>
          <c:cat>
            <c:strRef>
              <c:f>Sheet2!$D$3:$F$3</c:f>
              <c:strCache>
                <c:ptCount val="3"/>
                <c:pt idx="0">
                  <c:v>2012-2013</c:v>
                </c:pt>
                <c:pt idx="1">
                  <c:v>2014-2015</c:v>
                </c:pt>
                <c:pt idx="2">
                  <c:v>2016-2017</c:v>
                </c:pt>
              </c:strCache>
            </c:strRef>
          </c:cat>
          <c:val>
            <c:numRef>
              <c:f>Sheet2!$D$6:$F$6</c:f>
              <c:numCache>
                <c:formatCode>General</c:formatCode>
                <c:ptCount val="3"/>
                <c:pt idx="0">
                  <c:v>20</c:v>
                </c:pt>
                <c:pt idx="1">
                  <c:v>24</c:v>
                </c:pt>
                <c:pt idx="2">
                  <c:v>20</c:v>
                </c:pt>
              </c:numCache>
            </c:numRef>
          </c:val>
        </c:ser>
        <c:ser>
          <c:idx val="4"/>
          <c:order val="4"/>
          <c:tx>
            <c:strRef>
              <c:f>Sheet2!$C$8</c:f>
              <c:strCache>
                <c:ptCount val="1"/>
                <c:pt idx="0">
                  <c:v>Other Canadian</c:v>
                </c:pt>
              </c:strCache>
            </c:strRef>
          </c:tx>
          <c:spPr>
            <a:solidFill>
              <a:schemeClr val="accent5"/>
            </a:solidFill>
            <a:ln>
              <a:noFill/>
            </a:ln>
            <a:effectLst/>
          </c:spPr>
          <c:invertIfNegative val="0"/>
          <c:cat>
            <c:strRef>
              <c:f>Sheet2!$D$3:$F$3</c:f>
              <c:strCache>
                <c:ptCount val="3"/>
                <c:pt idx="0">
                  <c:v>2012-2013</c:v>
                </c:pt>
                <c:pt idx="1">
                  <c:v>2014-2015</c:v>
                </c:pt>
                <c:pt idx="2">
                  <c:v>2016-2017</c:v>
                </c:pt>
              </c:strCache>
            </c:strRef>
          </c:cat>
          <c:val>
            <c:numRef>
              <c:f>Sheet2!$D$8:$F$8</c:f>
              <c:numCache>
                <c:formatCode>General</c:formatCode>
                <c:ptCount val="3"/>
                <c:pt idx="0">
                  <c:v>63</c:v>
                </c:pt>
                <c:pt idx="1">
                  <c:v>81</c:v>
                </c:pt>
                <c:pt idx="2">
                  <c:v>95</c:v>
                </c:pt>
              </c:numCache>
            </c:numRef>
          </c:val>
        </c:ser>
        <c:ser>
          <c:idx val="5"/>
          <c:order val="5"/>
          <c:tx>
            <c:strRef>
              <c:f>Sheet2!$C$9</c:f>
              <c:strCache>
                <c:ptCount val="1"/>
                <c:pt idx="0">
                  <c:v>International</c:v>
                </c:pt>
              </c:strCache>
            </c:strRef>
          </c:tx>
          <c:spPr>
            <a:solidFill>
              <a:schemeClr val="accent6"/>
            </a:solidFill>
            <a:ln>
              <a:noFill/>
            </a:ln>
            <a:effectLst/>
          </c:spPr>
          <c:invertIfNegative val="0"/>
          <c:cat>
            <c:strRef>
              <c:f>Sheet2!$D$3:$F$3</c:f>
              <c:strCache>
                <c:ptCount val="3"/>
                <c:pt idx="0">
                  <c:v>2012-2013</c:v>
                </c:pt>
                <c:pt idx="1">
                  <c:v>2014-2015</c:v>
                </c:pt>
                <c:pt idx="2">
                  <c:v>2016-2017</c:v>
                </c:pt>
              </c:strCache>
            </c:strRef>
          </c:cat>
          <c:val>
            <c:numRef>
              <c:f>Sheet2!$D$9:$F$9</c:f>
              <c:numCache>
                <c:formatCode>General</c:formatCode>
                <c:ptCount val="3"/>
                <c:pt idx="0">
                  <c:v>109</c:v>
                </c:pt>
                <c:pt idx="1">
                  <c:v>164</c:v>
                </c:pt>
                <c:pt idx="2">
                  <c:v>253</c:v>
                </c:pt>
              </c:numCache>
            </c:numRef>
          </c:val>
        </c:ser>
        <c:dLbls>
          <c:showLegendKey val="0"/>
          <c:showVal val="0"/>
          <c:showCatName val="0"/>
          <c:showSerName val="0"/>
          <c:showPercent val="0"/>
          <c:showBubbleSize val="0"/>
        </c:dLbls>
        <c:gapWidth val="150"/>
        <c:overlap val="100"/>
        <c:axId val="697521576"/>
        <c:axId val="623047384"/>
        <c:extLst>
          <c:ext xmlns:c15="http://schemas.microsoft.com/office/drawing/2012/chart" uri="{02D57815-91ED-43cb-92C2-25804820EDAC}">
            <c15:filteredBarSeries>
              <c15:ser>
                <c:idx val="1"/>
                <c:order val="1"/>
                <c:tx>
                  <c:strRef>
                    <c:extLst>
                      <c:ext uri="{02D57815-91ED-43cb-92C2-25804820EDAC}">
                        <c15:formulaRef>
                          <c15:sqref>Sheet2!$C$5</c15:sqref>
                        </c15:formulaRef>
                      </c:ext>
                    </c:extLst>
                    <c:strCache>
                      <c:ptCount val="1"/>
                    </c:strCache>
                  </c:strRef>
                </c:tx>
                <c:spPr>
                  <a:solidFill>
                    <a:schemeClr val="accent2"/>
                  </a:solidFill>
                  <a:ln>
                    <a:noFill/>
                  </a:ln>
                  <a:effectLst/>
                </c:spPr>
                <c:invertIfNegative val="0"/>
                <c:cat>
                  <c:strRef>
                    <c:extLst>
                      <c:ext uri="{02D57815-91ED-43cb-92C2-25804820EDAC}">
                        <c15:formulaRef>
                          <c15:sqref>Sheet2!$D$3:$F$3</c15:sqref>
                        </c15:formulaRef>
                      </c:ext>
                    </c:extLst>
                    <c:strCache>
                      <c:ptCount val="3"/>
                      <c:pt idx="0">
                        <c:v>2012-2013</c:v>
                      </c:pt>
                      <c:pt idx="1">
                        <c:v>2014-2015</c:v>
                      </c:pt>
                      <c:pt idx="2">
                        <c:v>2016-2017</c:v>
                      </c:pt>
                    </c:strCache>
                  </c:strRef>
                </c:cat>
                <c:val>
                  <c:numRef>
                    <c:extLst>
                      <c:ext uri="{02D57815-91ED-43cb-92C2-25804820EDAC}">
                        <c15:formulaRef>
                          <c15:sqref>Sheet2!$D$5:$F$5</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Sheet2!$C$7</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Sheet2!$D$3:$F$3</c15:sqref>
                        </c15:formulaRef>
                      </c:ext>
                    </c:extLst>
                    <c:strCache>
                      <c:ptCount val="3"/>
                      <c:pt idx="0">
                        <c:v>2012-2013</c:v>
                      </c:pt>
                      <c:pt idx="1">
                        <c:v>2014-2015</c:v>
                      </c:pt>
                      <c:pt idx="2">
                        <c:v>2016-2017</c:v>
                      </c:pt>
                    </c:strCache>
                  </c:strRef>
                </c:cat>
                <c:val>
                  <c:numRef>
                    <c:extLst xmlns:c15="http://schemas.microsoft.com/office/drawing/2012/chart">
                      <c:ext xmlns:c15="http://schemas.microsoft.com/office/drawing/2012/chart" uri="{02D57815-91ED-43cb-92C2-25804820EDAC}">
                        <c15:formulaRef>
                          <c15:sqref>Sheet2!$D$7:$F$7</c15:sqref>
                        </c15:formulaRef>
                      </c:ext>
                    </c:extLst>
                    <c:numCache>
                      <c:formatCode>General</c:formatCode>
                      <c:ptCount val="3"/>
                    </c:numCache>
                  </c:numRef>
                </c:val>
              </c15:ser>
            </c15:filteredBarSeries>
          </c:ext>
        </c:extLst>
      </c:barChart>
      <c:catAx>
        <c:axId val="69752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47384"/>
        <c:crosses val="autoZero"/>
        <c:auto val="1"/>
        <c:lblAlgn val="ctr"/>
        <c:lblOffset val="100"/>
        <c:noMultiLvlLbl val="0"/>
      </c:catAx>
      <c:valAx>
        <c:axId val="62304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521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baseline="0">
                <a:effectLst/>
                <a:latin typeface="Batang" panose="02030600000101010101" pitchFamily="18" charset="-127"/>
                <a:ea typeface="Batang" panose="02030600000101010101" pitchFamily="18" charset="-127"/>
              </a:rPr>
              <a:t>The comparison about place of residence</a:t>
            </a:r>
            <a:endParaRPr lang="en-CA" sz="1400">
              <a:effectLst/>
              <a:latin typeface="Batang" panose="02030600000101010101" pitchFamily="18" charset="-127"/>
              <a:ea typeface="Batang" panose="02030600000101010101" pitchFamily="18" charset="-127"/>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Sheet3!$B$14</c:f>
              <c:strCache>
                <c:ptCount val="1"/>
                <c:pt idx="0">
                  <c:v>Nova Scotia</c:v>
                </c:pt>
              </c:strCache>
            </c:strRef>
          </c:tx>
          <c:spPr>
            <a:solidFill>
              <a:schemeClr val="accent1"/>
            </a:solidFill>
            <a:ln>
              <a:noFill/>
            </a:ln>
            <a:effectLst/>
          </c:spPr>
          <c:invertIfNegative val="0"/>
          <c:cat>
            <c:strRef>
              <c:f>Sheet3!$A$15:$A$23</c:f>
              <c:strCache>
                <c:ptCount val="7"/>
                <c:pt idx="0">
                  <c:v>2012-2013</c:v>
                </c:pt>
                <c:pt idx="3">
                  <c:v>2014-2015</c:v>
                </c:pt>
                <c:pt idx="6">
                  <c:v>2016-2017</c:v>
                </c:pt>
              </c:strCache>
            </c:strRef>
          </c:cat>
          <c:val>
            <c:numRef>
              <c:f>Sheet3!$B$15:$B$23</c:f>
              <c:numCache>
                <c:formatCode>General</c:formatCode>
                <c:ptCount val="9"/>
                <c:pt idx="1">
                  <c:v>232</c:v>
                </c:pt>
                <c:pt idx="4">
                  <c:v>288</c:v>
                </c:pt>
                <c:pt idx="7">
                  <c:v>363</c:v>
                </c:pt>
              </c:numCache>
            </c:numRef>
          </c:val>
        </c:ser>
        <c:ser>
          <c:idx val="1"/>
          <c:order val="1"/>
          <c:tx>
            <c:strRef>
              <c:f>Sheet3!$C$14</c:f>
              <c:strCache>
                <c:ptCount val="1"/>
                <c:pt idx="0">
                  <c:v>Rest of Atlantic Canada (NB, PE, NL)</c:v>
                </c:pt>
              </c:strCache>
            </c:strRef>
          </c:tx>
          <c:spPr>
            <a:solidFill>
              <a:schemeClr val="accent2"/>
            </a:solidFill>
            <a:ln>
              <a:noFill/>
            </a:ln>
            <a:effectLst/>
          </c:spPr>
          <c:invertIfNegative val="0"/>
          <c:cat>
            <c:strRef>
              <c:f>Sheet3!$A$15:$A$23</c:f>
              <c:strCache>
                <c:ptCount val="7"/>
                <c:pt idx="0">
                  <c:v>2012-2013</c:v>
                </c:pt>
                <c:pt idx="3">
                  <c:v>2014-2015</c:v>
                </c:pt>
                <c:pt idx="6">
                  <c:v>2016-2017</c:v>
                </c:pt>
              </c:strCache>
            </c:strRef>
          </c:cat>
          <c:val>
            <c:numRef>
              <c:f>Sheet3!$C$15:$C$23</c:f>
              <c:numCache>
                <c:formatCode>General</c:formatCode>
                <c:ptCount val="9"/>
                <c:pt idx="1">
                  <c:v>20</c:v>
                </c:pt>
                <c:pt idx="4">
                  <c:v>24</c:v>
                </c:pt>
                <c:pt idx="7">
                  <c:v>20</c:v>
                </c:pt>
              </c:numCache>
            </c:numRef>
          </c:val>
        </c:ser>
        <c:ser>
          <c:idx val="2"/>
          <c:order val="2"/>
          <c:tx>
            <c:strRef>
              <c:f>Sheet3!$D$14</c:f>
              <c:strCache>
                <c:ptCount val="1"/>
                <c:pt idx="0">
                  <c:v>Other Canadian</c:v>
                </c:pt>
              </c:strCache>
            </c:strRef>
          </c:tx>
          <c:spPr>
            <a:solidFill>
              <a:schemeClr val="accent3"/>
            </a:solidFill>
            <a:ln>
              <a:noFill/>
            </a:ln>
            <a:effectLst/>
          </c:spPr>
          <c:invertIfNegative val="0"/>
          <c:cat>
            <c:strRef>
              <c:f>Sheet3!$A$15:$A$23</c:f>
              <c:strCache>
                <c:ptCount val="7"/>
                <c:pt idx="0">
                  <c:v>2012-2013</c:v>
                </c:pt>
                <c:pt idx="3">
                  <c:v>2014-2015</c:v>
                </c:pt>
                <c:pt idx="6">
                  <c:v>2016-2017</c:v>
                </c:pt>
              </c:strCache>
            </c:strRef>
          </c:cat>
          <c:val>
            <c:numRef>
              <c:f>Sheet3!$D$15:$D$23</c:f>
              <c:numCache>
                <c:formatCode>General</c:formatCode>
                <c:ptCount val="9"/>
                <c:pt idx="1">
                  <c:v>63</c:v>
                </c:pt>
                <c:pt idx="4">
                  <c:v>81</c:v>
                </c:pt>
                <c:pt idx="7">
                  <c:v>95</c:v>
                </c:pt>
              </c:numCache>
            </c:numRef>
          </c:val>
        </c:ser>
        <c:ser>
          <c:idx val="3"/>
          <c:order val="3"/>
          <c:tx>
            <c:strRef>
              <c:f>Sheet3!$E$14</c:f>
              <c:strCache>
                <c:ptCount val="1"/>
                <c:pt idx="0">
                  <c:v>International</c:v>
                </c:pt>
              </c:strCache>
            </c:strRef>
          </c:tx>
          <c:spPr>
            <a:solidFill>
              <a:schemeClr val="accent4"/>
            </a:solidFill>
            <a:ln>
              <a:noFill/>
            </a:ln>
            <a:effectLst/>
          </c:spPr>
          <c:invertIfNegative val="0"/>
          <c:cat>
            <c:strRef>
              <c:f>Sheet3!$A$15:$A$23</c:f>
              <c:strCache>
                <c:ptCount val="7"/>
                <c:pt idx="0">
                  <c:v>2012-2013</c:v>
                </c:pt>
                <c:pt idx="3">
                  <c:v>2014-2015</c:v>
                </c:pt>
                <c:pt idx="6">
                  <c:v>2016-2017</c:v>
                </c:pt>
              </c:strCache>
            </c:strRef>
          </c:cat>
          <c:val>
            <c:numRef>
              <c:f>Sheet3!$E$15:$E$23</c:f>
              <c:numCache>
                <c:formatCode>General</c:formatCode>
                <c:ptCount val="9"/>
                <c:pt idx="2">
                  <c:v>109</c:v>
                </c:pt>
                <c:pt idx="5">
                  <c:v>164</c:v>
                </c:pt>
                <c:pt idx="8">
                  <c:v>253</c:v>
                </c:pt>
              </c:numCache>
            </c:numRef>
          </c:val>
        </c:ser>
        <c:dLbls>
          <c:showLegendKey val="0"/>
          <c:showVal val="0"/>
          <c:showCatName val="0"/>
          <c:showSerName val="0"/>
          <c:showPercent val="0"/>
          <c:showBubbleSize val="0"/>
        </c:dLbls>
        <c:gapWidth val="150"/>
        <c:overlap val="100"/>
        <c:axId val="563941232"/>
        <c:axId val="627283472"/>
      </c:barChart>
      <c:catAx>
        <c:axId val="56394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283472"/>
        <c:crosses val="autoZero"/>
        <c:auto val="1"/>
        <c:lblAlgn val="ctr"/>
        <c:lblOffset val="100"/>
        <c:noMultiLvlLbl val="0"/>
      </c:catAx>
      <c:valAx>
        <c:axId val="62728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Danxun Jiao</cp:lastModifiedBy>
  <cp:revision>5</cp:revision>
  <cp:lastPrinted>2017-09-29T13:57:00Z</cp:lastPrinted>
  <dcterms:created xsi:type="dcterms:W3CDTF">2017-09-29T13:56:00Z</dcterms:created>
  <dcterms:modified xsi:type="dcterms:W3CDTF">2017-09-29T14:13:00Z</dcterms:modified>
</cp:coreProperties>
</file>