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7111F"/>
          <w:sz w:val="40"/>
        </w:rPr>
        <w:t>SOE Artist Deliverables And File Spec</w:t>
      </w:r>
    </w:p>
    <w:p>
      <w:pPr>
        <w:jc w:val="center"/>
      </w:pPr>
      <w:r>
        <w:rPr>
          <w:color w:val="53728D"/>
          <w:sz w:val="18"/>
        </w:rPr>
        <w:t>System of Eternity / Human Artist Visual Identity Package</w:t>
      </w:r>
    </w:p>
    <w:p>
      <w:pPr>
        <w:pStyle w:val="Heading1"/>
      </w:pPr>
      <w:r>
        <w:t>Required Design Deliverables</w:t>
      </w:r>
    </w:p>
    <w:p>
      <w:pPr>
        <w:spacing w:after="80" w:line="259" w:lineRule="auto"/>
      </w:pPr>
      <w:r>
        <w:t>Ask the artist for at least three distinct logo directions:</w:t>
      </w:r>
    </w:p>
    <w:p>
      <w:pPr>
        <w:pStyle w:val="ListNumber"/>
      </w:pPr>
      <w:r>
        <w:t>Wordmark-first SOE direction</w:t>
      </w:r>
    </w:p>
    <w:p>
      <w:pPr>
        <w:pStyle w:val="ListNumber"/>
      </w:pPr>
      <w:r>
        <w:t>Symbol-plus-wordmark direction</w:t>
      </w:r>
    </w:p>
    <w:p>
      <w:pPr>
        <w:pStyle w:val="ListNumber"/>
      </w:pPr>
      <w:r>
        <w:t>Conservative typographic fallback direction</w:t>
      </w:r>
    </w:p>
    <w:p>
      <w:pPr>
        <w:spacing w:after="80" w:line="259" w:lineRule="auto"/>
      </w:pPr>
      <w:r>
        <w:t>Each direction should include:</w:t>
      </w:r>
    </w:p>
    <w:p>
      <w:pPr>
        <w:pStyle w:val="ListBullet"/>
      </w:pPr>
      <w:r>
        <w:t>full lockup: System of Eternity</w:t>
      </w:r>
    </w:p>
    <w:p>
      <w:pPr>
        <w:pStyle w:val="ListBullet"/>
      </w:pPr>
      <w:r>
        <w:t>short lockup: SOE</w:t>
      </w:r>
    </w:p>
    <w:p>
      <w:pPr>
        <w:pStyle w:val="ListBullet"/>
      </w:pPr>
      <w:r>
        <w:t>horizontal version</w:t>
      </w:r>
    </w:p>
    <w:p>
      <w:pPr>
        <w:pStyle w:val="ListBullet"/>
      </w:pPr>
      <w:r>
        <w:t>stacked version</w:t>
      </w:r>
    </w:p>
    <w:p>
      <w:pPr>
        <w:pStyle w:val="ListBullet"/>
      </w:pPr>
      <w:r>
        <w:t>symbol-only or favicon version if a symbol exists</w:t>
      </w:r>
    </w:p>
    <w:p>
      <w:pPr>
        <w:pStyle w:val="ListBullet"/>
      </w:pPr>
      <w:r>
        <w:t>dark background version</w:t>
      </w:r>
    </w:p>
    <w:p>
      <w:pPr>
        <w:pStyle w:val="ListBullet"/>
      </w:pPr>
      <w:r>
        <w:t>light background version</w:t>
      </w:r>
    </w:p>
    <w:p>
      <w:pPr>
        <w:pStyle w:val="ListBullet"/>
      </w:pPr>
      <w:r>
        <w:t>monochrome black version</w:t>
      </w:r>
    </w:p>
    <w:p>
      <w:pPr>
        <w:pStyle w:val="ListBullet"/>
      </w:pPr>
      <w:r>
        <w:t>monochrome white version</w:t>
      </w:r>
    </w:p>
    <w:p>
      <w:pPr>
        <w:pStyle w:val="Heading1"/>
      </w:pPr>
      <w:r>
        <w:t>Required Export Files</w:t>
      </w:r>
    </w:p>
    <w:p>
      <w:pPr>
        <w:spacing w:after="80" w:line="259" w:lineRule="auto"/>
      </w:pPr>
      <w:r>
        <w:t>For the final selected direction:</w:t>
      </w:r>
    </w:p>
    <w:p>
      <w:pPr>
        <w:pStyle w:val="ListBullet"/>
      </w:pPr>
      <w:r>
        <w:t>master vector file: .ai, .svg, or .pdf</w:t>
      </w:r>
    </w:p>
    <w:p>
      <w:pPr>
        <w:pStyle w:val="ListBullet"/>
      </w:pPr>
      <w:r>
        <w:t>clean SVG exports</w:t>
      </w:r>
    </w:p>
    <w:p>
      <w:pPr>
        <w:pStyle w:val="ListBullet"/>
      </w:pPr>
      <w:r>
        <w:t>transparent PNG exports</w:t>
      </w:r>
    </w:p>
    <w:p>
      <w:pPr>
        <w:pStyle w:val="ListBullet"/>
      </w:pPr>
      <w:r>
        <w:t>square avatar PNG: 512x512</w:t>
      </w:r>
    </w:p>
    <w:p>
      <w:pPr>
        <w:pStyle w:val="ListBullet"/>
      </w:pPr>
      <w:r>
        <w:t>favicon PNG: 16x16, 32x32, 64x64</w:t>
      </w:r>
    </w:p>
    <w:p>
      <w:pPr>
        <w:pStyle w:val="ListBullet"/>
      </w:pPr>
      <w:r>
        <w:t>social preview PNG: 1200x630</w:t>
      </w:r>
    </w:p>
    <w:p>
      <w:pPr>
        <w:pStyle w:val="ListBullet"/>
      </w:pPr>
      <w:r>
        <w:t>paper-cover/header mark</w:t>
      </w:r>
    </w:p>
    <w:p>
      <w:pPr>
        <w:pStyle w:val="ListBullet"/>
      </w:pPr>
      <w:r>
        <w:t>usage guide PDF or short notes file</w:t>
      </w:r>
    </w:p>
    <w:p>
      <w:pPr>
        <w:pStyle w:val="Heading1"/>
      </w:pPr>
      <w:r>
        <w:t>Commission Mechanics To Confirm Before Work Begins</w:t>
      </w:r>
    </w:p>
    <w:p>
      <w:pPr>
        <w:spacing w:after="80" w:line="259" w:lineRule="auto"/>
      </w:pPr>
      <w:r>
        <w:t>Before commissioning the artist, confirm these practical terms in writing:</w:t>
      </w:r>
    </w:p>
    <w:p>
      <w:pPr>
        <w:pStyle w:val="ListBullet"/>
      </w:pPr>
      <w:r>
        <w:t>estimated price or price range,</w:t>
      </w:r>
    </w:p>
    <w:p>
      <w:pPr>
        <w:pStyle w:val="ListBullet"/>
      </w:pPr>
      <w:r>
        <w:t>payment schedule,</w:t>
      </w:r>
    </w:p>
    <w:p>
      <w:pPr>
        <w:pStyle w:val="ListBullet"/>
      </w:pPr>
      <w:r>
        <w:t>expected start date and delivery date,</w:t>
      </w:r>
    </w:p>
    <w:p>
      <w:pPr>
        <w:pStyle w:val="ListBullet"/>
      </w:pPr>
      <w:r>
        <w:t>number of included revision rounds,</w:t>
      </w:r>
    </w:p>
    <w:p>
      <w:pPr>
        <w:pStyle w:val="ListBullet"/>
      </w:pPr>
      <w:r>
        <w:t>cost or process for extra revision rounds,</w:t>
      </w:r>
    </w:p>
    <w:p>
      <w:pPr>
        <w:pStyle w:val="ListBullet"/>
      </w:pPr>
      <w:r>
        <w:t>whether interim concept thumbnails are included,</w:t>
      </w:r>
    </w:p>
    <w:p>
      <w:pPr>
        <w:pStyle w:val="ListBullet"/>
      </w:pPr>
      <w:r>
        <w:t>whether final source files are included,</w:t>
      </w:r>
    </w:p>
    <w:p>
      <w:pPr>
        <w:pStyle w:val="ListBullet"/>
      </w:pPr>
      <w:r>
        <w:t>whether the final identity is exclusive to QianJun Yu / SOE,</w:t>
      </w:r>
    </w:p>
    <w:p>
      <w:pPr>
        <w:pStyle w:val="ListBullet"/>
      </w:pPr>
      <w:r>
        <w:t>whether the work is transferred as work-for-hire or licensed for broad public research use.</w:t>
      </w:r>
    </w:p>
    <w:p>
      <w:pPr>
        <w:spacing w:after="80" w:line="259" w:lineRule="auto"/>
      </w:pPr>
      <w:r>
        <w:t>The recommended concept process is:</w:t>
      </w:r>
    </w:p>
    <w:p>
      <w:pPr>
        <w:pStyle w:val="ListNumber"/>
      </w:pPr>
      <w:r>
        <w:t>Initial monochrome exploration: 6 to 9 thumbnail directions.</w:t>
      </w:r>
    </w:p>
    <w:p>
      <w:pPr>
        <w:pStyle w:val="ListNumber"/>
      </w:pPr>
      <w:r>
        <w:t>Select 1 to 2 directions for refinement.</w:t>
      </w:r>
    </w:p>
    <w:p>
      <w:pPr>
        <w:pStyle w:val="ListNumber"/>
      </w:pPr>
      <w:r>
        <w:t>Finalize one direction only after small-size tests, monochrome tests, and rights checks pass.</w:t>
      </w:r>
    </w:p>
    <w:p>
      <w:pPr>
        <w:pStyle w:val="Heading1"/>
      </w:pPr>
      <w:r>
        <w:t>Small-Size Tests</w:t>
      </w:r>
    </w:p>
    <w:p>
      <w:pPr>
        <w:spacing w:after="80" w:line="259" w:lineRule="auto"/>
      </w:pPr>
      <w:r>
        <w:t>The mark must be tested at:</w:t>
      </w:r>
    </w:p>
    <w:p>
      <w:pPr>
        <w:pStyle w:val="ListBullet"/>
      </w:pPr>
      <w:r>
        <w:t>16 px favicon</w:t>
      </w:r>
    </w:p>
    <w:p>
      <w:pPr>
        <w:pStyle w:val="ListBullet"/>
      </w:pPr>
      <w:r>
        <w:t>32 px favicon</w:t>
      </w:r>
    </w:p>
    <w:p>
      <w:pPr>
        <w:pStyle w:val="ListBullet"/>
      </w:pPr>
      <w:r>
        <w:t>48 px profile icon</w:t>
      </w:r>
    </w:p>
    <w:p>
      <w:pPr>
        <w:pStyle w:val="ListBullet"/>
      </w:pPr>
      <w:r>
        <w:t>64 px profile icon</w:t>
      </w:r>
    </w:p>
    <w:p>
      <w:pPr>
        <w:pStyle w:val="ListBullet"/>
      </w:pPr>
      <w:r>
        <w:t>128 px avatar</w:t>
      </w:r>
    </w:p>
    <w:p>
      <w:pPr>
        <w:spacing w:after="80" w:line="259" w:lineRule="auto"/>
      </w:pPr>
      <w:r>
        <w:t>At those sizes:</w:t>
      </w:r>
    </w:p>
    <w:p>
      <w:pPr>
        <w:pStyle w:val="ListBullet"/>
      </w:pPr>
      <w:r>
        <w:t>SOE should still read as SOE,</w:t>
      </w:r>
    </w:p>
    <w:p>
      <w:pPr>
        <w:pStyle w:val="ListBullet"/>
      </w:pPr>
      <w:r>
        <w:t>no detail should collapse into a spinner,</w:t>
      </w:r>
    </w:p>
    <w:p>
      <w:pPr>
        <w:pStyle w:val="ListBullet"/>
      </w:pPr>
      <w:r>
        <w:t>no detail should look like damage,</w:t>
      </w:r>
    </w:p>
    <w:p>
      <w:pPr>
        <w:pStyle w:val="ListBullet"/>
      </w:pPr>
      <w:r>
        <w:t>no detail should resemble a target or reticle.</w:t>
      </w:r>
    </w:p>
    <w:p>
      <w:pPr>
        <w:pStyle w:val="Heading1"/>
      </w:pPr>
      <w:r>
        <w:t>Color Tests</w:t>
      </w:r>
    </w:p>
    <w:p>
      <w:pPr>
        <w:spacing w:after="80" w:line="259" w:lineRule="auto"/>
      </w:pPr>
      <w:r>
        <w:t>Test on:</w:t>
      </w:r>
    </w:p>
    <w:p>
      <w:pPr>
        <w:pStyle w:val="ListBullet"/>
      </w:pPr>
      <w:r>
        <w:t>warm paper background: #efebe2</w:t>
      </w:r>
    </w:p>
    <w:p>
      <w:pPr>
        <w:pStyle w:val="ListBullet"/>
      </w:pPr>
      <w:r>
        <w:t>ink navy background: #07111f</w:t>
      </w:r>
    </w:p>
    <w:p>
      <w:pPr>
        <w:pStyle w:val="ListBullet"/>
      </w:pPr>
      <w:r>
        <w:t>pure white</w:t>
      </w:r>
    </w:p>
    <w:p>
      <w:pPr>
        <w:pStyle w:val="ListBullet"/>
      </w:pPr>
      <w:r>
        <w:t>pure black</w:t>
      </w:r>
    </w:p>
    <w:p>
      <w:pPr>
        <w:spacing w:after="80" w:line="259" w:lineRule="auto"/>
      </w:pPr>
      <w:r>
        <w:t>The mark must survive in one color.</w:t>
      </w:r>
    </w:p>
    <w:p>
      <w:pPr>
        <w:pStyle w:val="Heading1"/>
      </w:pPr>
      <w:r>
        <w:t>Website Fit Test</w:t>
      </w:r>
    </w:p>
    <w:p>
      <w:pPr>
        <w:spacing w:after="80" w:line="259" w:lineRule="auto"/>
      </w:pPr>
      <w:r>
        <w:t>The mark should feel compatible with:</w:t>
      </w:r>
    </w:p>
    <w:p>
      <w:pPr>
        <w:pStyle w:val="ListBullet"/>
      </w:pPr>
      <w:r>
        <w:t>EB Garamond-like headings,</w:t>
      </w:r>
    </w:p>
    <w:p>
      <w:pPr>
        <w:pStyle w:val="ListBullet"/>
      </w:pPr>
      <w:r>
        <w:t>Inter-like body text,</w:t>
      </w:r>
    </w:p>
    <w:p>
      <w:pPr>
        <w:pStyle w:val="ListBullet"/>
      </w:pPr>
      <w:r>
        <w:t>warm paper page background,</w:t>
      </w:r>
    </w:p>
    <w:p>
      <w:pPr>
        <w:pStyle w:val="ListBullet"/>
      </w:pPr>
      <w:r>
        <w:t>ink navy hero/header,</w:t>
      </w:r>
    </w:p>
    <w:p>
      <w:pPr>
        <w:pStyle w:val="ListBullet"/>
      </w:pPr>
      <w:r>
        <w:t>bronze accent rules.</w:t>
      </w:r>
    </w:p>
    <w:p>
      <w:pPr>
        <w:spacing w:after="80" w:line="259" w:lineRule="auto"/>
      </w:pPr>
      <w:r>
        <w:t>It does not need to copy the current website motif.</w:t>
      </w:r>
    </w:p>
    <w:p>
      <w:pPr>
        <w:pStyle w:val="Heading1"/>
      </w:pPr>
      <w:r>
        <w:t>Ownership And Rights</w:t>
      </w:r>
    </w:p>
    <w:p>
      <w:pPr>
        <w:spacing w:after="80" w:line="259" w:lineRule="auto"/>
      </w:pPr>
      <w:r>
        <w:t>Before using the final logo publicly, confirm:</w:t>
      </w:r>
    </w:p>
    <w:p>
      <w:pPr>
        <w:pStyle w:val="ListBullet"/>
      </w:pPr>
      <w:r>
        <w:t>QianJun Yu receives permission to use the logo for public research identity,</w:t>
      </w:r>
    </w:p>
    <w:p>
      <w:pPr>
        <w:pStyle w:val="ListBullet"/>
      </w:pPr>
      <w:r>
        <w:t>commercial or public-web use is allowed,</w:t>
      </w:r>
    </w:p>
    <w:p>
      <w:pPr>
        <w:pStyle w:val="ListBullet"/>
      </w:pPr>
      <w:r>
        <w:t>modification rights are clear,</w:t>
      </w:r>
    </w:p>
    <w:p>
      <w:pPr>
        <w:pStyle w:val="ListBullet"/>
      </w:pPr>
      <w:r>
        <w:t>source/vector files are included,</w:t>
      </w:r>
    </w:p>
    <w:p>
      <w:pPr>
        <w:pStyle w:val="ListBullet"/>
      </w:pPr>
      <w:r>
        <w:t>fonts used are listed and licensed for commercial and public research use,</w:t>
      </w:r>
    </w:p>
    <w:p>
      <w:pPr>
        <w:pStyle w:val="ListBullet"/>
      </w:pPr>
      <w:r>
        <w:t>no stock-logo template or trademark-conflicting mark is used.</w:t>
      </w:r>
    </w:p>
    <w:p>
      <w:pPr>
        <w:pStyle w:val="ListBullet"/>
      </w:pPr>
      <w:r>
        <w:t>the artist has checked for obvious visual confusion with existing institutions, universities, public agencies, research organizations, standards bodies, political marks, military marks, or commercial brands.</w:t>
      </w:r>
    </w:p>
    <w:p>
      <w:pPr>
        <w:spacing w:after="80" w:line="259" w:lineRule="auto"/>
      </w:pPr>
      <w:r>
        <w:t>This is important because the logo may be used on public records, websites, profiles, and publications.</w:t>
      </w:r>
    </w:p>
    <w:p>
      <w:pPr>
        <w:pStyle w:val="Heading1"/>
      </w:pPr>
      <w:r>
        <w:t>Usage Sheet Requirement</w:t>
      </w:r>
    </w:p>
    <w:p>
      <w:pPr>
        <w:spacing w:after="80" w:line="259" w:lineRule="auto"/>
      </w:pPr>
      <w:r>
        <w:t>Ask the artist for a one-page usage sheet that includes:</w:t>
      </w:r>
    </w:p>
    <w:p>
      <w:pPr>
        <w:pStyle w:val="ListBullet"/>
      </w:pPr>
      <w:r>
        <w:t>the preferred primary lockup,</w:t>
      </w:r>
    </w:p>
    <w:p>
      <w:pPr>
        <w:pStyle w:val="ListBullet"/>
      </w:pPr>
      <w:r>
        <w:t>acceptable light/dark variants,</w:t>
      </w:r>
    </w:p>
    <w:p>
      <w:pPr>
        <w:pStyle w:val="ListBullet"/>
      </w:pPr>
      <w:r>
        <w:t>minimum size guidance,</w:t>
      </w:r>
    </w:p>
    <w:p>
      <w:pPr>
        <w:pStyle w:val="ListBullet"/>
      </w:pPr>
      <w:r>
        <w:t>safe-zone rule, preferably expressed numerically,</w:t>
      </w:r>
    </w:p>
    <w:p>
      <w:pPr>
        <w:pStyle w:val="ListBullet"/>
      </w:pPr>
      <w:r>
        <w:t>crop guidance for square avatars, wide banners, and paper covers,</w:t>
      </w:r>
    </w:p>
    <w:p>
      <w:pPr>
        <w:pStyle w:val="ListBullet"/>
      </w:pPr>
      <w:r>
        <w:t>a short do/do-not list for future use.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11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11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711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