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Human Artist Design Brief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pStyle w:val="Heading1"/>
      </w:pPr>
      <w:r>
        <w:t>Project</w:t>
      </w:r>
    </w:p>
    <w:p>
      <w:pPr>
        <w:spacing w:after="80" w:line="259" w:lineRule="auto"/>
      </w:pPr>
      <w:r>
        <w:t>Design a visual identity system for: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System of Eternity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SOE</w:t>
      </w:r>
    </w:p>
    <w:p>
      <w:pPr>
        <w:spacing w:after="80" w:line="259" w:lineRule="auto"/>
      </w:pPr>
      <w:r>
        <w:t>SOE is a civilizational governance research framework under the broader public research hub: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Non-Terminal Research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https://nonterminal.org/</w:t>
      </w:r>
    </w:p>
    <w:p>
      <w:pPr>
        <w:spacing w:after="80" w:line="259" w:lineRule="auto"/>
      </w:pPr>
      <w:r>
        <w:t>SOE is not a political party, not a tech product, not a utopian ideology, and not an implementation-ready governance system. It is a theoretical governance architecture for long-horizon institutional continuity, adjudication, source boundaries, controlled revision, and non-terminal self-correction.</w:t>
      </w:r>
    </w:p>
    <w:p>
      <w:pPr>
        <w:pStyle w:val="Heading1"/>
      </w:pPr>
      <w:r>
        <w:t>Design Goal</w:t>
      </w:r>
    </w:p>
    <w:p>
      <w:pPr>
        <w:spacing w:after="80" w:line="259" w:lineRule="auto"/>
      </w:pPr>
      <w:r>
        <w:t>The identity should make SOE feel:</w:t>
      </w:r>
    </w:p>
    <w:p>
      <w:pPr>
        <w:pStyle w:val="ListBullet"/>
      </w:pPr>
      <w:r>
        <w:t>serious,</w:t>
      </w:r>
    </w:p>
    <w:p>
      <w:pPr>
        <w:pStyle w:val="ListBullet"/>
      </w:pPr>
      <w:r>
        <w:t>institutional,</w:t>
      </w:r>
    </w:p>
    <w:p>
      <w:pPr>
        <w:pStyle w:val="ListBullet"/>
      </w:pPr>
      <w:r>
        <w:t>restrained,</w:t>
      </w:r>
    </w:p>
    <w:p>
      <w:pPr>
        <w:pStyle w:val="ListBullet"/>
      </w:pPr>
      <w:r>
        <w:t>durable,</w:t>
      </w:r>
    </w:p>
    <w:p>
      <w:pPr>
        <w:pStyle w:val="ListBullet"/>
      </w:pPr>
      <w:r>
        <w:t>research-oriented,</w:t>
      </w:r>
    </w:p>
    <w:p>
      <w:pPr>
        <w:pStyle w:val="ListBullet"/>
      </w:pPr>
      <w:r>
        <w:t>long-horizon,</w:t>
      </w:r>
    </w:p>
    <w:p>
      <w:pPr>
        <w:pStyle w:val="ListBullet"/>
      </w:pPr>
      <w:r>
        <w:t>structurally intelligent,</w:t>
      </w:r>
    </w:p>
    <w:p>
      <w:pPr>
        <w:pStyle w:val="ListBullet"/>
      </w:pPr>
      <w:r>
        <w:t>open to revision without looking unstable.</w:t>
      </w:r>
    </w:p>
    <w:p>
      <w:pPr>
        <w:spacing w:after="80" w:line="259" w:lineRule="auto"/>
      </w:pPr>
      <w:r>
        <w:t>The mark should feel like it belongs on:</w:t>
      </w:r>
    </w:p>
    <w:p>
      <w:pPr>
        <w:pStyle w:val="ListBullet"/>
      </w:pPr>
      <w:r>
        <w:t>a working paper,</w:t>
      </w:r>
    </w:p>
    <w:p>
      <w:pPr>
        <w:pStyle w:val="ListBullet"/>
      </w:pPr>
      <w:r>
        <w:t>an academic research website,</w:t>
      </w:r>
    </w:p>
    <w:p>
      <w:pPr>
        <w:pStyle w:val="ListBullet"/>
      </w:pPr>
      <w:r>
        <w:t>a long-term institutional framework,</w:t>
      </w:r>
    </w:p>
    <w:p>
      <w:pPr>
        <w:pStyle w:val="ListBullet"/>
      </w:pPr>
      <w:r>
        <w:t>a governance architecture document,</w:t>
      </w:r>
    </w:p>
    <w:p>
      <w:pPr>
        <w:pStyle w:val="ListBullet"/>
      </w:pPr>
      <w:r>
        <w:t>an archive or standards-like research body.</w:t>
      </w:r>
    </w:p>
    <w:p>
      <w:pPr>
        <w:pStyle w:val="Heading1"/>
      </w:pPr>
      <w:r>
        <w:t>Core Meaning</w:t>
      </w:r>
    </w:p>
    <w:p>
      <w:pPr>
        <w:spacing w:after="80" w:line="259" w:lineRule="auto"/>
      </w:pPr>
      <w:r>
        <w:t>SOE is built around this idea: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continuity without final closure</w:t>
      </w:r>
    </w:p>
    <w:p>
      <w:pPr>
        <w:spacing w:after="80" w:line="259" w:lineRule="auto"/>
      </w:pPr>
      <w:r>
        <w:t>The identity may lightly suggest:</w:t>
      </w:r>
    </w:p>
    <w:p>
      <w:pPr>
        <w:pStyle w:val="ListBullet"/>
      </w:pPr>
      <w:r>
        <w:t>revision without collapse,</w:t>
      </w:r>
    </w:p>
    <w:p>
      <w:pPr>
        <w:pStyle w:val="ListBullet"/>
      </w:pPr>
      <w:r>
        <w:t>structure without rigidity,</w:t>
      </w:r>
    </w:p>
    <w:p>
      <w:pPr>
        <w:pStyle w:val="ListBullet"/>
      </w:pPr>
      <w:r>
        <w:t>continuity under change,</w:t>
      </w:r>
    </w:p>
    <w:p>
      <w:pPr>
        <w:pStyle w:val="ListBullet"/>
      </w:pPr>
      <w:r>
        <w:t>governance that can update itself,</w:t>
      </w:r>
    </w:p>
    <w:p>
      <w:pPr>
        <w:pStyle w:val="ListBullet"/>
      </w:pPr>
      <w:r>
        <w:t>non-terminal institutional design.</w:t>
      </w:r>
    </w:p>
    <w:p>
      <w:pPr>
        <w:spacing w:after="80" w:line="259" w:lineRule="auto"/>
      </w:pPr>
      <w:r>
        <w:t>Do not over-literalize this. The logo does not need to explain SOE by itself. Many strong marks do not carry heavy explicit meaning; they become meaningful through repeated use, quality, and association. SOE needs a mark that feels right before it tries to say too much.</w:t>
      </w:r>
    </w:p>
    <w:p>
      <w:pPr>
        <w:pStyle w:val="Heading1"/>
      </w:pPr>
      <w:r>
        <w:t>Existing Visual System To Respect</w:t>
      </w:r>
    </w:p>
    <w:p>
      <w:pPr>
        <w:spacing w:after="80" w:line="259" w:lineRule="auto"/>
      </w:pPr>
      <w:r>
        <w:t>The current Non-Terminal Research site uses:</w:t>
      </w:r>
    </w:p>
    <w:p>
      <w:pPr>
        <w:pStyle w:val="ListBullet"/>
      </w:pPr>
      <w:r>
        <w:t>ink navy: #07111f</w:t>
      </w:r>
    </w:p>
    <w:p>
      <w:pPr>
        <w:pStyle w:val="ListBullet"/>
      </w:pPr>
      <w:r>
        <w:t>secondary ink: #111d2d</w:t>
      </w:r>
    </w:p>
    <w:p>
      <w:pPr>
        <w:pStyle w:val="ListBullet"/>
      </w:pPr>
      <w:r>
        <w:t>warm paper: #efebe2</w:t>
      </w:r>
    </w:p>
    <w:p>
      <w:pPr>
        <w:pStyle w:val="ListBullet"/>
      </w:pPr>
      <w:r>
        <w:t>paper cool: #f7f5ee</w:t>
      </w:r>
    </w:p>
    <w:p>
      <w:pPr>
        <w:pStyle w:val="ListBullet"/>
      </w:pPr>
      <w:r>
        <w:t>off-white: #fffaf0</w:t>
      </w:r>
    </w:p>
    <w:p>
      <w:pPr>
        <w:pStyle w:val="ListBullet"/>
      </w:pPr>
      <w:r>
        <w:t>bronze accent: #a87637</w:t>
      </w:r>
    </w:p>
    <w:p>
      <w:pPr>
        <w:pStyle w:val="ListBullet"/>
      </w:pPr>
      <w:r>
        <w:t>steel blue: #53728d</w:t>
      </w:r>
    </w:p>
    <w:p>
      <w:pPr>
        <w:spacing w:after="80" w:line="259" w:lineRule="auto"/>
      </w:pPr>
      <w:r>
        <w:t>Typography direction:</w:t>
      </w:r>
    </w:p>
    <w:p>
      <w:pPr>
        <w:pStyle w:val="ListBullet"/>
      </w:pPr>
      <w:r>
        <w:t>editorial serif headings similar to EB Garamond,</w:t>
      </w:r>
    </w:p>
    <w:p>
      <w:pPr>
        <w:pStyle w:val="ListBullet"/>
      </w:pPr>
      <w:r>
        <w:t>clean humanist sans body text similar to Inter,</w:t>
      </w:r>
    </w:p>
    <w:p>
      <w:pPr>
        <w:pStyle w:val="ListBullet"/>
      </w:pPr>
      <w:r>
        <w:t>no futuristic display fonts,</w:t>
      </w:r>
    </w:p>
    <w:p>
      <w:pPr>
        <w:pStyle w:val="ListBullet"/>
      </w:pPr>
      <w:r>
        <w:t>no startup-style rounded wordmark.</w:t>
      </w:r>
    </w:p>
    <w:p>
      <w:pPr>
        <w:spacing w:after="80" w:line="259" w:lineRule="auto"/>
      </w:pPr>
      <w:r>
        <w:t>The final logo must work in monochrome first. Color is secondary.</w:t>
      </w:r>
    </w:p>
    <w:p>
      <w:pPr>
        <w:pStyle w:val="Heading1"/>
      </w:pPr>
      <w:r>
        <w:t>Important Correction From Prior Exploration</w:t>
      </w:r>
    </w:p>
    <w:p>
      <w:pPr>
        <w:spacing w:after="80" w:line="259" w:lineRule="auto"/>
      </w:pPr>
      <w:r>
        <w:t>Earlier explorations used a broken circular O. This created problems:</w:t>
      </w:r>
    </w:p>
    <w:p>
      <w:pPr>
        <w:pStyle w:val="ListBullet"/>
      </w:pPr>
      <w:r>
        <w:t>it looked like a circle with a bite taken out,</w:t>
      </w:r>
    </w:p>
    <w:p>
      <w:pPr>
        <w:pStyle w:val="ListBullet"/>
      </w:pPr>
      <w:r>
        <w:t>it sometimes read as SCE instead of SOE,</w:t>
      </w:r>
    </w:p>
    <w:p>
      <w:pPr>
        <w:pStyle w:val="ListBullet"/>
      </w:pPr>
      <w:r>
        <w:t>it risked looking like a loading spinner,</w:t>
      </w:r>
    </w:p>
    <w:p>
      <w:pPr>
        <w:pStyle w:val="ListBullet"/>
      </w:pPr>
      <w:r>
        <w:t>it risked a reticle or target association,</w:t>
      </w:r>
    </w:p>
    <w:p>
      <w:pPr>
        <w:pStyle w:val="ListBullet"/>
      </w:pPr>
      <w:r>
        <w:t>it did not feel beautiful enough to lock.</w:t>
      </w:r>
    </w:p>
    <w:p>
      <w:pPr>
        <w:spacing w:after="80" w:line="259" w:lineRule="auto"/>
      </w:pPr>
      <w:r>
        <w:t>Therefore: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Do not assume the final SOE mark must be a broken circle.</w:t>
      </w:r>
    </w:p>
    <w:p>
      <w:pPr>
        <w:spacing w:after="80" w:line="259" w:lineRule="auto"/>
      </w:pPr>
      <w:r>
        <w:t>A circle, open ring, notch, seam, gate, line, interval, threshold, or typographic intervention may be explored, but the artist should choose the best visual solution.</w:t>
      </w:r>
    </w:p>
    <w:p>
      <w:pPr>
        <w:pStyle w:val="Heading1"/>
      </w:pPr>
      <w:r>
        <w:t>Preferred Strategy</w:t>
      </w:r>
    </w:p>
    <w:p>
      <w:pPr>
        <w:spacing w:after="80" w:line="259" w:lineRule="auto"/>
      </w:pPr>
      <w:r>
        <w:t>Start from a wordmark-first identity system.</w:t>
      </w:r>
    </w:p>
    <w:p>
      <w:pPr>
        <w:spacing w:after="80" w:line="259" w:lineRule="auto"/>
      </w:pPr>
      <w:r>
        <w:t>Priority order:</w:t>
      </w:r>
    </w:p>
    <w:p>
      <w:pPr>
        <w:pStyle w:val="ListNumber"/>
      </w:pPr>
      <w:r>
        <w:t>Make SOE read clearly and beautifully.</w:t>
      </w:r>
    </w:p>
    <w:p>
      <w:pPr>
        <w:pStyle w:val="ListNumber"/>
      </w:pPr>
      <w:r>
        <w:t>Make System of Eternity feel serious and publishable.</w:t>
      </w:r>
    </w:p>
    <w:p>
      <w:pPr>
        <w:pStyle w:val="ListNumber"/>
      </w:pPr>
      <w:r>
        <w:t>Add non-terminal meaning only if it improves the mark.</w:t>
      </w:r>
    </w:p>
    <w:p>
      <w:pPr>
        <w:pStyle w:val="ListNumber"/>
      </w:pPr>
      <w:r>
        <w:t>Prove the mark works at small size.</w:t>
      </w:r>
    </w:p>
    <w:p>
      <w:pPr>
        <w:pStyle w:val="ListNumber"/>
      </w:pPr>
      <w:r>
        <w:t>Prove the mark works in black and white.</w:t>
      </w:r>
    </w:p>
    <w:p>
      <w:pPr>
        <w:spacing w:after="80" w:line="259" w:lineRule="auto"/>
      </w:pPr>
      <w:r>
        <w:t>Readable first. Symbolic second.</w:t>
      </w:r>
    </w:p>
    <w:p>
      <w:pPr>
        <w:spacing w:after="80" w:line="259" w:lineRule="auto"/>
      </w:pPr>
      <w:r>
        <w:t>Aesthetic quality first. Conceptual cleverness last.</w:t>
      </w:r>
    </w:p>
    <w:p>
      <w:pPr>
        <w:pStyle w:val="Heading1"/>
      </w:pPr>
      <w:r>
        <w:t>Suggested Directions To Explore</w:t>
      </w:r>
    </w:p>
    <w:p>
      <w:pPr>
        <w:spacing w:after="80" w:line="259" w:lineRule="auto"/>
      </w:pPr>
      <w:r>
        <w:t>These are not mandatory:</w:t>
      </w:r>
    </w:p>
    <w:p>
      <w:pPr>
        <w:pStyle w:val="ListBullet"/>
      </w:pPr>
      <w:r>
        <w:t>refined SOE wordmark with subtle non-closed typographic detail,</w:t>
      </w:r>
    </w:p>
    <w:p>
      <w:pPr>
        <w:pStyle w:val="ListBullet"/>
      </w:pPr>
      <w:r>
        <w:t>editorial wordmark with one controlled interruption or threshold,</w:t>
      </w:r>
    </w:p>
    <w:p>
      <w:pPr>
        <w:pStyle w:val="ListBullet"/>
      </w:pPr>
      <w:r>
        <w:t>linear revision-gate motif instead of a circle,</w:t>
      </w:r>
    </w:p>
    <w:p>
      <w:pPr>
        <w:pStyle w:val="ListBullet"/>
      </w:pPr>
      <w:r>
        <w:t>quiet document seal that does not look governmental or mystical,</w:t>
      </w:r>
    </w:p>
    <w:p>
      <w:pPr>
        <w:pStyle w:val="ListBullet"/>
      </w:pPr>
      <w:r>
        <w:t>typographic ligature or spacing system around SOE,</w:t>
      </w:r>
    </w:p>
    <w:p>
      <w:pPr>
        <w:pStyle w:val="ListBullet"/>
      </w:pPr>
      <w:r>
        <w:t>abstract structural mark paired with the full name.</w:t>
      </w:r>
    </w:p>
    <w:p>
      <w:pPr>
        <w:pStyle w:val="ListBullet"/>
      </w:pPr>
      <w:r>
        <w:t>no overt symbol at all, if the wordmark is strong enough.</w:t>
      </w:r>
    </w:p>
    <w:p>
      <w:pPr>
        <w:pStyle w:val="Heading1"/>
      </w:pPr>
      <w:r>
        <w:t>Must Avoid</w:t>
      </w:r>
    </w:p>
    <w:p>
      <w:pPr>
        <w:spacing w:after="80" w:line="259" w:lineRule="auto"/>
      </w:pPr>
      <w:r>
        <w:t>Avoid anything that reads as:</w:t>
      </w:r>
    </w:p>
    <w:p>
      <w:pPr>
        <w:pStyle w:val="ListBullet"/>
      </w:pPr>
      <w:r>
        <w:t>tech startup,</w:t>
      </w:r>
    </w:p>
    <w:p>
      <w:pPr>
        <w:pStyle w:val="ListBullet"/>
      </w:pPr>
      <w:r>
        <w:t>crypto token,</w:t>
      </w:r>
    </w:p>
    <w:p>
      <w:pPr>
        <w:pStyle w:val="ListBullet"/>
      </w:pPr>
      <w:r>
        <w:t>app icon,</w:t>
      </w:r>
    </w:p>
    <w:p>
      <w:pPr>
        <w:pStyle w:val="ListBullet"/>
      </w:pPr>
      <w:r>
        <w:t>loading spinner,</w:t>
      </w:r>
    </w:p>
    <w:p>
      <w:pPr>
        <w:pStyle w:val="ListBullet"/>
      </w:pPr>
      <w:r>
        <w:t>reticle,</w:t>
      </w:r>
    </w:p>
    <w:p>
      <w:pPr>
        <w:pStyle w:val="ListBullet"/>
      </w:pPr>
      <w:r>
        <w:t>military badge,</w:t>
      </w:r>
    </w:p>
    <w:p>
      <w:pPr>
        <w:pStyle w:val="ListBullet"/>
      </w:pPr>
      <w:r>
        <w:t>political party mark,</w:t>
      </w:r>
    </w:p>
    <w:p>
      <w:pPr>
        <w:pStyle w:val="ListBullet"/>
      </w:pPr>
      <w:r>
        <w:t>cult or mystical seal,</w:t>
      </w:r>
    </w:p>
    <w:p>
      <w:pPr>
        <w:pStyle w:val="ListBullet"/>
      </w:pPr>
      <w:r>
        <w:t>sci-fi faction,</w:t>
      </w:r>
    </w:p>
    <w:p>
      <w:pPr>
        <w:pStyle w:val="ListBullet"/>
      </w:pPr>
      <w:r>
        <w:t>national crest,</w:t>
      </w:r>
    </w:p>
    <w:p>
      <w:pPr>
        <w:pStyle w:val="ListBullet"/>
      </w:pPr>
      <w:r>
        <w:t>glowing orbital/cosmic imagery,</w:t>
      </w:r>
    </w:p>
    <w:p>
      <w:pPr>
        <w:pStyle w:val="ListBullet"/>
      </w:pPr>
      <w:r>
        <w:t>generic consulting logo,</w:t>
      </w:r>
    </w:p>
    <w:p>
      <w:pPr>
        <w:pStyle w:val="ListBullet"/>
      </w:pPr>
      <w:r>
        <w:t>overdesigned AI-generated geometry.</w:t>
      </w:r>
    </w:p>
    <w:p>
      <w:pPr>
        <w:pStyle w:val="Heading1"/>
      </w:pPr>
      <w:r>
        <w:t>Success Test</w:t>
      </w:r>
    </w:p>
    <w:p>
      <w:pPr>
        <w:spacing w:after="80" w:line="259" w:lineRule="auto"/>
      </w:pPr>
      <w:r>
        <w:t>The final mark should make a serious reader think: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This is a disciplined research framework.</w:t>
      </w:r>
    </w:p>
    <w:p>
      <w:pPr>
        <w:spacing w:after="80" w:line="259" w:lineRule="auto"/>
      </w:pPr>
      <w:r>
        <w:t>It should not make them think: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This is a movement, product, game faction, ideology, or fantasy world.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