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7111F"/>
          <w:sz w:val="40"/>
        </w:rPr>
        <w:t>SOE Human Artist Review Patch Response</w:t>
      </w:r>
    </w:p>
    <w:p>
      <w:pPr>
        <w:jc w:val="center"/>
      </w:pPr>
      <w:r>
        <w:rPr>
          <w:color w:val="53728D"/>
          <w:sz w:val="18"/>
        </w:rPr>
        <w:t>System of Eternity / Human Artist Visual Identity Package</w:t>
      </w:r>
    </w:p>
    <w:p>
      <w:pPr>
        <w:pStyle w:val="Heading1"/>
      </w:pPr>
      <w:r>
        <w:t>Purpose</w:t>
      </w:r>
    </w:p>
    <w:p>
      <w:pPr>
        <w:spacing w:after="80" w:line="259" w:lineRule="auto"/>
      </w:pPr>
      <w:r>
        <w:t>This note records the narrow patch applied after multi-AI review of the SOE human artist visual identity package.</w:t>
      </w:r>
    </w:p>
    <w:p>
      <w:pPr>
        <w:spacing w:after="80" w:line="259" w:lineRule="auto"/>
      </w:pPr>
      <w:r>
        <w:t>The review consensus accepted the creative direction and handoff structure. One review correctly identified that the package was strong as a creative brief but needed clearer practical commission mechanics before sending to a real artist.</w:t>
      </w:r>
    </w:p>
    <w:p>
      <w:pPr>
        <w:pStyle w:val="Heading1"/>
      </w:pPr>
      <w:r>
        <w:t>Patch Applied</w:t>
      </w:r>
    </w:p>
    <w:p>
      <w:pPr>
        <w:spacing w:after="80" w:line="259" w:lineRule="auto"/>
      </w:pPr>
      <w:r>
        <w:t>The package was updated to add:</w:t>
      </w:r>
    </w:p>
    <w:p>
      <w:pPr>
        <w:pStyle w:val="ListBullet"/>
      </w:pPr>
      <w:r>
        <w:t>explicit price / timeline / revision-round confirmation before work begins,</w:t>
      </w:r>
    </w:p>
    <w:p>
      <w:pPr>
        <w:pStyle w:val="ListBullet"/>
      </w:pPr>
      <w:r>
        <w:t>source-file and final-asset delivery expectations,</w:t>
      </w:r>
    </w:p>
    <w:p>
      <w:pPr>
        <w:pStyle w:val="ListBullet"/>
      </w:pPr>
      <w:r>
        <w:t>font licensing confirmation,</w:t>
      </w:r>
    </w:p>
    <w:p>
      <w:pPr>
        <w:pStyle w:val="ListBullet"/>
      </w:pPr>
      <w:r>
        <w:t>commercial and public research use confirmation,</w:t>
      </w:r>
    </w:p>
    <w:p>
      <w:pPr>
        <w:pStyle w:val="ListBullet"/>
      </w:pPr>
      <w:r>
        <w:t>work-for-hire or broad public-use license clarification,</w:t>
      </w:r>
    </w:p>
    <w:p>
      <w:pPr>
        <w:pStyle w:val="ListBullet"/>
      </w:pPr>
      <w:r>
        <w:t>visual collision / trademark-confusion screening,</w:t>
      </w:r>
    </w:p>
    <w:p>
      <w:pPr>
        <w:pStyle w:val="ListBullet"/>
      </w:pPr>
      <w:r>
        <w:t>one-page usage sheet requirement,</w:t>
      </w:r>
    </w:p>
    <w:p>
      <w:pPr>
        <w:pStyle w:val="ListBullet"/>
      </w:pPr>
      <w:r>
        <w:t>16 px favicon consistency across the asset matrix and deliverables spec,</w:t>
      </w:r>
    </w:p>
    <w:p>
      <w:pPr>
        <w:pStyle w:val="ListBullet"/>
      </w:pPr>
      <w:r>
        <w:t>attachment-reference language in the send-to-artist message.</w:t>
      </w:r>
    </w:p>
    <w:p>
      <w:pPr>
        <w:pStyle w:val="Heading1"/>
      </w:pPr>
      <w:r>
        <w:t>Boundary</w:t>
      </w:r>
    </w:p>
    <w:p>
      <w:pPr>
        <w:spacing w:after="80" w:line="259" w:lineRule="auto"/>
      </w:pPr>
      <w:r>
        <w:t>This patch does not lock a final SOE logo.</w:t>
      </w:r>
    </w:p>
    <w:p>
      <w:pPr>
        <w:spacing w:after="80" w:line="259" w:lineRule="auto"/>
      </w:pPr>
      <w:r>
        <w:t>This patch does not authorize public release of a logo.</w:t>
      </w:r>
    </w:p>
    <w:p>
      <w:pPr>
        <w:spacing w:after="80" w:line="259" w:lineRule="auto"/>
      </w:pPr>
      <w:r>
        <w:t>This patch does not make any claim about SOE research validity, deployment readiness, pilot readiness, empirical validation, real-world node recognition, cryptographic readiness, or Operation Layer freeze.</w:t>
      </w:r>
    </w:p>
    <w:p>
      <w:pPr>
        <w:pStyle w:val="Heading1"/>
      </w:pPr>
      <w:r>
        <w:t>Current Status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PATCHED_SOE_HUMAN_ARTIST_VISUAL_IDENTITY_PACKAGE_READY_FOR_ARTIST_HANDOFF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71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711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711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