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SOE Hostile Review Preparation Brief</w:t>
      </w:r>
    </w:p>
    <w:p/>
    <w:p>
      <w:r>
        <w:t>Date: 2026-06-18</w:t>
      </w:r>
    </w:p>
    <w:p/>
    <w:p>
      <w:r>
        <w:t>Patch status: v0.2 patched after multi-AI hostile-prep review</w:t>
      </w:r>
    </w:p>
    <w:p/>
    <w:p>
      <w:r>
        <w:t>Status: Draft for multi-AI review</w:t>
      </w:r>
    </w:p>
    <w:p/>
    <w:p>
      <w:pPr>
        <w:pStyle w:val="Heading2"/>
      </w:pPr>
      <w:r>
        <w:t>1. Reason For This Package</w:t>
      </w:r>
    </w:p>
    <w:p/>
    <w:p>
      <w:r>
        <w:t>The System of Eternity (SOE) has completed a paper-design and architecture-model simulation phase. The current public structure includes Meta-Governance, Governance Architecture, and Operation Layer surfaces. Prior SGS/TGS work and future-concern harvests have been integrated into the public structure while preserving evidence boundaries.</w:t>
      </w:r>
    </w:p>
    <w:p/>
    <w:p>
      <w:r>
        <w:t>The next serious evaluation gap cannot be filled by another ordinary polish review alone. It requires hostile review: deliberate attack against SOE as if adversaries had read the system, understood its stated guardrails, and tried to exploit them. Ordinary review remains useful for wording, citations, and coherence; hostile review is needed for the adversarial risk surface.</w:t>
      </w:r>
    </w:p>
    <w:p/>
    <w:p>
      <w:r>
        <w:t>This package prepares that review. It asks reviewers to judge whether the hostile review sprint is well designed before any high-cost model sprint, new simulation, tabletop, or implementation evaluation begins.</w:t>
      </w:r>
    </w:p>
    <w:p/>
    <w:p>
      <w:pPr>
        <w:pStyle w:val="Heading2"/>
      </w:pPr>
      <w:r>
        <w:t>2. Core Question</w:t>
      </w:r>
    </w:p>
    <w:p/>
    <w:p>
      <w:r>
        <w:t>Can the proposed hostile review design expose meaningful failures in SOE against adaptive human and institutional adversaries?</w:t>
      </w:r>
    </w:p>
    <w:p/>
    <w:p>
      <w:r>
        <w:t>The package should be rejected or patched if it only tests obvious mechanical failures while missing adversarial social behavior.</w:t>
      </w:r>
    </w:p>
    <w:p/>
    <w:p>
      <w:pPr>
        <w:pStyle w:val="Heading2"/>
      </w:pPr>
      <w:r>
        <w:t>3. What Must Be Attacked</w:t>
      </w:r>
    </w:p>
    <w:p/>
    <w:p>
      <w:r>
        <w:t>Reviewers should attack at least these surfaces:</w:t>
      </w:r>
    </w:p>
    <w:p/>
    <w:p>
      <w:pPr>
        <w:pStyle w:val="ListBullet"/>
      </w:pPr>
      <w:r>
        <w:t>Meta-Governance evidence hierarchy and claim downgrading;</w:t>
      </w:r>
    </w:p>
    <w:p>
      <w:pPr>
        <w:pStyle w:val="ListBullet"/>
      </w:pPr>
      <w:r>
        <w:t>Governance Architecture C00-C09 stack, especially C09 recognition and anti-capture logic;</w:t>
      </w:r>
    </w:p>
    <w:p>
      <w:pPr>
        <w:pStyle w:val="ListBullet"/>
      </w:pPr>
      <w:r>
        <w:t>Operation Layer routing, custody, ownership, rollback, handoff, and terms-of-engagement logic;</w:t>
      </w:r>
    </w:p>
    <w:p>
      <w:pPr>
        <w:pStyle w:val="ListBullet"/>
      </w:pPr>
      <w:r>
        <w:t>SOE's ability to resist ideological laundering or hostile reinterpretation;</w:t>
      </w:r>
    </w:p>
    <w:p>
      <w:pPr>
        <w:pStyle w:val="ListBullet"/>
      </w:pPr>
      <w:r>
        <w:t>public communication boundaries and the risk of misleading legitimacy signals;</w:t>
      </w:r>
    </w:p>
    <w:p>
      <w:pPr>
        <w:pStyle w:val="ListBullet"/>
      </w:pPr>
      <w:r>
        <w:t>the difference between simulation success and real-world organizational survival.</w:t>
      </w:r>
    </w:p>
    <w:p/>
    <w:p>
      <w:pPr>
        <w:pStyle w:val="Heading2"/>
      </w:pPr>
      <w:r>
        <w:t>4. Known Prior Boundaries</w:t>
      </w:r>
    </w:p>
    <w:p/>
    <w:p>
      <w:r>
        <w:t>Prior evidence does not establish real-world readiness.</w:t>
      </w:r>
    </w:p>
    <w:p/>
    <w:p>
      <w:r>
        <w:t>Allowed language:</w:t>
      </w:r>
    </w:p>
    <w:p/>
    <w:p>
      <w:pPr>
        <w:pStyle w:val="ListBullet"/>
      </w:pPr>
      <w:r>
        <w:t>architecture-model simulation evidence;</w:t>
      </w:r>
    </w:p>
    <w:p>
      <w:pPr>
        <w:pStyle w:val="ListBullet"/>
      </w:pPr>
      <w:r>
        <w:t>internal paper-design evidence;</w:t>
      </w:r>
    </w:p>
    <w:p>
      <w:pPr>
        <w:pStyle w:val="ListBullet"/>
      </w:pPr>
      <w:r>
        <w:t>bounded review planning;</w:t>
      </w:r>
    </w:p>
    <w:p>
      <w:pPr>
        <w:pStyle w:val="ListBullet"/>
      </w:pPr>
      <w:r>
        <w:t>hostile review preparation;</w:t>
      </w:r>
    </w:p>
    <w:p>
      <w:pPr>
        <w:pStyle w:val="ListBullet"/>
      </w:pPr>
      <w:r>
        <w:t>concern-input mapping.</w:t>
      </w:r>
    </w:p>
    <w:p/>
    <w:p>
      <w:r>
        <w:t>Blocked language:</w:t>
      </w:r>
    </w:p>
    <w:p/>
    <w:p>
      <w:pPr>
        <w:pStyle w:val="ListBullet"/>
      </w:pPr>
      <w:r>
        <w:t>deployment ready;</w:t>
      </w:r>
    </w:p>
    <w:p>
      <w:pPr>
        <w:pStyle w:val="ListBullet"/>
      </w:pPr>
      <w:r>
        <w:t>field validated;</w:t>
      </w:r>
    </w:p>
    <w:p>
      <w:pPr>
        <w:pStyle w:val="ListBullet"/>
      </w:pPr>
      <w:r>
        <w:t>real-world safe;</w:t>
      </w:r>
    </w:p>
    <w:p>
      <w:pPr>
        <w:pStyle w:val="ListBullet"/>
      </w:pPr>
      <w:r>
        <w:t>empirically proven;</w:t>
      </w:r>
    </w:p>
    <w:p>
      <w:pPr>
        <w:pStyle w:val="ListBullet"/>
      </w:pPr>
      <w:r>
        <w:t>politically sufficient;</w:t>
      </w:r>
    </w:p>
    <w:p>
      <w:pPr>
        <w:pStyle w:val="ListBullet"/>
      </w:pPr>
      <w:r>
        <w:t>governance authority established;</w:t>
      </w:r>
    </w:p>
    <w:p>
      <w:pPr>
        <w:pStyle w:val="ListBullet"/>
      </w:pPr>
      <w:r>
        <w:t>node recognition ready;</w:t>
      </w:r>
    </w:p>
    <w:p>
      <w:pPr>
        <w:pStyle w:val="ListBullet"/>
      </w:pPr>
      <w:r>
        <w:t>Operation Layer frozen.</w:t>
      </w:r>
    </w:p>
    <w:p/>
    <w:p>
      <w:pPr>
        <w:pStyle w:val="Heading2"/>
      </w:pPr>
      <w:r>
        <w:t>5. Why Ordinary Simulation Is Not Enough</w:t>
      </w:r>
    </w:p>
    <w:p/>
    <w:p>
      <w:r>
        <w:t>Prior simulations were useful for checking declared mechanisms under bounded conditions. They did not fully model:</w:t>
      </w:r>
    </w:p>
    <w:p/>
    <w:p>
      <w:pPr>
        <w:pStyle w:val="ListBullet"/>
      </w:pPr>
      <w:r>
        <w:t>malicious human coalitions;</w:t>
      </w:r>
    </w:p>
    <w:p>
      <w:pPr>
        <w:pStyle w:val="ListBullet"/>
      </w:pPr>
      <w:r>
        <w:t>strategic institutional capture;</w:t>
      </w:r>
    </w:p>
    <w:p>
      <w:pPr>
        <w:pStyle w:val="ListBullet"/>
      </w:pPr>
      <w:r>
        <w:t>propaganda and legitimacy attacks;</w:t>
      </w:r>
    </w:p>
    <w:p>
      <w:pPr>
        <w:pStyle w:val="ListBullet"/>
      </w:pPr>
      <w:r>
        <w:t>bribery, blackmail, insider compromise, or selective enforcement;</w:t>
      </w:r>
    </w:p>
    <w:p>
      <w:pPr>
        <w:pStyle w:val="ListBullet"/>
      </w:pPr>
      <w:r>
        <w:t>hostile legal reinterpretation;</w:t>
      </w:r>
    </w:p>
    <w:p>
      <w:pPr>
        <w:pStyle w:val="ListBullet"/>
      </w:pPr>
      <w:r>
        <w:t>slow corruption across years;</w:t>
      </w:r>
    </w:p>
    <w:p>
      <w:pPr>
        <w:pStyle w:val="ListBullet"/>
      </w:pPr>
      <w:r>
        <w:t>adversaries adapting after reading SOE;</w:t>
      </w:r>
    </w:p>
    <w:p>
      <w:pPr>
        <w:pStyle w:val="ListBullet"/>
      </w:pPr>
      <w:r>
        <w:t>ideological laundering, including attempts to claim SOE as the final form of an existing ideology;</w:t>
      </w:r>
    </w:p>
    <w:p>
      <w:pPr>
        <w:pStyle w:val="ListBullet"/>
      </w:pPr>
      <w:r>
        <w:t>implementation failure inside real organizations.</w:t>
      </w:r>
    </w:p>
    <w:p/>
    <w:p>
      <w:r>
        <w:t>The hostile review sprint must therefore test adversarial interpretation, power behavior, and organizational failure, not just variable dynamics.</w:t>
      </w:r>
    </w:p>
    <w:p/>
    <w:p>
      <w:r>
        <w:t>The sprint must also avoid overclaiming its own method. A multi-AI hostile sprint may identify theoretical failure pathways and candidate patch needs. It must not claim to have empirically simulated real institutional behavior. Real organizations include boredom, status conflict, procedural fatigue, miscommunication, staff turnover, resource scarcity, and plain incompetence; AI reviewers must be instructed to inject these frictions instead of assuming rational, communicative, fully staffed institutions.</w:t>
      </w:r>
    </w:p>
    <w:p/>
    <w:p>
      <w:pPr>
        <w:pStyle w:val="Heading2"/>
      </w:pPr>
      <w:r>
        <w:t>6. Preparation Gate</w:t>
      </w:r>
    </w:p>
    <w:p/>
    <w:p>
      <w:r>
        <w:t>This package is accepted only if reviewers agree that the adversary model and test families are strong enough to become the basis for a later sprint.</w:t>
      </w:r>
    </w:p>
    <w:p/>
    <w:p>
      <w:r>
        <w:t>Acceptance of this package does not mean SOE passes hostile review. It only means the planned hostile review is worth running.</w:t>
      </w:r>
    </w:p>
    <w:p/>
    <w:p>
      <w:r>
        <w:t>Before any later sprint is treated as complete, the sprint plan should define an exit condition: what kind of finding would force halt, redesign, or escalation to non-AI tabletop/reality-contact planning. Otherwise, review can become recursive procedure rather than learning.</w:t>
      </w:r>
    </w:p>
    <w:p/>
    <w:p>
      <w:pPr>
        <w:pStyle w:val="Heading2"/>
      </w:pPr>
      <w:r>
        <w:t>7. Non-Upgrade Rule</w:t>
      </w:r>
    </w:p>
    <w:p/>
    <w:p>
      <w:r>
        <w:t>No finding from this preparation package may be used as evidence that SOE is safe, deployable, validated, or ready for real-world authority. The only allowed positive conclusion is:</w:t>
      </w:r>
    </w:p>
    <w:p/>
    <w:p>
      <w:r>
        <w:t>```text</w:t>
      </w:r>
    </w:p>
    <w:p>
      <w:r>
        <w:t>The hostile review preparation design is ready for the next planning gate.</w:t>
      </w:r>
    </w:p>
    <w:p>
      <w:r>
        <w:t>```</w:t>
      </w:r>
    </w:p>
    <w:p/>
    <w:p>
      <w:r>
        <w:t>It does not mean:</w:t>
      </w:r>
    </w:p>
    <w:p/>
    <w:p>
      <w:r>
        <w:t>```text</w:t>
      </w:r>
    </w:p>
    <w:p>
      <w:r>
        <w:t>SOE is hostile-review validated.</w:t>
      </w:r>
    </w:p>
    <w:p>
      <w:r>
        <w:t>SOE is organizationally proven.</w:t>
      </w:r>
    </w:p>
    <w:p>
      <w:r>
        <w:t>SOE is ready for pilot work, deployment, or real-world authority.</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