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Grand Simulation v0.7 Findings</w:t>
      </w:r>
    </w:p>
    <w:p/>
    <w:p>
      <w:pPr>
        <w:pStyle w:val="Heading2"/>
      </w:pPr>
      <w:r>
        <w:t>Executive Verdict</w:t>
      </w:r>
    </w:p>
    <w:p/>
    <w:p>
      <w:r>
        <w:t>v0.7 ran successfully as a focused closure batch.</w:t>
      </w:r>
    </w:p>
    <w:p/>
    <w:p>
      <w:pPr>
        <w:pStyle w:val="ListBullet"/>
      </w:pPr>
      <w:r>
        <w:t>Runs: 870.</w:t>
      </w:r>
    </w:p>
    <w:p>
      <w:pPr>
        <w:pStyle w:val="ListBullet"/>
      </w:pPr>
      <w:r>
        <w:t>Step rows: 139,200.</w:t>
      </w:r>
    </w:p>
    <w:p>
      <w:pPr>
        <w:pStyle w:val="ListBullet"/>
      </w:pPr>
      <w:r>
        <w:t>Scenarios: 29.</w:t>
      </w:r>
    </w:p>
    <w:p>
      <w:pPr>
        <w:pStyle w:val="ListBullet"/>
      </w:pPr>
      <w:r>
        <w:t>Profiles: 3.</w:t>
      </w:r>
    </w:p>
    <w:p>
      <w:pPr>
        <w:pStyle w:val="ListBullet"/>
      </w:pPr>
      <w:r>
        <w:t>Boundary: simulation evidence only, not deployment-ready or container-ready evidence.</w:t>
      </w:r>
    </w:p>
    <w:p/>
    <w:p>
      <w:pPr>
        <w:pStyle w:val="Heading2"/>
      </w:pPr>
      <w:r>
        <w:t>Claim Status</w:t>
      </w:r>
    </w:p>
    <w:p/>
    <w:p>
      <w:r>
        <w:rPr>
          <w:rFonts w:ascii="Consolas" w:hAnsi="Consolas"/>
          <w:sz w:val="17"/>
        </w:rPr>
        <w:t>| Claim | Status | Metric | Value |</w:t>
      </w:r>
    </w:p>
    <w:p>
      <w:r>
        <w:rPr>
          <w:rFonts w:ascii="Consolas" w:hAnsi="Consolas"/>
          <w:sz w:val="17"/>
        </w:rPr>
        <w:t>|---|---|---|---:|</w:t>
      </w:r>
    </w:p>
    <w:p>
      <w:r>
        <w:rPr>
          <w:rFonts w:ascii="Consolas" w:hAnsi="Consolas"/>
          <w:sz w:val="17"/>
        </w:rPr>
        <w:t>| CL02 | supported_in_v0_7_regression | on_time_tpr;false_positive_rate;avg_lead_to_collapse30 | 1.0;0.0;8.175 |</w:t>
      </w:r>
    </w:p>
    <w:p>
      <w:r>
        <w:rPr>
          <w:rFonts w:ascii="Consolas" w:hAnsi="Consolas"/>
          <w:sz w:val="17"/>
        </w:rPr>
        <w:t>| CL02A | adversarial_measured_v0_7 | ablation_on_time_tpr;avg_ablation_lead | 0.0;-4.1 |</w:t>
      </w:r>
    </w:p>
    <w:p>
      <w:r>
        <w:rPr>
          <w:rFonts w:ascii="Consolas" w:hAnsi="Consolas"/>
          <w:sz w:val="17"/>
        </w:rPr>
        <w:t>| CL05 | context_dependent_unbalanced_tested | all_hub_delta;single_hub_delta;unbalanced_primary_delta;unbalanced_secondary_delta;hub3_secondary_ignition | 0.0;0.333333;0.333333;0.0;0.333333 |</w:t>
      </w:r>
    </w:p>
    <w:p>
      <w:r>
        <w:rPr>
          <w:rFonts w:ascii="Consolas" w:hAnsi="Consolas"/>
          <w:sz w:val="17"/>
        </w:rPr>
        <w:t>| CL09 | impact_tested_v0_7 | avg_latency;avg_wrong_monitoring;avg_hidden_collapse;avg_blind_no_trigger;avg_topology_false_stability;max_wrong_window | 46.666667;46.666667;0.244444;0.0;0.0;65 |</w:t>
      </w:r>
    </w:p>
    <w:p>
      <w:r>
        <w:rPr>
          <w:rFonts w:ascii="Consolas" w:hAnsi="Consolas"/>
          <w:sz w:val="17"/>
        </w:rPr>
        <w:t>| CL10 | graded_stress_measured_v0_7 | resource_exhaustion_rate_all_runs;stress_exhaustion_rate;pressure_exhaustion_rate;avg_stress_floor_steps;avg_routing_delay_loss | 0.470115;1.0;1.0;100.273333;0.004152 |</w:t>
      </w:r>
    </w:p>
    <w:p/>
    <w:p>
      <w:pPr>
        <w:pStyle w:val="Heading2"/>
      </w:pPr>
      <w:r>
        <w:t>Main Findings</w:t>
      </w:r>
    </w:p>
    <w:p/>
    <w:p>
      <w:pPr>
        <w:pStyle w:val="ListNumber"/>
      </w:pPr>
      <w:r>
        <w:t>CL09 impact coupling is now tested. Wrong-monitoring remains large (avg 46.67, max 65), and hidden-collapse overlap is no longer zero (avg 0.244 steps across all topology stress rows). Blind/no-trigger topology false stability remains 0, so the honest conclusion is: stale topology can overlap with hidden collapse, but the tested trigger set still prevents fully blind false stability.</w:t>
      </w:r>
    </w:p>
    <w:p/>
    <w:p>
      <w:pPr>
        <w:pStyle w:val="ListNumber"/>
      </w:pPr>
      <w:r>
        <w:t>CL05 hub completeness improved. `hub_2_unbalanced_secondary_failure` was added. At mid stress, primary unbalanced failure strongly separates 2 hubs from 3 hubs; secondary unbalanced failure does not separate them. Three hubs remain context-dependent mitigation, not mesh equivalence.</w:t>
      </w:r>
    </w:p>
    <w:p/>
    <w:p>
      <w:pPr>
        <w:pStyle w:val="ListNumber"/>
      </w:pPr>
      <w:r>
        <w:t>CL10 now has a severity gradient mostly in resource-floor duration and routing delay, not in exhaustion incidence. All graded pressure scenarios still eventually exhaust, but mild and mid pressure shorten floor duration relative to harsh/routing scenarios.</w:t>
      </w:r>
    </w:p>
    <w:p/>
    <w:p>
      <w:pPr>
        <w:pStyle w:val="ListNumber"/>
      </w:pPr>
      <w:r>
        <w:t>CL02 regression survives, but the adversarial stability-term ablation fails. With `psi_s_weight_scale = 0.0`, ablation on-time TPR is 0.0 and average lead is -4.1, showing the v0.5/v0.6 detector depends materially on the stability term. This is useful adversarial evidence, not a source-hierarchy violation.</w:t>
      </w:r>
    </w:p>
    <w:p/>
    <w:p>
      <w:pPr>
        <w:pStyle w:val="Heading2"/>
      </w:pPr>
      <w:r>
        <w:t>Validation Snapshot</w:t>
      </w:r>
    </w:p>
    <w:p/>
    <w:p>
      <w:pPr>
        <w:pStyle w:val="ListBullet"/>
      </w:pPr>
      <w:r>
        <w:t>Min break-condition margin: 0.006735.</w:t>
      </w:r>
    </w:p>
    <w:p>
      <w:pPr>
        <w:pStyle w:val="ListBullet"/>
      </w:pPr>
      <w:r>
        <w:t>Max `k_D_effective`: 0.130000.</w:t>
      </w:r>
    </w:p>
    <w:p>
      <w:pPr>
        <w:pStyle w:val="ListBullet"/>
      </w:pPr>
      <w:r>
        <w:t>Max `k_C_effective`: 0.100000.</w:t>
      </w:r>
    </w:p>
    <w:p>
      <w:pPr>
        <w:pStyle w:val="ListBullet"/>
      </w:pPr>
      <w:r>
        <w:t>Federation C04 Trigger A violations: 0.</w:t>
      </w:r>
    </w:p>
    <w:p>
      <w:pPr>
        <w:pStyle w:val="ListBullet"/>
      </w:pPr>
      <w:r>
        <w:t>Non-federation C07 Trigger A sources: 0.</w:t>
      </w:r>
    </w:p>
    <w:p>
      <w:pPr>
        <w:pStyle w:val="ListBullet"/>
      </w:pPr>
      <w:r>
        <w:t>Max federation `psi_term_regime`: 0.000000.</w:t>
      </w:r>
    </w:p>
    <w:p/>
    <w:p>
      <w:pPr>
        <w:pStyle w:val="Heading2"/>
      </w:pPr>
      <w:r>
        <w:t>Reviewer Focus</w:t>
      </w:r>
    </w:p>
    <w:p/>
    <w:p>
      <w:r>
        <w:t>Ask reviewers to attack:</w:t>
      </w:r>
    </w:p>
    <w:p/>
    <w:p>
      <w:pPr>
        <w:pStyle w:val="ListNumber"/>
      </w:pPr>
      <w:r>
        <w:t>Whether CL09 can now be described as impact-tested rather than merely wrong-monitoring-tested.</w:t>
      </w:r>
    </w:p>
    <w:p>
      <w:pPr>
        <w:pStyle w:val="ListNumber"/>
      </w:pPr>
      <w:r>
        <w:t>Whether the zero blind/no-trigger result is genuine robustness or still a metric limitation.</w:t>
      </w:r>
    </w:p>
    <w:p>
      <w:pPr>
        <w:pStyle w:val="ListNumber"/>
      </w:pPr>
      <w:r>
        <w:t>Whether the failed stability-term ablation should become a required detector-design caveat.</w:t>
      </w:r>
    </w:p>
    <w:p>
      <w:pPr>
        <w:pStyle w:val="ListNumber"/>
      </w:pPr>
      <w:r>
        <w:t>Whether CL10 needs another pass because exhaustion incidence is still 100% in graded pressure scenarios.</w:t>
      </w:r>
    </w:p>
    <w:p>
      <w:pPr>
        <w:pStyle w:val="ListNumber"/>
      </w:pPr>
      <w:r>
        <w:t>Whether the simulation program is ready to pivot from more batches to paper-evidence consolidation plus container-test planning.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