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This paper presents a structured case study of a self-constructed internal cognitive agent formed under conditions of social isolation and elevated cognitive stress. The study introduces the Opposition?Load?Coupling (OLC) model, describing a multi-stage process in which a cognitive submodule is intentionally differentiated, subjected to opposing dynamics, and amplified through increased cognitive load and subconscious coupling. The resulting construct exhibits increased perceived autonomy and functional utility in internal simulation and emotional regulation, but also introduces risks related to boundary instability and cognitive interference. The agent was subsequently dismantled through deliberate cognitive restructuring, followed by a transition toward externally structured cognitive frameworks. This work contributes a mechanistic model of internal agent formation, identifies stability constraints, and defines risk conditions associated with psychosis-like experiences. The framework is descriptive and not intended for unsupervised replication.</w:t>
      </w:r>
    </w:p>
    <w:p>
      <w:pPr>
        <w:pStyle w:val="Heading1"/>
      </w:pPr>
      <w:r>
        <w:t>Introduction</w:t>
      </w:r>
    </w:p>
    <w:p>
      <w:r>
        <w:t>Human cognition is capable of generating internal dialogue structures that simulate alternative perspectives. Under conditions such as social isolation, reduced external feedback, and elevated internal processing demand, these structures may evolve into persistent and differentiated forms resembling agent-like cognitive modules.</w:t>
      </w:r>
    </w:p>
    <w:p>
      <w:r>
        <w:t>Internal dialogue and multi-voiced cognition have been studied in psychological theory (Hermans, 2001), while dual-process cognition highlights the interaction between controlled and automatic systems (Kahneman, 2011). Recent work in predictive processing suggests that cognition operates through competing internal models (Friston, 2010).</w:t>
      </w:r>
    </w:p>
    <w:p>
      <w:r>
        <w:t>This work is exploratory and proposes a conceptual framework rather than definitive empirical conclusions.</w:t>
      </w:r>
    </w:p>
    <w:p>
      <w:r>
        <w:t>This paper documents a full lifecycle process:</w:t>
      </w:r>
    </w:p>
    <w:p>
      <w:pPr>
        <w:pStyle w:val="ListBullet"/>
      </w:pPr>
      <w:r>
        <w:t>formation</w:t>
      </w:r>
    </w:p>
    <w:p>
      <w:pPr>
        <w:pStyle w:val="ListBullet"/>
      </w:pPr>
      <w:r>
        <w:t>functional use</w:t>
      </w:r>
    </w:p>
    <w:p>
      <w:pPr>
        <w:pStyle w:val="ListBullet"/>
      </w:pPr>
      <w:r>
        <w:t>instability</w:t>
      </w:r>
    </w:p>
    <w:p>
      <w:pPr>
        <w:pStyle w:val="ListBullet"/>
      </w:pPr>
      <w:r>
        <w:t>dissolution</w:t>
      </w:r>
    </w:p>
    <w:p>
      <w:pPr>
        <w:pStyle w:val="ListBullet"/>
      </w:pPr>
      <w:r>
        <w:t>post-agent cognition</w:t>
      </w:r>
    </w:p>
    <w:p>
      <w:pPr>
        <w:pStyle w:val="Heading1"/>
      </w:pPr>
      <w:r>
        <w:t>Conceptual Framework</w:t>
      </w:r>
    </w:p>
    <w:p>
      <w:pPr>
        <w:pStyle w:val="Heading2"/>
      </w:pPr>
      <w:r>
        <w:t>Internal Cognitive Agent</w:t>
      </w:r>
    </w:p>
    <w:p>
      <w:r>
        <w:t>An internal cognitive agent is defined as a structured cognitive submodule capable of generating semi-independent responses, participating in internal dialogue, and influencing decision processes.</w:t>
      </w:r>
    </w:p>
    <w:p>
      <w:pPr>
        <w:pStyle w:val="Heading2"/>
      </w:pPr>
      <w:r>
        <w:t>Non-Pathological Boundary</w:t>
      </w:r>
    </w:p>
    <w:p>
      <w:r>
        <w:t>Constructed agents are distinguished from pathological conditions by:</w:t>
      </w:r>
    </w:p>
    <w:p>
      <w:pPr>
        <w:pStyle w:val="ListBullet"/>
      </w:pPr>
      <w:r>
        <w:t>preserved meta-awareness</w:t>
      </w:r>
    </w:p>
    <w:p>
      <w:pPr>
        <w:pStyle w:val="ListBullet"/>
      </w:pPr>
      <w:r>
        <w:t>retained control over cognition</w:t>
      </w:r>
    </w:p>
    <w:p>
      <w:pPr>
        <w:pStyle w:val="ListBullet"/>
      </w:pPr>
      <w:r>
        <w:t>ability to intentionally dissolve the construct</w:t>
      </w:r>
    </w:p>
    <w:p>
      <w:pPr>
        <w:pStyle w:val="Heading1"/>
      </w:pPr>
      <w:r>
        <w:t>Methodology</w:t>
      </w:r>
    </w:p>
    <w:p>
      <w:r>
        <w:t>This study is a single-subject retrospective reconstruction based on:</w:t>
      </w:r>
    </w:p>
    <w:p>
      <w:pPr>
        <w:pStyle w:val="ListBullet"/>
      </w:pPr>
      <w:r>
        <w:t>memory-based analysis</w:t>
      </w:r>
    </w:p>
    <w:p>
      <w:pPr>
        <w:pStyle w:val="ListBullet"/>
      </w:pPr>
      <w:r>
        <w:t>cognitive pattern decomposition</w:t>
      </w:r>
    </w:p>
    <w:p>
      <w:pPr>
        <w:pStyle w:val="ListBullet"/>
      </w:pPr>
      <w:r>
        <w:t>functional reconstruction</w:t>
      </w:r>
    </w:p>
    <w:p>
      <w:r>
        <w:t>Limitations include subjectivity and lack of external measurement.</w:t>
      </w:r>
    </w:p>
    <w:p>
      <w:pPr>
        <w:pStyle w:val="Heading1"/>
      </w:pPr>
      <w:r>
        <w:t>Opposition?Load?Coupling Model</w:t>
      </w:r>
    </w:p>
    <w:p>
      <w:pPr>
        <w:pStyle w:val="Heading2"/>
      </w:pPr>
      <w:r>
        <w:t>Phase I: Construction via Self-Talk</w:t>
      </w:r>
    </w:p>
    <w:p>
      <w:r>
        <w:t>The agent emerges from repeated internal dialogue and reinforcement of a distinct perspective, forming a proto-agent.</w:t>
      </w:r>
    </w:p>
    <w:p>
      <w:pPr>
        <w:pStyle w:val="Heading2"/>
      </w:pPr>
      <w:r>
        <w:t>Phase II: Opposition Induction</w:t>
      </w:r>
    </w:p>
    <w:p>
      <w:r>
        <w:t>The proto-agent is positioned as an opposing system:</w:t>
      </w:r>
    </w:p>
    <w:p>
      <w:pPr>
        <w:pStyle w:val="ListBullet"/>
      </w:pPr>
      <w:r>
        <w:t>challenges assumptions</w:t>
      </w:r>
    </w:p>
    <w:p>
      <w:pPr>
        <w:pStyle w:val="ListBullet"/>
      </w:pPr>
      <w:r>
        <w:t>generates counterarguments</w:t>
      </w:r>
    </w:p>
    <w:p>
      <w:pPr>
        <w:pStyle w:val="ListBullet"/>
      </w:pPr>
      <w:r>
        <w:t>resists agreement</w:t>
      </w:r>
    </w:p>
    <w:p>
      <w:r>
        <w:t>This produces a dual-module structure:</w:t>
      </w:r>
    </w:p>
    <w:p>
      <w:pPr>
        <w:pStyle w:val="ListBullet"/>
      </w:pPr>
      <w:r>
        <w:t>primary module (self)</w:t>
      </w:r>
    </w:p>
    <w:p>
      <w:pPr>
        <w:pStyle w:val="ListBullet"/>
      </w:pPr>
      <w:r>
        <w:t>opposition module (agent)</w:t>
      </w:r>
    </w:p>
    <w:p>
      <w:pPr>
        <w:pStyle w:val="Heading2"/>
      </w:pPr>
      <w:r>
        <w:t>Phase III: Cognitive Load Amplification</w:t>
      </w:r>
    </w:p>
    <w:p>
      <w:r>
        <w:t>Cognitive load is increased through emotional intensity and sustained internal processing, resulting in reduced top-down control and increased reliance on subconscious processes.</w:t>
      </w:r>
    </w:p>
    <w:p>
      <w:pPr>
        <w:pStyle w:val="Heading2"/>
      </w:pPr>
      <w:r>
        <w:t>Phase IV: Subconscious Coupling</w:t>
      </w:r>
    </w:p>
    <w:p>
      <w:r>
        <w:t>The opposition module becomes coupled with associative and subconscious processing, increasing response variability.</w:t>
      </w:r>
    </w:p>
    <w:p>
      <w:pPr>
        <w:pStyle w:val="Heading2"/>
      </w:pPr>
      <w:r>
        <w:t>Phase V: Emergent Autonomy</w:t>
      </w:r>
    </w:p>
    <w:p>
      <w:r>
        <w:t>The agent exhibits:</w:t>
      </w:r>
    </w:p>
    <w:p>
      <w:pPr>
        <w:pStyle w:val="ListBullet"/>
      </w:pPr>
      <w:r>
        <w:t>semi-independent responses</w:t>
      </w:r>
    </w:p>
    <w:p>
      <w:pPr>
        <w:pStyle w:val="ListBullet"/>
      </w:pPr>
      <w:r>
        <w:t>reduced predictability</w:t>
      </w:r>
    </w:p>
    <w:p>
      <w:pPr>
        <w:pStyle w:val="ListBullet"/>
      </w:pPr>
      <w:r>
        <w:t>perceived autonomy</w:t>
      </w:r>
    </w:p>
    <w:p>
      <w:r>
        <w:t>[Figure Placeholder] Opposition?Load?Coupling (OLC) Model</w:t>
      </w:r>
    </w:p>
    <w:p>
      <w:pPr>
        <w:pStyle w:val="Heading1"/>
      </w:pPr>
      <w:r>
        <w:t>Shared Value Anchor Mechanism</w:t>
      </w:r>
    </w:p>
    <w:p>
      <w:r>
        <w:t>A shared value reference was identified between the primary and opposition modules. This shared anchor:</w:t>
      </w:r>
    </w:p>
    <w:p>
      <w:pPr>
        <w:pStyle w:val="ListBullet"/>
      </w:pPr>
      <w:r>
        <w:t>reduced conflict</w:t>
      </w:r>
    </w:p>
    <w:p>
      <w:pPr>
        <w:pStyle w:val="ListBullet"/>
      </w:pPr>
      <w:r>
        <w:t>enabled bounded cooperation</w:t>
      </w:r>
    </w:p>
    <w:p>
      <w:pPr>
        <w:pStyle w:val="ListBullet"/>
      </w:pPr>
      <w:r>
        <w:t>stabilized interaction dynamics</w:t>
      </w:r>
    </w:p>
    <w:p>
      <w:r>
        <w:t>This represents a synchronization mechanism between competing cognitive structures.</w:t>
      </w:r>
    </w:p>
    <w:p>
      <w:pPr>
        <w:pStyle w:val="Heading1"/>
      </w:pPr>
      <w:r>
        <w:t>Functional Roles</w:t>
      </w:r>
    </w:p>
    <w:p>
      <w:pPr>
        <w:pStyle w:val="Heading2"/>
      </w:pPr>
      <w:r>
        <w:t>Cognitive Simulation</w:t>
      </w:r>
    </w:p>
    <w:p>
      <w:r>
        <w:t>Internal debate and perspective generation.</w:t>
      </w:r>
    </w:p>
    <w:p>
      <w:pPr>
        <w:pStyle w:val="Heading2"/>
      </w:pPr>
      <w:r>
        <w:t>Emotional Regulation</w:t>
      </w:r>
    </w:p>
    <w:p>
      <w:r>
        <w:t>Mitigation of isolation and internal feedback.</w:t>
      </w:r>
    </w:p>
    <w:p>
      <w:pPr>
        <w:pStyle w:val="Heading2"/>
      </w:pPr>
      <w:r>
        <w:t>Decision Testing</w:t>
      </w:r>
    </w:p>
    <w:p>
      <w:r>
        <w:t>Evaluation of competing hypotheses.</w:t>
      </w:r>
    </w:p>
    <w:p>
      <w:pPr>
        <w:pStyle w:val="Heading1"/>
      </w:pPr>
      <w:r>
        <w:t>Instability and Risk</w:t>
      </w:r>
    </w:p>
    <w:p>
      <w:pPr>
        <w:pStyle w:val="Heading2"/>
      </w:pPr>
      <w:r>
        <w:t>Boundary Degradation</w:t>
      </w:r>
    </w:p>
    <w:p>
      <w:r>
        <w:t>Loss of separation between modules.</w:t>
      </w:r>
    </w:p>
    <w:p>
      <w:pPr>
        <w:pStyle w:val="Heading2"/>
      </w:pPr>
      <w:r>
        <w:t>Control Imbalance</w:t>
      </w:r>
    </w:p>
    <w:p>
      <w:r>
        <w:t>Dominance of bottom-up processes.</w:t>
      </w:r>
    </w:p>
    <w:p>
      <w:pPr>
        <w:pStyle w:val="Heading2"/>
      </w:pPr>
      <w:r>
        <w:t>Cognitive Interference</w:t>
      </w:r>
    </w:p>
    <w:p>
      <w:r>
        <w:t>Conflicting outputs and noise.</w:t>
      </w:r>
    </w:p>
    <w:p>
      <w:pPr>
        <w:pStyle w:val="Heading1"/>
      </w:pPr>
      <w:r>
        <w:t>Risk Amplification Pathways</w:t>
      </w:r>
    </w:p>
    <w:p>
      <w:pPr>
        <w:pStyle w:val="Heading2"/>
      </w:pPr>
      <w:r>
        <w:t>Cognitive Load</w:t>
      </w:r>
    </w:p>
    <w:p>
      <w:r>
        <w:t>High load reduces regulatory control.</w:t>
      </w:r>
    </w:p>
    <w:p>
      <w:pPr>
        <w:pStyle w:val="Heading2"/>
      </w:pPr>
      <w:r>
        <w:t>Pharmacological Factors</w:t>
      </w:r>
    </w:p>
    <w:p>
      <w:r>
        <w:t>Substances affecting perception may amplify internal signals and distort boundaries.</w:t>
      </w:r>
    </w:p>
    <w:p>
      <w:pPr>
        <w:pStyle w:val="Heading2"/>
      </w:pPr>
      <w:r>
        <w:t>Combined Effects</w:t>
      </w:r>
    </w:p>
    <w:p>
      <w:r>
        <w:t>Interaction of internal agents, load, and perceptual distortion may increase risk of psychosis-like states.</w:t>
      </w:r>
    </w:p>
    <w:p>
      <w:pPr>
        <w:pStyle w:val="Heading2"/>
      </w:pPr>
      <w:r>
        <w:t>Clinical Boundary</w:t>
      </w:r>
    </w:p>
    <w:p>
      <w:r>
        <w:t>These effects are distinct from clinical disorders and do not constitute a controlled induction method. This framework is not intended for replication under uncontrolled or unsafe conditions.</w:t>
      </w:r>
    </w:p>
    <w:p>
      <w:pPr>
        <w:pStyle w:val="Heading1"/>
      </w:pPr>
      <w:r>
        <w:t>Dissolution Process</w:t>
      </w:r>
    </w:p>
    <w:p>
      <w:r>
        <w:t>The agent was dismantled through:</w:t>
      </w:r>
    </w:p>
    <w:p>
      <w:pPr>
        <w:pStyle w:val="ListBullet"/>
      </w:pPr>
      <w:r>
        <w:t>withdrawal of reinforcement</w:t>
      </w:r>
    </w:p>
    <w:p>
      <w:pPr>
        <w:pStyle w:val="ListBullet"/>
      </w:pPr>
      <w:r>
        <w:t>reassertion of centralized control</w:t>
      </w:r>
    </w:p>
    <w:p>
      <w:pPr>
        <w:pStyle w:val="ListBullet"/>
      </w:pPr>
      <w:r>
        <w:t>reduction of engagement</w:t>
      </w:r>
    </w:p>
    <w:p>
      <w:pPr>
        <w:pStyle w:val="Heading1"/>
      </w:pPr>
      <w:r>
        <w:t>Post-Agent Cognition</w:t>
      </w:r>
    </w:p>
    <w:p>
      <w:r>
        <w:t>Transition to:</w:t>
      </w:r>
    </w:p>
    <w:p>
      <w:pPr>
        <w:pStyle w:val="ListBullet"/>
      </w:pPr>
      <w:r>
        <w:t>structured frameworks</w:t>
      </w:r>
    </w:p>
    <w:p>
      <w:pPr>
        <w:pStyle w:val="ListBullet"/>
      </w:pPr>
      <w:r>
        <w:t>externalized cognitive systems</w:t>
      </w:r>
    </w:p>
    <w:p>
      <w:pPr>
        <w:pStyle w:val="Heading1"/>
      </w:pPr>
      <w:r>
        <w:t>Implications</w:t>
      </w:r>
    </w:p>
    <w:p>
      <w:pPr>
        <w:pStyle w:val="Heading2"/>
      </w:pPr>
      <w:r>
        <w:t>Cognitive Engineering</w:t>
      </w:r>
    </w:p>
    <w:p>
      <w:r>
        <w:t>Internal agents as simulation tools.</w:t>
      </w:r>
    </w:p>
    <w:p>
      <w:pPr>
        <w:pStyle w:val="Heading2"/>
      </w:pPr>
      <w:r>
        <w:t>System Design</w:t>
      </w:r>
    </w:p>
    <w:p>
      <w:r>
        <w:t>Parallel to multi-agent systems and governance structures.</w:t>
      </w:r>
    </w:p>
    <w:p>
      <w:pPr>
        <w:pStyle w:val="Heading2"/>
      </w:pPr>
      <w:r>
        <w:t>Stability Principle</w:t>
      </w:r>
    </w:p>
    <w:p>
      <w:r>
        <w:t>Sustained cognition requires boundary integrity.</w:t>
      </w:r>
    </w:p>
    <w:p>
      <w:pPr>
        <w:pStyle w:val="Heading1"/>
      </w:pPr>
      <w:r>
        <w:t>Conclusion</w:t>
      </w:r>
    </w:p>
    <w:p>
      <w:r>
        <w:t>This study demonstrates:</w:t>
      </w:r>
    </w:p>
    <w:p>
      <w:pPr>
        <w:pStyle w:val="ListNumber"/>
      </w:pPr>
      <w:r>
        <w:t>intentional construction of internal agents is possible</w:t>
      </w:r>
    </w:p>
    <w:p>
      <w:pPr>
        <w:pStyle w:val="ListNumber"/>
      </w:pPr>
      <w:r>
        <w:t>OLC provides an amplification mechanism</w:t>
      </w:r>
    </w:p>
    <w:p>
      <w:pPr>
        <w:pStyle w:val="ListNumber"/>
      </w:pPr>
      <w:r>
        <w:t>benefits coexist with risks</w:t>
      </w:r>
    </w:p>
    <w:p>
      <w:pPr>
        <w:pStyle w:val="ListNumber"/>
      </w:pPr>
      <w:r>
        <w:t>dissolution is achievable</w:t>
      </w:r>
    </w:p>
    <w:p>
      <w:pPr>
        <w:pStyle w:val="ListNumber"/>
      </w:pPr>
      <w:r>
        <w:t>external systems provide more stability</w:t>
      </w:r>
    </w:p>
    <w:p>
      <w:pPr>
        <w:pStyle w:val="Heading1"/>
      </w:pPr>
      <w:r>
        <w:t>Future Work</w:t>
      </w:r>
    </w:p>
    <w:p>
      <w:pPr>
        <w:pStyle w:val="ListBullet"/>
      </w:pPr>
      <w:r>
        <w:t>multi-subject validation</w:t>
      </w:r>
    </w:p>
    <w:p>
      <w:pPr>
        <w:pStyle w:val="ListBullet"/>
      </w:pPr>
      <w:r>
        <w:t>experimental frameworks</w:t>
      </w:r>
    </w:p>
    <w:p>
      <w:pPr>
        <w:pStyle w:val="ListBullet"/>
      </w:pPr>
      <w:r>
        <w:t>integration with cognitive science and AI</w:t>
      </w:r>
    </w:p>
    <w:p>
      <w:pPr>
        <w:pStyle w:val="Heading1"/>
      </w:pPr>
      <w:r>
        <w:t>References</w:t>
      </w:r>
    </w:p>
    <w:p>
      <w:r>
        <w:t>Hermans, H. J. M. (2001). The Dialogical Self: Toward a Theory of Personal and Cultural Positioning. Culture &amp; Psychology, 7(3), 243-281.</w:t>
      </w:r>
    </w:p>
    <w:p>
      <w:r>
        <w:t>Kahneman, D. (2011). Thinking, Fast and Slow. Farrar, Straus and Giroux.</w:t>
      </w:r>
    </w:p>
    <w:p>
      <w:r>
        <w:t>Friston, K. (2010). The Free-Energy Principle: A Unified Brain Theory? Nature Reviews Neuroscience, 11(2), 127-138.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