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before="480"/>
        <w:jc w:val="center"/>
      </w:pPr>
      <w:r>
        <w:rPr>
          <w:rFonts w:ascii="Arial" w:cs="Arial" w:eastAsia="Arial" w:hAnsi="Arial"/>
          <w:b/>
          <w:bCs/>
          <w:color w:val="1F3864"/>
          <w:sz w:val="52"/>
          <w:szCs w:val="52"/>
        </w:rPr>
        <w:t xml:space="preserve">When Acceleration Exceeds Adaptation</w:t>
      </w:r>
    </w:p>
    <w:p>
      <w:pPr>
        <w:spacing w:after="80" w:before="80"/>
        <w:jc w:val="center"/>
      </w:pPr>
      <w:r>
        <w:rPr>
          <w:rFonts w:ascii="Arial" w:cs="Arial" w:eastAsia="Arial" w:hAnsi="Arial"/>
          <w:b/>
          <w:bCs/>
          <w:color w:val="2E5596"/>
          <w:sz w:val="32"/>
          <w:szCs w:val="32"/>
        </w:rPr>
        <w:t xml:space="preserve">When Acceleration Exceeds Adaptation</w:t>
      </w:r>
    </w:p>
    <w:p>
      <w:pPr>
        <w:spacing w:after="80" w:before="80"/>
        <w:jc w:val="center"/>
      </w:pPr>
      <w:r>
        <w:rPr>
          <w:rFonts w:ascii="Arial" w:cs="Arial" w:eastAsia="Arial" w:hAnsi="Arial"/>
          <w:color w:val="4A6FA5"/>
          <w:sz w:val="26"/>
          <w:szCs w:val="26"/>
        </w:rPr>
        <w:t xml:space="preserve">Acceleration-Capacity Gap Model (ACGM) v1.1</w:t>
      </w:r>
    </w:p>
    <w:p>
      <w:pPr>
        <w:spacing w:after="80" w:before="80"/>
        <w:jc w:val="center"/>
      </w:pPr>
      <w:r>
        <w:rPr>
          <w:rFonts w:ascii="Times New Roman" w:cs="Times New Roman" w:eastAsia="Times New Roman" w:hAnsi="Times New Roman"/>
          <w:i/>
          <w:iCs/>
          <w:color w:val="4A6FA5"/>
          <w:sz w:val="22"/>
          <w:szCs w:val="22"/>
        </w:rPr>
        <w:t xml:space="preserve">A Working Model for Systemic Stability in the AI Era</w:t>
      </w:r>
    </w:p>
    <w:p>
      <w:r>
        <w:t xml:space="preserve"/>
      </w:r>
    </w:p>
    <w:p>
      <w:pPr>
        <w:jc w:val="center"/>
      </w:pPr>
      <w:r>
        <w:rPr>
          <w:rFonts w:ascii="Arial" w:cs="Arial" w:eastAsia="Arial" w:hAnsi="Arial"/>
          <w:color w:val="2E5596"/>
          <w:sz w:val="22"/>
          <w:szCs w:val="22"/>
        </w:rPr>
        <w:t xml:space="preserve">QianJun Yu | System of Eternity Research Program</w:t>
      </w:r>
    </w:p>
    <w:p>
      <w:pPr>
        <w:spacing w:after="40" w:before="40"/>
        <w:jc w:val="center"/>
      </w:pPr>
      <w:r>
        <w:rPr>
          <w:rFonts w:ascii="Arial" w:cs="Arial" w:eastAsia="Arial" w:hAnsi="Arial"/>
          <w:color w:val="4A6FA5"/>
          <w:sz w:val="22"/>
          <w:szCs w:val="22"/>
        </w:rPr>
        <w:t xml:space="preserve">May 2026</w:t>
      </w:r>
    </w:p>
    <w:p>
      <w:pPr>
        <w:pBdr>
          <w:bottom w:val="single" w:color="2E5596" w:sz="6" w:space="1"/>
        </w:pBdr>
        <w:spacing w:after="120" w:before="120"/>
      </w:pPr>
      <w:r>
        <w:t xml:space="preserve"/>
      </w:r>
    </w:p>
    <w:p>
      <w:pPr>
        <w:pStyle w:val="Heading1"/>
        <w:spacing w:after="120" w:before="360"/>
      </w:pPr>
      <w:r>
        <w:rPr>
          <w:rFonts w:ascii="Arial" w:cs="Arial" w:eastAsia="Arial" w:hAnsi="Arial"/>
          <w:b/>
          <w:bCs/>
          <w:color w:val="1F3864"/>
          <w:sz w:val="36"/>
          <w:szCs w:val="36"/>
        </w:rPr>
        <w:t xml:space="preserve">Abstract</w:t>
      </w:r>
    </w:p>
    <w:p>
      <w:pPr>
        <w:spacing w:after="80" w:before="80"/>
      </w:pPr>
      <w:r>
        <w:rPr>
          <w:rFonts w:ascii="Times New Roman" w:cs="Times New Roman" w:eastAsia="Times New Roman" w:hAnsi="Times New Roman"/>
          <w:sz w:val="22"/>
          <w:szCs w:val="22"/>
        </w:rPr>
        <w:t xml:space="preserve">The Acceleration-Capacity Gap Model (ACGM) proposes that systemic instability arises not from isolated shocks, but from a persistent structural mismatch: when the rate of acceleration persistently exceeds institutional regulation capacity and social absorption capacity, systems enter tension, early instability, and eventually collapse.</w:t>
      </w:r>
    </w:p>
    <w:p>
      <w:r>
        <w:t xml:space="preserve"/>
      </w:r>
    </w:p>
    <w:p>
      <w:pPr>
        <w:spacing w:after="80" w:before="80"/>
      </w:pPr>
      <w:r>
        <w:rPr>
          <w:rFonts w:ascii="Times New Roman" w:cs="Times New Roman" w:eastAsia="Times New Roman" w:hAnsi="Times New Roman"/>
          <w:sz w:val="22"/>
          <w:szCs w:val="22"/>
        </w:rPr>
        <w:t xml:space="preserve">This document presents ACGM v1.0 — the first locked version — with three additions beyond the original working model: (1) operationalized parameter definitions with measurable proxies for A, R, and S; (2) a formal derivation of SOE structural necessity from ACGM failure conditions; and (3) integration with SOE Simulation Laws 1–12 establishing a bidirectional formal bridge between ACGM stress dynamics and measurable simulation variables.</w:t>
      </w:r>
    </w:p>
    <w:p>
      <w:r>
        <w:t xml:space="preserve"/>
      </w:r>
    </w:p>
    <w:p>
      <w:pPr>
        <w:spacing w:after="80" w:before="80"/>
      </w:pPr>
      <w:r>
        <w:rPr>
          <w:rFonts w:ascii="Times New Roman" w:cs="Times New Roman" w:eastAsia="Times New Roman" w:hAnsi="Times New Roman"/>
          <w:sz w:val="22"/>
          <w:szCs w:val="22"/>
        </w:rPr>
        <w:t xml:space="preserve">Core equation: Stress(t) = A(t) / (R(t) × 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20"/>
              <w:left w:type="dxa" w:w="200"/>
              <w:bottom w:type="dxa" w:w="120"/>
              <w:right w:type="dxa" w:w="200"/>
            </w:tcMar>
          </w:tcPr>
          <w:p>
            <w:r>
              <w:rPr>
                <w:rFonts w:ascii="Times New Roman" w:cs="Times New Roman" w:eastAsia="Times New Roman" w:hAnsi="Times New Roman"/>
                <w:i/>
                <w:iCs/>
                <w:sz w:val="21"/>
                <w:szCs w:val="21"/>
              </w:rPr>
              <w:t xml:space="preserve">This model is designed to be falsifiable. If a system demonstrates sustained high acceleration alongside weakened R and S without measurable instability, structural reorganization, or stress externalization, the model is challenged.</w:t>
            </w:r>
          </w:p>
        </w:tc>
      </w:tr>
    </w:tbl>
    <w:p>
      <w:r>
        <w:t xml:space="preserve"/>
      </w:r>
    </w:p>
    <w:p>
      <w:pPr>
        <w:pStyle w:val="Heading1"/>
        <w:spacing w:after="120" w:before="360"/>
      </w:pPr>
      <w:r>
        <w:rPr>
          <w:rFonts w:ascii="Arial" w:cs="Arial" w:eastAsia="Arial" w:hAnsi="Arial"/>
          <w:b/>
          <w:bCs/>
          <w:color w:val="1F3864"/>
          <w:sz w:val="36"/>
          <w:szCs w:val="36"/>
        </w:rPr>
        <w:t xml:space="preserve">I. The Real Risk Is Not Collapse — It Is Misalignment</w:t>
      </w:r>
    </w:p>
    <w:p>
      <w:pPr>
        <w:pStyle w:val="Heading2"/>
        <w:spacing w:after="100" w:before="280"/>
      </w:pPr>
      <w:r>
        <w:rPr>
          <w:rFonts w:ascii="Arial" w:cs="Arial" w:eastAsia="Arial" w:hAnsi="Arial"/>
          <w:b/>
          <w:bCs/>
          <w:color w:val="2E5596"/>
          <w:sz w:val="28"/>
          <w:szCs w:val="28"/>
        </w:rPr>
        <w:t xml:space="preserve">I. The Real Risk Is Not Collapse — It Is Misalignment</w:t>
      </w:r>
    </w:p>
    <w:p>
      <w:pPr>
        <w:spacing w:after="80" w:before="80"/>
      </w:pPr>
      <w:r>
        <w:rPr>
          <w:rFonts w:ascii="Times New Roman" w:cs="Times New Roman" w:eastAsia="Times New Roman" w:hAnsi="Times New Roman"/>
          <w:sz w:val="22"/>
          <w:szCs w:val="22"/>
        </w:rPr>
        <w:t xml:space="preserve">Most discussions of societal collapse focus on discrete events: wars, elections, financial crises. Complex systems rarely collapse from a single shock. They collapse because something more insidious occurs: the rate of change exceeds the system's capacity to adapt.</w:t>
      </w:r>
    </w:p>
    <w:p>
      <w:r>
        <w:t xml:space="preserve"/>
      </w:r>
    </w:p>
    <w:p>
      <w:pPr>
        <w:spacing w:after="80" w:before="80"/>
      </w:pPr>
      <w:r>
        <w:rPr>
          <w:rFonts w:ascii="Times New Roman" w:cs="Times New Roman" w:eastAsia="Times New Roman" w:hAnsi="Times New Roman"/>
          <w:sz w:val="22"/>
          <w:szCs w:val="22"/>
        </w:rPr>
        <w:t xml:space="preserve">In the AI era, this misalignment is no longer theoretical. It is a structural condition. Three forces currently operate on fundamentally different timescales: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Force</w:t>
            </w:r>
          </w:p>
        </w:tc>
        <w:tc>
          <w:tcPr>
            <w:tcW w:type="dxa" w:w="28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Timescale</w:t>
            </w:r>
          </w:p>
        </w:tc>
        <w:tc>
          <w:tcPr>
            <w:tcW w:type="dxa" w:w="28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Direction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Technology acceleration (AI, automation, scientific discovery)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Months to years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Compresses time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Capital expansion (data, compute, network effects)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Quarters to years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Compresses time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Institutional adaptation (policy, law, governance)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Years to decades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Resists compression</w:t>
            </w:r>
          </w:p>
        </w:tc>
      </w:tr>
    </w:tbl>
    <w:p>
      <w:r>
        <w:t xml:space="preserve"/>
      </w:r>
    </w:p>
    <w:p>
      <w:pPr>
        <w:spacing w:after="80" w:before="80"/>
      </w:pPr>
      <w:r>
        <w:rPr>
          <w:rFonts w:ascii="Times New Roman" w:cs="Times New Roman" w:eastAsia="Times New Roman" w:hAnsi="Times New Roman"/>
          <w:sz w:val="22"/>
          <w:szCs w:val="22"/>
        </w:rPr>
        <w:t xml:space="preserve">The first two forces compress time; the third resists compression. This produces a persistent imbalance: systems are pushed forward faster than they can reorganize.</w:t>
      </w:r>
    </w:p>
    <w:p>
      <w:r>
        <w:t xml:space="preserve"/>
      </w:r>
    </w:p>
    <w:p>
      <w:pPr>
        <w:pStyle w:val="Heading1"/>
        <w:spacing w:after="120" w:before="360"/>
      </w:pPr>
      <w:r>
        <w:rPr>
          <w:rFonts w:ascii="Arial" w:cs="Arial" w:eastAsia="Arial" w:hAnsi="Arial"/>
          <w:b/>
          <w:bCs/>
          <w:color w:val="1F3864"/>
          <w:sz w:val="36"/>
          <w:szCs w:val="36"/>
        </w:rPr>
        <w:t xml:space="preserve">II. The Core Stress Equation</w:t>
      </w:r>
    </w:p>
    <w:p>
      <w:pPr>
        <w:pStyle w:val="Heading2"/>
        <w:spacing w:after="100" w:before="280"/>
      </w:pPr>
      <w:r>
        <w:rPr>
          <w:rFonts w:ascii="Arial" w:cs="Arial" w:eastAsia="Arial" w:hAnsi="Arial"/>
          <w:b/>
          <w:bCs/>
          <w:color w:val="2E5596"/>
          <w:sz w:val="28"/>
          <w:szCs w:val="28"/>
        </w:rPr>
        <w:t xml:space="preserve">II. The Core Stress Equation</w:t>
      </w:r>
    </w:p>
    <w:p>
      <w:pPr>
        <w:spacing w:after="80" w:before="80"/>
      </w:pPr>
      <w:r>
        <w:rPr>
          <w:rFonts w:ascii="Times New Roman" w:cs="Times New Roman" w:eastAsia="Times New Roman" w:hAnsi="Times New Roman"/>
          <w:sz w:val="22"/>
          <w:szCs w:val="22"/>
        </w:rPr>
        <w:t xml:space="preserve">The fundamental ACGM relationship is:</w:t>
      </w:r>
    </w:p>
    <w:p>
      <w:r>
        <w:t xml:space="preserve"/>
      </w:r>
    </w:p>
    <w:p>
      <w:pPr>
        <w:spacing w:after="160" w:before="160"/>
        <w:jc w:val="center"/>
      </w:pPr>
      <w:r>
        <w:rPr>
          <w:rFonts w:ascii="Arial" w:cs="Arial" w:eastAsia="Arial" w:hAnsi="Arial"/>
          <w:b/>
          <w:bCs/>
          <w:color w:val="2E5596"/>
          <w:sz w:val="28"/>
          <w:szCs w:val="28"/>
        </w:rPr>
        <w:t xml:space="preserve">Stress(t) = A(t) / (R(t) × S(t))</w:t>
      </w:r>
    </w:p>
    <w:p>
      <w:pPr>
        <w:spacing w:after="80" w:before="80"/>
      </w:pPr>
      <w:r>
        <w:rPr>
          <w:rFonts w:ascii="Times New Roman" w:cs="Times New Roman" w:eastAsia="Times New Roman" w:hAnsi="Times New Roman"/>
          <w:sz w:val="22"/>
          <w:szCs w:val="22"/>
        </w:rPr>
        <w:t xml:space="preserve">This is a structural lens, not a precise physical equation. It captures the key dynamic: stability depends on whether a system can regulate and absorb change as quickly as change occurs.</w:t>
      </w:r>
    </w:p>
    <w:p>
      <w:r>
        <w:t xml:space="preserve"/>
      </w:r>
    </w:p>
    <w:p>
      <w:pPr>
        <w:spacing w:after="80" w:before="80"/>
      </w:pPr>
      <w:r>
        <w:rPr>
          <w:rFonts w:ascii="Times New Roman" w:cs="Times New Roman" w:eastAsia="Times New Roman" w:hAnsi="Times New Roman"/>
          <w:sz w:val="22"/>
          <w:szCs w:val="22"/>
        </w:rPr>
        <w:t xml:space="preserve">Critical co-evolution property: R and S are not independent. Social stability and governance capacity co-evolve and often degrade together. When S declines, R typically follows. System stress can therefore amplify superlinearly:
Important caveat: R and S do not always degrade together. Counterexample cases exist — notably authoritarian or state-managed systems (e.g., Singapore, China) where institutional governance capacity (R) remains high while social buffer (S) is artificially maintained rather than organically stable. In these cases, the co-evolution assumption breaks down: R may appear strong while S is structurally fragile beneath state support. The model treats co-degradation as the dominant pattern in liberal democratic systems under acceleration pressure, not as a universal law. Systems with decoupled R and S trajectories represent a distinct stress configuration requiring separate analysis.</w:t>
      </w:r>
    </w:p>
    <w:p>
      <w:r>
        <w:t xml:space="preserve"/>
      </w:r>
    </w:p>
    <w:p>
      <w:pPr>
        <w:spacing w:after="80" w:before="80"/>
        <w:jc w:val="center"/>
      </w:pPr>
      <w:r>
        <w:rPr>
          <w:rFonts w:ascii="Arial" w:cs="Arial" w:eastAsia="Arial" w:hAnsi="Arial"/>
          <w:color w:val="4A6FA5"/>
          <w:sz w:val="22"/>
          <w:szCs w:val="22"/>
        </w:rPr>
        <w:t xml:space="preserve">d(Stress)/dt = dA/dt / (R × S) − A × (R × dS/dt + S × dR/dt) / (R × S)²</w:t>
      </w:r>
    </w:p>
    <w:p>
      <w:r>
        <w:t xml:space="preserve"/>
      </w:r>
    </w:p>
    <w:p>
      <w:pPr>
        <w:spacing w:after="80" w:before="80"/>
      </w:pPr>
      <w:r>
        <w:rPr>
          <w:rFonts w:ascii="Times New Roman" w:cs="Times New Roman" w:eastAsia="Times New Roman" w:hAnsi="Times New Roman"/>
          <w:sz w:val="22"/>
          <w:szCs w:val="22"/>
        </w:rPr>
        <w:t xml:space="preserve">This means: when acceleration increases while both R and S decline simultaneously, stress grows faster than any single variable would suggest.</w:t>
      </w:r>
    </w:p>
    <w:p>
      <w:r>
        <w:t xml:space="preserve"/>
      </w:r>
    </w:p>
    <w:p>
      <w:pPr>
        <w:pStyle w:val="Heading1"/>
        <w:spacing w:after="120" w:before="360"/>
      </w:pPr>
      <w:r>
        <w:rPr>
          <w:rFonts w:ascii="Arial" w:cs="Arial" w:eastAsia="Arial" w:hAnsi="Arial"/>
          <w:b/>
          <w:bCs/>
          <w:color w:val="1F3864"/>
          <w:sz w:val="36"/>
          <w:szCs w:val="36"/>
        </w:rPr>
        <w:t xml:space="preserve">III. Parameter Operationalization</w:t>
      </w:r>
    </w:p>
    <w:p>
      <w:pPr>
        <w:pStyle w:val="Heading2"/>
        <w:spacing w:after="100" w:before="280"/>
      </w:pPr>
      <w:r>
        <w:rPr>
          <w:rFonts w:ascii="Arial" w:cs="Arial" w:eastAsia="Arial" w:hAnsi="Arial"/>
          <w:b/>
          <w:bCs/>
          <w:color w:val="2E5596"/>
          <w:sz w:val="28"/>
          <w:szCs w:val="28"/>
        </w:rPr>
        <w:t xml:space="preserve">III. Parameter Operationalization (NEW in v1.0)</w:t>
      </w:r>
    </w:p>
    <w:p>
      <w:pPr>
        <w:spacing w:after="80" w:before="80"/>
      </w:pPr>
      <w:r>
        <w:rPr>
          <w:rFonts w:ascii="Times New Roman" w:cs="Times New Roman" w:eastAsia="Times New Roman" w:hAnsi="Times New Roman"/>
          <w:sz w:val="22"/>
          <w:szCs w:val="22"/>
        </w:rPr>
        <w:t xml:space="preserve">The three ACGM variables require concrete measurable definitions to move beyond conceptual usage. The following operationalizations establish v1.0 as a working empirical model rather than a structural metaphor only.</w:t>
      </w:r>
    </w:p>
    <w:p>
      <w:r>
        <w:t xml:space="preserve"/>
      </w:r>
    </w:p>
    <w:p>
      <w:pPr>
        <w:pStyle w:val="Heading3"/>
        <w:spacing w:after="80" w:before="200"/>
      </w:pPr>
      <w:r>
        <w:rPr>
          <w:rFonts w:ascii="Arial" w:cs="Arial" w:eastAsia="Arial" w:hAnsi="Arial"/>
          <w:b/>
          <w:bCs/>
          <w:color w:val="4A6FA5"/>
          <w:sz w:val="24"/>
          <w:szCs w:val="24"/>
        </w:rPr>
        <w:t xml:space="preserve">3.1 A(t) — Acceleration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Dimension</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Measurable Proxy</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Direction of Stress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Technology deployment velocity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Rate of new AI model releases; automation adoption rate per sector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A as velocity increases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Capital scaling rate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Concentration ratio (top 5 firm market share); VC deployment velocity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A as concentration rises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Scientific discovery rate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Publication growth rate in high-impact venues; patent filing velocity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A as rate increases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Disruption index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Job displacement rate; sector obsolescence speed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A as displacement accelerates</w:t>
            </w:r>
          </w:p>
        </w:tc>
      </w:tr>
    </w:tbl>
    <w:p>
      <w:r>
        <w:t xml:space="preserve"/>
      </w:r>
    </w:p>
    <w:p>
      <w:pPr>
        <w:pStyle w:val="Heading3"/>
        <w:spacing w:after="80" w:before="200"/>
      </w:pPr>
      <w:r>
        <w:rPr>
          <w:rFonts w:ascii="Arial" w:cs="Arial" w:eastAsia="Arial" w:hAnsi="Arial"/>
          <w:b/>
          <w:bCs/>
          <w:color w:val="4A6FA5"/>
          <w:sz w:val="24"/>
          <w:szCs w:val="24"/>
        </w:rPr>
        <w:t xml:space="preserve">3.2 R(t) — Regulation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Dimension</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Measurable Proxy</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Direction of Stress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Institutional response time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Lag between emergence of new technology and regulatory framework passage (months)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Stress as lag increases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Policy coverage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of AI/tech domains with active regulatory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Stress as coverage decreases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Enforcement effectiveness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Compliance rate; penalty enforcement ratio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Stress as effectiveness declines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Institutional trust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Public trust in government institutions (survey-based, e.g., Edelman Trust Barometer)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Stress as trust declines</w:t>
            </w:r>
          </w:p>
        </w:tc>
      </w:tr>
    </w:tbl>
    <w:p>
      <w:r>
        <w:t xml:space="preserve"/>
      </w:r>
    </w:p>
    <w:p>
      <w:pPr>
        <w:pStyle w:val="Heading3"/>
        <w:spacing w:after="80" w:before="200"/>
      </w:pPr>
      <w:r>
        <w:rPr>
          <w:rFonts w:ascii="Arial" w:cs="Arial" w:eastAsia="Arial" w:hAnsi="Arial"/>
          <w:b/>
          <w:bCs/>
          <w:color w:val="4A6FA5"/>
          <w:sz w:val="24"/>
          <w:szCs w:val="24"/>
        </w:rPr>
        <w:t xml:space="preserve">3.3 S(t) — Social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Dimension</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Measurable Proxy</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Direction of Stress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Middle-class stability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Middle-income share of total income; real wage growth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Stress as stability declines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Social mobility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Intergenerational income mobility index (e.g., Chetty mobility scores)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Stress as mobility declines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Social cohesion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Polarization index; social trust survey scores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Stress as cohesion declines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Absorption capacity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Unemployment absorption rate; retraining program coverage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 Stress as capacity declines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20"/>
              <w:left w:type="dxa" w:w="200"/>
              <w:bottom w:type="dxa" w:w="120"/>
              <w:right w:type="dxa" w:w="200"/>
            </w:tcMar>
          </w:tcPr>
          <w:p>
            <w:r>
              <w:rPr>
                <w:rFonts w:ascii="Times New Roman" w:cs="Times New Roman" w:eastAsia="Times New Roman" w:hAnsi="Times New Roman"/>
                <w:i/>
                <w:iCs/>
                <w:sz w:val="21"/>
                <w:szCs w:val="21"/>
              </w:rPr>
              <w:t xml:space="preserve">Operationalization note: These proxies are proposed starting points, not locked empirical measurements. The model's validity depends on whether patterns predicted by Stress(t) = A / (R × S) are observable when these proxies are applied to historical data. This is an open empirical question flagged for future validation work.</w:t>
            </w:r>
          </w:p>
        </w:tc>
      </w:tr>
    </w:tbl>
    <w:p>
      <w:r>
        <w:t xml:space="preserve"/>
      </w:r>
    </w:p>
    <w:p>
      <w:pPr>
        <w:pStyle w:val="Heading1"/>
        <w:spacing w:after="120" w:before="360"/>
      </w:pPr>
      <w:r>
        <w:rPr>
          <w:rFonts w:ascii="Arial" w:cs="Arial" w:eastAsia="Arial" w:hAnsi="Arial"/>
          <w:b/>
          <w:bCs/>
          <w:color w:val="1F3864"/>
          <w:sz w:val="36"/>
          <w:szCs w:val="36"/>
        </w:rPr>
        <w:t xml:space="preserve">IV. Stability Regimes</w:t>
      </w:r>
    </w:p>
    <w:p>
      <w:pPr>
        <w:pStyle w:val="Heading2"/>
        <w:spacing w:after="100" w:before="280"/>
      </w:pPr>
      <w:r>
        <w:rPr>
          <w:rFonts w:ascii="Arial" w:cs="Arial" w:eastAsia="Arial" w:hAnsi="Arial"/>
          <w:b/>
          <w:bCs/>
          <w:color w:val="2E5596"/>
          <w:sz w:val="28"/>
          <w:szCs w:val="28"/>
        </w:rPr>
        <w:t xml:space="preserve">IV. Stability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Regime</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Condition</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System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Stress(t) &lt; S_threshold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System adapts; institutions function; oscillations damped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Tension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S_threshold &lt; Stress(t) &lt; S_critical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Localized breakdowns; aggregate stability masks fractures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Early Instability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Stress(t) approaching S_critical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Cascading failures possible; feedback loops activate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Collapse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Stress(t) &gt; S_critical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Institutional failure; systemic cascade; irreversible without intervention</w:t>
            </w:r>
          </w:p>
        </w:tc>
      </w:tr>
    </w:tbl>
    <w:p>
      <w:r>
        <w:t xml:space="preserve"/>
      </w:r>
    </w:p>
    <w:p>
      <w:pPr>
        <w:pStyle w:val="Heading1"/>
        <w:spacing w:after="120" w:before="360"/>
      </w:pPr>
      <w:r>
        <w:rPr>
          <w:rFonts w:ascii="Arial" w:cs="Arial" w:eastAsia="Arial" w:hAnsi="Arial"/>
          <w:b/>
          <w:bCs/>
          <w:color w:val="1F3864"/>
          <w:sz w:val="36"/>
          <w:szCs w:val="36"/>
        </w:rPr>
        <w:t xml:space="preserve">V. SOE Structural Necessity Derivation</w:t>
      </w:r>
    </w:p>
    <w:p>
      <w:pPr>
        <w:pStyle w:val="Heading2"/>
        <w:spacing w:after="100" w:before="280"/>
      </w:pPr>
      <w:r>
        <w:rPr>
          <w:rFonts w:ascii="Arial" w:cs="Arial" w:eastAsia="Arial" w:hAnsi="Arial"/>
          <w:b/>
          <w:bCs/>
          <w:color w:val="2E5596"/>
          <w:sz w:val="28"/>
          <w:szCs w:val="28"/>
        </w:rPr>
        <w:t xml:space="preserve">V. SOE Structural Necessity Derivation (NEW in v1.0)</w:t>
      </w:r>
    </w:p>
    <w:p>
      <w:pPr>
        <w:spacing w:after="80" w:before="80"/>
      </w:pPr>
      <w:r>
        <w:rPr>
          <w:rFonts w:ascii="Times New Roman" w:cs="Times New Roman" w:eastAsia="Times New Roman" w:hAnsi="Times New Roman"/>
          <w:sz w:val="22"/>
          <w:szCs w:val="22"/>
        </w:rPr>
        <w:t xml:space="preserve">The ACGM stress equation reveals a specific structural problem: the failure modes it identifies are not random or contingent. They are structurally inescapable without explicit corrective mechanisms. This section derives why a governance architecture like the System of Eternity (SOE) follows necessarily from ACGM failure conditions.</w:t>
      </w:r>
    </w:p>
    <w:p>
      <w:r>
        <w:t xml:space="preserve"/>
      </w:r>
    </w:p>
    <w:p>
      <w:pPr>
        <w:pStyle w:val="Heading3"/>
        <w:spacing w:after="80" w:before="200"/>
      </w:pPr>
      <w:r>
        <w:rPr>
          <w:rFonts w:ascii="Arial" w:cs="Arial" w:eastAsia="Arial" w:hAnsi="Arial"/>
          <w:b/>
          <w:bCs/>
          <w:color w:val="4A6FA5"/>
          <w:sz w:val="24"/>
          <w:szCs w:val="24"/>
        </w:rPr>
        <w:t xml:space="preserve">5.1 The Five Structural Failure Modes</w:t>
      </w:r>
    </w:p>
    <w:p>
      <w:pPr>
        <w:spacing w:after="80" w:before="80"/>
      </w:pPr>
      <w:r>
        <w:rPr>
          <w:rFonts w:ascii="Times New Roman" w:cs="Times New Roman" w:eastAsia="Times New Roman" w:hAnsi="Times New Roman"/>
          <w:sz w:val="22"/>
          <w:szCs w:val="22"/>
        </w:rPr>
        <w:t xml:space="preserve">ACGM analysis identifies five canonical pathways through which systems exit the stability regime (formalized in SOE Failure Layer v1.1):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Failure Mode</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Primary Mechanism</w:t>
            </w:r>
          </w:p>
        </w:tc>
        <w:tc>
          <w:tcPr>
            <w:tcW w:type="dxa" w:w="3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ACGM Variable Implicated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 Acceleration-Capacity 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A(t) × L(t) &gt; ΔE_max — institutional lag multiplied by acceleration exceeds maximum tolerable state error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A(t) dominant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II. Institutional Lock-in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dR/dt &lt; 0 while A(t) increases — governance capacity declines as demands increase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R(t) degradation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III. Value Collapse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S_values(t) → 0 — shared normative framework dissolves, removing social coordination substrate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S(t) degradation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IV. Cognitive Distortion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E[perceived_state] diverges from actual_state — systemic misperception prevents corrective response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R(t) and S(t) both impaired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V. Complexity Overload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System complexity exceeds management capacity — decision latency increases beyond functional threshold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A(t) and R(t) interaction</w:t>
            </w:r>
          </w:p>
        </w:tc>
      </w:tr>
    </w:tbl>
    <w:p>
      <w:r>
        <w:t xml:space="preserve"/>
      </w:r>
    </w:p>
    <w:p>
      <w:pPr>
        <w:pStyle w:val="Heading3"/>
        <w:spacing w:after="80" w:before="200"/>
      </w:pPr>
      <w:r>
        <w:rPr>
          <w:rFonts w:ascii="Arial" w:cs="Arial" w:eastAsia="Arial" w:hAnsi="Arial"/>
          <w:b/>
          <w:bCs/>
          <w:color w:val="4A6FA5"/>
          <w:sz w:val="24"/>
          <w:szCs w:val="24"/>
        </w:rPr>
        <w:t xml:space="preserve">5.2 Why Standard Governance Cannot Solve This</w:t>
      </w:r>
    </w:p>
    <w:p>
      <w:pPr>
        <w:spacing w:after="80" w:before="80"/>
      </w:pPr>
      <w:r>
        <w:rPr>
          <w:rFonts w:ascii="Times New Roman" w:cs="Times New Roman" w:eastAsia="Times New Roman" w:hAnsi="Times New Roman"/>
          <w:sz w:val="22"/>
          <w:szCs w:val="22"/>
        </w:rPr>
        <w:t xml:space="preserve">Standard governance operates within the same timescale constraints that produce Failure Modes I and V. It cannot self-correct under Failure Mode II (lock-in) because the corrective mechanism is itself subject to lock-in. It cannot detect Failure Mode IV (cognitive distortion) because the distortion affects the detection apparatus.</w:t>
      </w:r>
    </w:p>
    <w:p>
      <w:r>
        <w:t xml:space="preserve"/>
      </w:r>
    </w:p>
    <w:p>
      <w:pPr>
        <w:spacing w:after="80" w:before="80"/>
      </w:pPr>
      <w:r>
        <w:rPr>
          <w:rFonts w:ascii="Times New Roman" w:cs="Times New Roman" w:eastAsia="Times New Roman" w:hAnsi="Times New Roman"/>
          <w:sz w:val="22"/>
          <w:szCs w:val="22"/>
        </w:rPr>
        <w:t xml:space="preserve">This produces a verification paradox: the system most likely to need correction is also the system least able to recognize it needs correction. No single-layer governance architecture resolves this paradox.</w:t>
      </w:r>
    </w:p>
    <w:p>
      <w:r>
        <w:t xml:space="preserve"/>
      </w:r>
    </w:p>
    <w:p>
      <w:pPr>
        <w:pStyle w:val="Heading3"/>
        <w:spacing w:after="80" w:before="200"/>
      </w:pPr>
      <w:r>
        <w:rPr>
          <w:rFonts w:ascii="Arial" w:cs="Arial" w:eastAsia="Arial" w:hAnsi="Arial"/>
          <w:b/>
          <w:bCs/>
          <w:color w:val="4A6FA5"/>
          <w:sz w:val="24"/>
          <w:szCs w:val="24"/>
        </w:rPr>
        <w:t xml:space="preserve">5.3 SOE as Structural Necessity</w:t>
      </w:r>
    </w:p>
    <w:p>
      <w:pPr>
        <w:spacing w:after="80" w:before="80"/>
      </w:pPr>
      <w:r>
        <w:rPr>
          <w:rFonts w:ascii="Times New Roman" w:cs="Times New Roman" w:eastAsia="Times New Roman" w:hAnsi="Times New Roman"/>
          <w:sz w:val="22"/>
          <w:szCs w:val="22"/>
        </w:rPr>
        <w:t xml:space="preserve">SOE is not proposed as the only possible response to ACGM failure conditions — it is proposed as a candidate architecture designed to address all five failure modes simultaneously without itself becoming subject to those same failure modes. Alternative responses exist (strengthened democratic institutions, polycentric governance, decentralized coordination mechanisms), but their comparative adequacy against the full five-mode failure surface remains an open question. Key requirements derived from ACGM that any adequate architecture must satisfy: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ACGM Requirement</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SOE Component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Must operate faster than institutional lag L(t)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Asynchronous T(t) updates; Recovery Engine (C02)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Must remain functional when R degrades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Meta Governance Layer (C07) with four trigger types including structural self-activation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Must detect distortion without relying on distorted perception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Trust Integrity Layer (C01); external disturbance verification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Must not itself become locked-in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Non-Terminal Meta Rule; Rollback mechanism; Falsifiability requirement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Must handle complexity overload without collapsing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Disturbance Buffer (C03); Stability Lock Mechanism (C04)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20"/>
              <w:left w:type="dxa" w:w="200"/>
              <w:bottom w:type="dxa" w:w="120"/>
              <w:right w:type="dxa" w:w="200"/>
            </w:tcMar>
          </w:tcPr>
          <w:p>
            <w:r>
              <w:rPr>
                <w:rFonts w:ascii="Times New Roman" w:cs="Times New Roman" w:eastAsia="Times New Roman" w:hAnsi="Times New Roman"/>
                <w:i/>
                <w:iCs/>
                <w:sz w:val="21"/>
                <w:szCs w:val="21"/>
              </w:rPr>
              <w:t xml:space="preserve">SOE necessity claim: Any governance architecture that fails to address all five ACGM failure modes simultaneously will eventually succumb to at least one of them. SOE is designed as a candidate architecture that covers the full failure surface ACGM defines. Whether it is the minimum viable response, or whether simpler alternatives can achieve equivalent coverage, is an open empirical and design question flagged for comparative evaluation in future work.</w:t>
            </w:r>
          </w:p>
        </w:tc>
      </w:tr>
    </w:tbl>
    <w:p>
      <w:r>
        <w:t xml:space="preserve"/>
      </w:r>
    </w:p>
    <w:p>
      <w:pPr>
        <w:pStyle w:val="Heading1"/>
        <w:spacing w:after="120" w:before="360"/>
      </w:pPr>
      <w:r>
        <w:rPr>
          <w:rFonts w:ascii="Arial" w:cs="Arial" w:eastAsia="Arial" w:hAnsi="Arial"/>
          <w:b/>
          <w:bCs/>
          <w:color w:val="1F3864"/>
          <w:sz w:val="36"/>
          <w:szCs w:val="36"/>
        </w:rPr>
        <w:t xml:space="preserve">VI. Integration with SOE Simulation Laws</w:t>
      </w:r>
    </w:p>
    <w:p>
      <w:pPr>
        <w:pStyle w:val="Heading2"/>
        <w:spacing w:after="100" w:before="280"/>
      </w:pPr>
      <w:r>
        <w:rPr>
          <w:rFonts w:ascii="Arial" w:cs="Arial" w:eastAsia="Arial" w:hAnsi="Arial"/>
          <w:b/>
          <w:bCs/>
          <w:color w:val="2E5596"/>
          <w:sz w:val="28"/>
          <w:szCs w:val="28"/>
        </w:rPr>
        <w:t xml:space="preserve">VI. Integration with SOE Simulation Laws</w:t>
      </w:r>
    </w:p>
    <w:p>
      <w:pPr>
        <w:spacing w:after="80" w:before="80"/>
      </w:pPr>
      <w:r>
        <w:rPr>
          <w:rFonts w:ascii="Times New Roman" w:cs="Times New Roman" w:eastAsia="Times New Roman" w:hAnsi="Times New Roman"/>
          <w:sz w:val="22"/>
          <w:szCs w:val="22"/>
        </w:rPr>
        <w:t xml:space="preserve">The ACGM variables map directly onto SOE Simulation variables established in simulation logs v12 (Integrated), creating a bidirectional formal bridge: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ACGM Variable</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SOE Simulation Variable</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SOE Law Reference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A(t) — Acceleration Pressure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D(t) — Disturbance Level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Law 3: Disturbance is the dominant limiting variable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R(t) — Regulation Capacity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T(t) — Trust Level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Law 1: Trust-recovery loop is load-bearing 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S(t) — Social Buffer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W(t) — Structural Weight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Law 8: Structural weight threshold ≥ 0.85–0.90 required for stability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Stress(t)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1 − Stability(t)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Law 12: Stability envelope defines system survival conditions</w:t>
            </w:r>
          </w:p>
        </w:tc>
      </w:tr>
    </w:tbl>
    <w:p>
      <w:r>
        <w:t xml:space="preserve"/>
      </w:r>
    </w:p>
    <w:p>
      <w:pPr>
        <w:spacing w:after="80" w:before="80"/>
      </w:pPr>
      <w:r>
        <w:rPr>
          <w:rFonts w:ascii="Times New Roman" w:cs="Times New Roman" w:eastAsia="Times New Roman" w:hAnsi="Times New Roman"/>
          <w:sz w:val="22"/>
          <w:szCs w:val="22"/>
        </w:rPr>
        <w:t xml:space="preserve">This integration allows ACGM stress to be operationalized within SOE simulation parameters. v18 simulation results (360 runs, expanded scope) will provide the first empirical test of whether ACGM stress predictions align with simulated stability outcomes.</w:t>
      </w:r>
    </w:p>
    <w:p>
      <w:r>
        <w:t xml:space="preserve"/>
      </w:r>
    </w:p>
    <w:p>
      <w:pPr>
        <w:pStyle w:val="Heading1"/>
        <w:spacing w:after="120" w:before="360"/>
      </w:pPr>
      <w:r>
        <w:rPr>
          <w:rFonts w:ascii="Arial" w:cs="Arial" w:eastAsia="Arial" w:hAnsi="Arial"/>
          <w:b/>
          <w:bCs/>
          <w:color w:val="1F3864"/>
          <w:sz w:val="36"/>
          <w:szCs w:val="36"/>
        </w:rPr>
        <w:t xml:space="preserve">VII. Empirical Calibration (Approximate)</w:t>
      </w:r>
    </w:p>
    <w:p>
      <w:pPr>
        <w:pStyle w:val="Heading2"/>
        <w:spacing w:after="100" w:before="280"/>
      </w:pPr>
      <w:r>
        <w:rPr>
          <w:rFonts w:ascii="Arial" w:cs="Arial" w:eastAsia="Arial" w:hAnsi="Arial"/>
          <w:b/>
          <w:bCs/>
          <w:color w:val="2E5596"/>
          <w:sz w:val="28"/>
          <w:szCs w:val="28"/>
        </w:rPr>
        <w:t xml:space="preserve">VII. Empirical Calibration (Approximate)</w:t>
      </w:r>
    </w:p>
    <w:p>
      <w:pPr>
        <w:spacing w:after="80" w:before="80"/>
      </w:pPr>
      <w:r>
        <w:rPr>
          <w:rFonts w:ascii="Times New Roman" w:cs="Times New Roman" w:eastAsia="Times New Roman" w:hAnsi="Times New Roman"/>
          <w:sz w:val="22"/>
          <w:szCs w:val="22"/>
        </w:rPr>
        <w:t xml:space="preserve">Using U.S. current conditions as a qualitative reference case: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Variable</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Status</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Explanation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A(t) — Acceleration Pressure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Rapid AI deployment; capital concentration; global competition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R(t) — Regulation Capacity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Institutions functional but slowed by polarization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S(t) — Social Buffer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Medium-Low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Middle class under pressure; cost of living increase; uneven mobility</w:t>
            </w:r>
          </w:p>
        </w:tc>
      </w:tr>
    </w:tbl>
    <w:p>
      <w:r>
        <w:t xml:space="preserve"/>
      </w:r>
    </w:p>
    <w:p>
      <w:pPr>
        <w:spacing w:after="80" w:before="80"/>
      </w:pPr>
      <w:r>
        <w:rPr>
          <w:rFonts w:ascii="Times New Roman" w:cs="Times New Roman" w:eastAsia="Times New Roman" w:hAnsi="Times New Roman"/>
          <w:sz w:val="22"/>
          <w:szCs w:val="22"/>
        </w:rPr>
        <w:t xml:space="preserve">Positioning: Tension Zone → Early Instability Zone. Not collapse, but structurally stressed. Aggregate stability may mask localized failures that could compound into systemic instability. Threshold calibration note: S_threshold and S_critical are not assigned fixed numerical values in v1.0. They are system-dependent and require empirical calibration per context (e.g., different values apply to democratic vs. authoritarian systems, or industrialized vs. developing economies). The v18 simulation results are expected to provide the first quantitative anchors for these thresholds within the SOE simulation parameter space.</w:t>
      </w:r>
    </w:p>
    <w:p>
      <w:r>
        <w:t xml:space="preserve"/>
      </w:r>
    </w:p>
    <w:p>
      <w:pPr>
        <w:pStyle w:val="Heading1"/>
        <w:spacing w:after="120" w:before="360"/>
      </w:pPr>
      <w:r>
        <w:rPr>
          <w:rFonts w:ascii="Arial" w:cs="Arial" w:eastAsia="Arial" w:hAnsi="Arial"/>
          <w:b/>
          <w:bCs/>
          <w:color w:val="1F3864"/>
          <w:sz w:val="36"/>
          <w:szCs w:val="36"/>
        </w:rPr>
        <w:t xml:space="preserve">VIII. Hidden Risk: Entry Barrier Collapse</w:t>
      </w:r>
    </w:p>
    <w:p>
      <w:pPr>
        <w:pStyle w:val="Heading2"/>
        <w:spacing w:after="100" w:before="280"/>
      </w:pPr>
      <w:r>
        <w:rPr>
          <w:rFonts w:ascii="Arial" w:cs="Arial" w:eastAsia="Arial" w:hAnsi="Arial"/>
          <w:b/>
          <w:bCs/>
          <w:color w:val="2E5596"/>
          <w:sz w:val="28"/>
          <w:szCs w:val="28"/>
        </w:rPr>
        <w:t xml:space="preserve">VIII. Hidden Risk: Entry Barrier Collapse</w:t>
      </w:r>
    </w:p>
    <w:p>
      <w:pPr>
        <w:spacing w:after="80" w:before="80"/>
      </w:pPr>
      <w:r>
        <w:rPr>
          <w:rFonts w:ascii="Times New Roman" w:cs="Times New Roman" w:eastAsia="Times New Roman" w:hAnsi="Times New Roman"/>
          <w:sz w:val="22"/>
          <w:szCs w:val="22"/>
        </w:rPr>
        <w:t xml:space="preserve">The most significant long-term risk is not unemployment alone — it is the disappearance of entry pathways. When junior technical roles decline, education costs rise, and complexity increases without accessible abstraction tools, upward mobility narrows. When mobility contracts, instability becomes self-reinforcing: declining S(t) feeds declining R(t), which feeds rising Stress(t).</w:t>
      </w:r>
    </w:p>
    <w:p>
      <w:r>
        <w:t xml:space="preserve"/>
      </w:r>
    </w:p>
    <w:p>
      <w:pPr>
        <w:spacing w:after="80" w:before="80"/>
      </w:pPr>
      <w:r>
        <w:rPr>
          <w:rFonts w:ascii="Times New Roman" w:cs="Times New Roman" w:eastAsia="Times New Roman" w:hAnsi="Times New Roman"/>
          <w:sz w:val="22"/>
          <w:szCs w:val="22"/>
        </w:rPr>
        <w:t xml:space="preserve">This is the core non-linear risk the model captures: not a linear decline, but a multiplicative collapse where S and R degrade together faster than A alone would predict. Formally, Entry Barrier Collapse is treated as a sub-component of S(t) rather than a standalone failure mode: S(t) = f(middle-class stability, social mobility, cohesion, absorption capacity), where the mobility dimension specifically captures entry pathway availability. When mobility collapses, S(t) declines, triggering the Stress(t) amplification already defined in the core equation. No separate failure mode designation is required — the mechanism is already embedded in S(t) dynamics.</w:t>
      </w:r>
    </w:p>
    <w:p>
      <w:r>
        <w:t xml:space="preserve"/>
      </w:r>
    </w:p>
    <w:p>
      <w:pPr>
        <w:pStyle w:val="Heading1"/>
        <w:spacing w:after="120" w:before="360"/>
      </w:pPr>
      <w:r>
        <w:rPr>
          <w:rFonts w:ascii="Arial" w:cs="Arial" w:eastAsia="Arial" w:hAnsi="Arial"/>
          <w:b/>
          <w:bCs/>
          <w:color w:val="1F3864"/>
          <w:sz w:val="36"/>
          <w:szCs w:val="36"/>
        </w:rPr>
        <w:t xml:space="preserve">IX. Policy Implications</w:t>
      </w:r>
    </w:p>
    <w:p>
      <w:pPr>
        <w:pStyle w:val="Heading2"/>
        <w:spacing w:after="100" w:before="280"/>
      </w:pPr>
      <w:r>
        <w:rPr>
          <w:rFonts w:ascii="Arial" w:cs="Arial" w:eastAsia="Arial" w:hAnsi="Arial"/>
          <w:b/>
          <w:bCs/>
          <w:color w:val="2E5596"/>
          <w:sz w:val="28"/>
          <w:szCs w:val="28"/>
        </w:rPr>
        <w:t xml:space="preserve">IX. Policy Implications</w:t>
      </w:r>
    </w:p>
    <w:p>
      <w:pPr>
        <w:spacing w:after="80" w:before="80"/>
      </w:pPr>
      <w:r>
        <w:rPr>
          <w:rFonts w:ascii="Times New Roman" w:cs="Times New Roman" w:eastAsia="Times New Roman" w:hAnsi="Times New Roman"/>
          <w:sz w:val="22"/>
          <w:szCs w:val="22"/>
        </w:rPr>
        <w:t xml:space="preserve">This model reframes the core policy question. The question is not whether to slow technological progress — it is whether adaptation capacity can be increased at a rate comparable to acceleration. This requires: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Policy Direction</w:t>
            </w:r>
          </w:p>
        </w:tc>
        <w:tc>
          <w:tcPr>
            <w:tcW w:type="dxa" w:w="3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ACGM Variable Targeted</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Faster institutional response cycles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R(t) — reduce institutional lag L(t)</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Accessible skill formation pathways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S(t) — maintain mobility and absorption capacity</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Competitive ecosystem maintenance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A(t) — prevent monopolistic acceleration capture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Social stability layer reinforcement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S(t) — direct buffer strengthening</w:t>
            </w:r>
          </w:p>
        </w:tc>
      </w:tr>
    </w:tbl>
    <w:p>
      <w:r>
        <w:t xml:space="preserve"/>
      </w:r>
    </w:p>
    <w:p>
      <w:pPr>
        <w:pStyle w:val="Heading1"/>
        <w:spacing w:after="120" w:before="360"/>
      </w:pPr>
      <w:r>
        <w:rPr>
          <w:rFonts w:ascii="Arial" w:cs="Arial" w:eastAsia="Arial" w:hAnsi="Arial"/>
          <w:b/>
          <w:bCs/>
          <w:color w:val="1F3864"/>
          <w:sz w:val="36"/>
          <w:szCs w:val="36"/>
        </w:rPr>
        <w:t xml:space="preserve">X. Falsifiability Statement</w:t>
      </w:r>
    </w:p>
    <w:p>
      <w:pPr>
        <w:pStyle w:val="Heading2"/>
        <w:spacing w:after="100" w:before="280"/>
      </w:pPr>
      <w:r>
        <w:rPr>
          <w:rFonts w:ascii="Arial" w:cs="Arial" w:eastAsia="Arial" w:hAnsi="Arial"/>
          <w:b/>
          <w:bCs/>
          <w:color w:val="2E5596"/>
          <w:sz w:val="28"/>
          <w:szCs w:val="28"/>
        </w:rPr>
        <w:t xml:space="preserve">X. Falsifiability Statement</w:t>
      </w:r>
    </w:p>
    <w:p>
      <w:pPr>
        <w:spacing w:after="80" w:before="80"/>
      </w:pPr>
      <w:r>
        <w:rPr>
          <w:rFonts w:ascii="Times New Roman" w:cs="Times New Roman" w:eastAsia="Times New Roman" w:hAnsi="Times New Roman"/>
          <w:sz w:val="22"/>
          <w:szCs w:val="22"/>
        </w:rPr>
        <w:t xml:space="preserve">This model is designed to be falsifiable. Specifically, the model is challenged if:</w:t>
      </w:r>
    </w:p>
    <w:p>
      <w:r>
        <w:t xml:space="preserve"/>
      </w:r>
    </w:p>
    <w:p>
      <w:pPr>
        <w:spacing w:after="80" w:before="80"/>
      </w:pPr>
      <w:r>
        <w:rPr>
          <w:rFonts w:ascii="Times New Roman" w:cs="Times New Roman" w:eastAsia="Times New Roman" w:hAnsi="Times New Roman"/>
          <w:sz w:val="22"/>
          <w:szCs w:val="22"/>
        </w:rPr>
        <w:t xml:space="preserve">(1) A system demonstrates sustained high A(t) with weakened R(t) and S(t) simultaneously, yet shows no measurable instability, structural reorganization, or stress externalization over a multi-year period.</w:t>
      </w:r>
    </w:p>
    <w:p>
      <w:r>
        <w:t xml:space="preserve"/>
      </w:r>
    </w:p>
    <w:p>
      <w:pPr>
        <w:spacing w:after="80" w:before="80"/>
      </w:pPr>
      <w:r>
        <w:rPr>
          <w:rFonts w:ascii="Times New Roman" w:cs="Times New Roman" w:eastAsia="Times New Roman" w:hAnsi="Times New Roman"/>
          <w:sz w:val="22"/>
          <w:szCs w:val="22"/>
        </w:rPr>
        <w:t xml:space="preserve">(2) A system with low A(t) and strong R(t) and S(t) nonetheless enters collapse without identifiable external shock.</w:t>
      </w:r>
    </w:p>
    <w:p>
      <w:r>
        <w:t xml:space="preserve"/>
      </w:r>
    </w:p>
    <w:p>
      <w:pPr>
        <w:spacing w:after="80" w:before="80"/>
      </w:pPr>
      <w:r>
        <w:rPr>
          <w:rFonts w:ascii="Times New Roman" w:cs="Times New Roman" w:eastAsia="Times New Roman" w:hAnsi="Times New Roman"/>
          <w:sz w:val="22"/>
          <w:szCs w:val="22"/>
        </w:rPr>
        <w:t xml:space="preserve">(3) The parameter operationalizations in Section III produce Stress(t) values that fail to predict stability regime transitions in historical case studies with adequate data coverage.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20"/>
              <w:left w:type="dxa" w:w="200"/>
              <w:bottom w:type="dxa" w:w="120"/>
              <w:right w:type="dxa" w:w="200"/>
            </w:tcMar>
          </w:tcPr>
          <w:p>
            <w:r>
              <w:rPr>
                <w:rFonts w:ascii="Times New Roman" w:cs="Times New Roman" w:eastAsia="Times New Roman" w:hAnsi="Times New Roman"/>
                <w:i/>
                <w:iCs/>
                <w:sz w:val="21"/>
                <w:szCs w:val="21"/>
              </w:rPr>
              <w:t xml:space="preserve">Version note: ACGM v1.0 adds parameter operationalization (Section III), SOE necessity derivation (Section V), and simulation law integration (Section VI) to the original working model. The core equation Stress = A / (R × S) is unchanged from v0.1.</w:t>
            </w:r>
          </w:p>
        </w:tc>
      </w:tr>
    </w:tbl>
    <w:p>
      <w:r>
        <w:t xml:space="preserve"/>
      </w:r>
    </w:p>
    <w:p>
      <w:pPr>
        <w:pStyle w:val="Heading1"/>
        <w:spacing w:after="120" w:before="360"/>
      </w:pPr>
      <w:r>
        <w:rPr>
          <w:rFonts w:ascii="Arial" w:cs="Arial" w:eastAsia="Arial" w:hAnsi="Arial"/>
          <w:b/>
          <w:bCs/>
          <w:color w:val="1F3864"/>
          <w:sz w:val="36"/>
          <w:szCs w:val="36"/>
        </w:rPr>
        <w:t xml:space="preserve">References and Related Works</w:t>
      </w:r>
    </w:p>
    <w:p>
      <w:pPr>
        <w:pStyle w:val="Heading2"/>
        <w:spacing w:after="100" w:before="280"/>
      </w:pPr>
      <w:r>
        <w:rPr>
          <w:rFonts w:ascii="Arial" w:cs="Arial" w:eastAsia="Arial" w:hAnsi="Arial"/>
          <w:b/>
          <w:bCs/>
          <w:color w:val="2E5596"/>
          <w:sz w:val="28"/>
          <w:szCs w:val="28"/>
        </w:rPr>
        <w:t xml:space="preserve">References and Related Works</w:t>
      </w:r>
    </w:p>
    <w:p>
      <w:pPr>
        <w:spacing w:after="80" w:before="80"/>
      </w:pPr>
      <w:r>
        <w:rPr>
          <w:rFonts w:ascii="Times New Roman" w:cs="Times New Roman" w:eastAsia="Times New Roman" w:hAnsi="Times New Roman"/>
          <w:sz w:val="22"/>
          <w:szCs w:val="22"/>
        </w:rPr>
        <w:t xml:space="preserve">Yu, Q. (2026). SOE Failure Layer v1.1: Structural Failure Modes in Civilizational Systems. Zenodo.</w:t>
      </w:r>
    </w:p>
    <w:p>
      <w:pPr>
        <w:spacing w:after="80" w:before="80"/>
      </w:pPr>
      <w:r>
        <w:rPr>
          <w:rFonts w:ascii="Times New Roman" w:cs="Times New Roman" w:eastAsia="Times New Roman" w:hAnsi="Times New Roman"/>
          <w:sz w:val="22"/>
          <w:szCs w:val="22"/>
        </w:rPr>
        <w:t xml:space="preserve">Yu, Q. (2026). System of Eternity V4.2. Zenodo.</w:t>
      </w:r>
    </w:p>
    <w:p>
      <w:pPr>
        <w:spacing w:after="80" w:before="80"/>
      </w:pPr>
      <w:r>
        <w:rPr>
          <w:rFonts w:ascii="Times New Roman" w:cs="Times New Roman" w:eastAsia="Times New Roman" w:hAnsi="Times New Roman"/>
          <w:sz w:val="22"/>
          <w:szCs w:val="22"/>
        </w:rPr>
        <w:t xml:space="preserve">Yu, Q. (2026). SOE Architecture Design v2 Integration Snapshot. Zenodo.</w:t>
      </w:r>
    </w:p>
    <w:p>
      <w:pPr>
        <w:spacing w:after="80" w:before="80"/>
      </w:pPr>
      <w:r>
        <w:rPr>
          <w:rFonts w:ascii="Times New Roman" w:cs="Times New Roman" w:eastAsia="Times New Roman" w:hAnsi="Times New Roman"/>
          <w:sz w:val="22"/>
          <w:szCs w:val="22"/>
        </w:rPr>
        <w:t xml:space="preserve">Yu, Q. (2026). SOE Simulation Program — Foundational Bundle. Zenodo.</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596" w:sz="6" w:space="1"/>
      </w:pBdr>
    </w:pPr>
    <w:r>
      <w:rPr>
        <w:rFonts w:ascii="Arial" w:cs="Arial" w:eastAsia="Arial" w:hAnsi="Arial"/>
        <w:color w:val="4A6FA5"/>
        <w:sz w:val="18"/>
        <w:szCs w:val="18"/>
      </w:rPr>
      <w:t xml:space="preserve">QianJun Yu | System of Eternity Research Program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6" w:sz="6" w:space="1"/>
      </w:pBdr>
    </w:pPr>
    <w:r>
      <w:rPr>
        <w:rFonts w:ascii="Arial" w:cs="Arial" w:eastAsia="Arial" w:hAnsi="Arial"/>
        <w:color w:val="4A6FA5"/>
        <w:sz w:val="18"/>
        <w:szCs w:val="18"/>
      </w:rPr>
      <w:t xml:space="preserve">Acceleration-Capacity Gap Model (ACGM)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5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2026-05-07T08:00:31.121Z</dcterms:created>
  <dcterms:modified xsi:type="dcterms:W3CDTF">2026-05-07T08:00:31.121Z</dcterms:modified>
</cp:coreProperties>
</file>

<file path=docProps/custom.xml><?xml version="1.0" encoding="utf-8"?>
<Properties xmlns="http://schemas.openxmlformats.org/officeDocument/2006/custom-properties" xmlns:vt="http://schemas.openxmlformats.org/officeDocument/2006/docPropsVTypes"/>
</file>