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80"/>
        <w:jc w:val="center"/>
      </w:pPr>
      <w:r>
        <w:rPr>
          <w:rFonts w:ascii="Microsoft YaHei" w:cs="Microsoft YaHei" w:eastAsia="Microsoft YaHei" w:hAnsi="Microsoft YaHei"/>
          <w:b/>
          <w:bCs/>
          <w:color w:val="1F3864"/>
          <w:sz w:val="40"/>
          <w:szCs w:val="40"/>
        </w:rPr>
        <w:t xml:space="preserve">宇宙梯度能量模型（CGEM）</w:t>
      </w:r>
    </w:p>
    <w:p>
      <w:pPr>
        <w:spacing w:after="60" w:before="0"/>
        <w:jc w:val="center"/>
      </w:pPr>
      <w:r>
        <w:rPr>
          <w:rFonts w:ascii="Arial" w:cs="Arial" w:eastAsia="Arial" w:hAnsi="Arial"/>
          <w:i/>
          <w:iCs/>
          <w:color w:val="2E5596"/>
          <w:sz w:val="26"/>
          <w:szCs w:val="26"/>
        </w:rPr>
        <w:t xml:space="preserve">Cosmic Gradient Energy Model (CGEM)</w:t>
      </w:r>
    </w:p>
    <w:p>
      <w:pPr>
        <w:spacing w:after="80" w:before="0"/>
        <w:jc w:val="center"/>
      </w:pPr>
      <w:r>
        <w:rPr>
          <w:rFonts w:ascii="Microsoft YaHei" w:cs="Microsoft YaHei" w:eastAsia="Microsoft YaHei" w:hAnsi="Microsoft YaHei"/>
          <w:i/>
          <w:iCs/>
          <w:color w:val="2E5596"/>
          <w:sz w:val="26"/>
          <w:szCs w:val="26"/>
        </w:rPr>
        <w:t xml:space="preserve">通过标量张量耦合对非均匀宇宙学的可检验扩展</w:t>
      </w:r>
    </w:p>
    <w:p>
      <w:pPr>
        <w:spacing w:after="60" w:before="0"/>
        <w:jc w:val="center"/>
      </w:pPr>
      <w:r>
        <w:rPr>
          <w:rFonts w:ascii="Microsoft YaHei" w:cs="Microsoft YaHei" w:eastAsia="Microsoft YaHei" w:hAnsi="Microsoft YaHei"/>
          <w:i/>
          <w:iCs/>
          <w:color w:val="666666"/>
          <w:sz w:val="22"/>
          <w:szCs w:val="22"/>
        </w:rPr>
        <w:t xml:space="preserve">CGEM v1.0 — 2026年4月</w:t>
      </w:r>
    </w:p>
    <w:p>
      <w:pPr>
        <w:spacing w:after="480" w:before="0"/>
        <w:jc w:val="center"/>
      </w:pPr>
      <w:r>
        <w:rPr>
          <w:rFonts w:ascii="Microsoft YaHei" w:cs="Microsoft YaHei" w:eastAsia="Microsoft YaHei" w:hAnsi="Microsoft YaHei"/>
          <w:i/>
          <w:iCs/>
          <w:color w:val="888888"/>
          <w:sz w:val="20"/>
          <w:szCs w:val="20"/>
        </w:rPr>
        <w:t xml:space="preserve">多山AI协同评审：Claude (Anthropic) · GPT (OpenAI) · Grok (xAI) · Gemini (Google)</w:t>
      </w:r>
    </w:p>
    <w:p>
      <w:pPr>
        <w:pStyle w:val="Heading1"/>
        <w:spacing w:after="120" w:before="360"/>
      </w:pPr>
      <w:r>
        <w:rPr>
          <w:rFonts w:ascii="Microsoft YaHei" w:cs="Microsoft YaHei" w:eastAsia="Microsoft YaHei" w:hAnsi="Microsoft YaHei"/>
          <w:b/>
          <w:bCs/>
          <w:color w:val="1F3864"/>
          <w:sz w:val="32"/>
          <w:szCs w:val="32"/>
        </w:rPr>
        <w:t xml:space="preserve">摘要</w:t>
      </w:r>
    </w:p>
    <w:p>
      <w:pPr>
        <w:spacing w:after="80" w:before="60"/>
      </w:pPr>
      <w:r>
        <w:rPr>
          <w:rFonts w:ascii="Microsoft YaHei" w:cs="Microsoft YaHei" w:eastAsia="Microsoft YaHei" w:hAnsi="Microsoft YaHei"/>
          <w:sz w:val="24"/>
          <w:szCs w:val="24"/>
        </w:rPr>
        <w:t xml:space="preserve">本文提出宇宙梯度能量模型（CGEM）——一种非均匀宇宙学的最小化扩展，其中大尺度密度对比激发有效标量场，进而修改局部推断的膨胀率。该模型在受约标量张量理论框架内运作，并引入有限相互作用尺度λ，以屏蔽（Yukawa型）场方程确保效应的局域性。</w:t>
      </w:r>
    </w:p>
    <w:p>
      <w:pPr>
        <w:spacing w:after="0" w:before="0"/>
      </w:pPr>
      <w:r>
        <w:t xml:space="preserve"/>
      </w:r>
    </w:p>
    <w:p>
      <w:pPr>
        <w:spacing w:after="80" w:before="60"/>
      </w:pPr>
      <w:r>
        <w:rPr>
          <w:rFonts w:ascii="Microsoft YaHei" w:cs="Microsoft YaHei" w:eastAsia="Microsoft YaHei" w:hAnsi="Microsoft YaHei"/>
          <w:sz w:val="24"/>
          <w:szCs w:val="24"/>
        </w:rPr>
        <w:t xml:space="preserve">对于密度对比δ ≈ −0.3的球形空洞，中心标量场値通过有效引力耦合修正G_eff = G(1 + 2β²)，得到局部膨胀率偏差δH/H ~ β²|δ|。对于耦合强度β ~ 0.1，预测贡献量级为δH/H ~ 0.3%。这是对局部膨胀方差的部分结构性贡献，而非对Hubble张力的完整解释。</w:t>
      </w:r>
    </w:p>
    <w:p>
      <w:pPr>
        <w:spacing w:after="0" w:before="0"/>
      </w:pPr>
      <w:r>
        <w:t xml:space="preserve"/>
      </w:r>
    </w:p>
    <w:p>
      <w:pPr>
        <w:spacing w:after="80" w:before="60"/>
      </w:pPr>
      <w:r>
        <w:rPr>
          <w:rFonts w:ascii="Microsoft YaHei" w:cs="Microsoft YaHei" w:eastAsia="Microsoft YaHei" w:hAnsi="Microsoft YaHei"/>
          <w:sz w:val="24"/>
          <w:szCs w:val="24"/>
        </w:rPr>
        <w:t xml:space="preserve">CGEM预测欠密区呈现增强的局部膨胀率，而超密区则抑制膨胀，为Hubble方差提供直接的结构性贡献。这些效应可通过DESI、Euclid、LSST检验。该模型不违反广义相对论，完全受现有约束β ∈ [0, 0.3]限制。</w:t>
      </w:r>
    </w:p>
    <w:p>
      <w:pPr>
        <w:pStyle w:val="Heading1"/>
        <w:spacing w:after="120" w:before="360"/>
      </w:pPr>
      <w:r>
        <w:rPr>
          <w:rFonts w:ascii="Microsoft YaHei" w:cs="Microsoft YaHei" w:eastAsia="Microsoft YaHei" w:hAnsi="Microsoft YaHei"/>
          <w:b/>
          <w:bCs/>
          <w:color w:val="1F3864"/>
          <w:sz w:val="32"/>
          <w:szCs w:val="32"/>
        </w:rPr>
        <w:t xml:space="preserve">1.  引言</w:t>
      </w:r>
    </w:p>
    <w:p>
      <w:pPr>
        <w:spacing w:after="80" w:before="60"/>
      </w:pPr>
      <w:r>
        <w:rPr>
          <w:rFonts w:ascii="Microsoft YaHei" w:cs="Microsoft YaHei" w:eastAsia="Microsoft YaHei" w:hAnsi="Microsoft YaHei"/>
          <w:sz w:val="24"/>
          <w:szCs w:val="24"/>
        </w:rPr>
        <w:t xml:space="preserve">在宇宙学尺度上，两种主导的大尺度动力效应支配结构形成：由物质和暗物质驱动的引力聊聘（引力），以及由暗能量驱动的加速膨胀（斥力）。空洞比物质密集区膨胀更快，产生可测量的局部膨胀行为变化。</w:t>
      </w:r>
    </w:p>
    <w:p>
      <w:pPr>
        <w:spacing w:after="80" w:before="60"/>
      </w:pPr>
      <w:r>
        <w:rPr>
          <w:rFonts w:ascii="Microsoft YaHei" w:cs="Microsoft YaHei" w:eastAsia="Microsoft YaHei" w:hAnsi="Microsoft YaHei"/>
          <w:sz w:val="24"/>
          <w:szCs w:val="24"/>
        </w:rPr>
        <w:t xml:space="preserve">这提出了一个可物理检验的问题：</w:t>
      </w:r>
    </w:p>
    <w:p>
      <w:pPr>
        <w:spacing w:after="0" w:before="0"/>
      </w:pPr>
      <w:r>
        <w:t xml:space="preserve"/>
      </w:r>
    </w:p>
    <w:p>
      <w:pPr>
        <w:pBdr>
          <w:top w:val="single" w:color="2E5596" w:sz="6"/>
          <w:bottom w:val="single" w:color="2E5596" w:sz="6"/>
        </w:pBdr>
        <w:spacing w:after="80" w:before="80"/>
        <w:ind w:left="360" w:right="360"/>
      </w:pPr>
      <w:r>
        <w:rPr>
          <w:rFonts w:ascii="Microsoft YaHei" w:cs="Microsoft YaHei" w:eastAsia="Microsoft YaHei" w:hAnsi="Microsoft YaHei"/>
          <w:i/>
          <w:iCs/>
          <w:sz w:val="22"/>
          <w:szCs w:val="22"/>
        </w:rPr>
        <w:t xml:space="preserve">大尺度非均匀性是否通过物理上允许的耦合机制产生可测量的动力效应？</w:t>
      </w:r>
    </w:p>
    <w:p>
      <w:pPr>
        <w:spacing w:after="0" w:before="0"/>
      </w:pPr>
      <w:r>
        <w:t xml:space="preserve"/>
      </w:r>
    </w:p>
    <w:p>
      <w:pPr>
        <w:spacing w:after="80" w:before="60"/>
      </w:pPr>
      <w:r>
        <w:rPr>
          <w:rFonts w:ascii="Microsoft YaHei" w:cs="Microsoft YaHei" w:eastAsia="Microsoft YaHei" w:hAnsi="Microsoft YaHei"/>
          <w:sz w:val="24"/>
          <w:szCs w:val="24"/>
        </w:rPr>
        <w:t xml:space="preserve">CGEM将这个问题表述为非均匀宇宙学的可检验扩展，无需引入新的基本物理。该模型在标量张量理论内运作，将所有自由参数约束在现有观测边界内。</w:t>
      </w:r>
    </w:p>
    <w:p>
      <w:pPr>
        <w:pStyle w:val="Heading1"/>
        <w:spacing w:after="120" w:before="360"/>
      </w:pPr>
      <w:r>
        <w:rPr>
          <w:rFonts w:ascii="Microsoft YaHei" w:cs="Microsoft YaHei" w:eastAsia="Microsoft YaHei" w:hAnsi="Microsoft YaHei"/>
          <w:b/>
          <w:bCs/>
          <w:color w:val="1F3864"/>
          <w:sz w:val="32"/>
          <w:szCs w:val="32"/>
        </w:rPr>
        <w:t xml:space="preserve">2.  宇宙学动力学基础</w:t>
      </w:r>
    </w:p>
    <w:p>
      <w:pPr>
        <w:spacing w:after="80" w:before="60"/>
      </w:pPr>
      <w:r>
        <w:rPr>
          <w:rFonts w:ascii="Microsoft YaHei" w:cs="Microsoft YaHei" w:eastAsia="Microsoft YaHei" w:hAnsi="Microsoft YaHei"/>
          <w:sz w:val="24"/>
          <w:szCs w:val="24"/>
        </w:rPr>
        <w:t xml:space="preserve">宇宙膨胀由弗里德曼方程治理：</w:t>
      </w:r>
    </w:p>
    <w:p>
      <w:pPr>
        <w:spacing w:after="0" w:before="0"/>
      </w:pPr>
      <w:r>
        <w:t xml:space="preserve"/>
      </w:r>
    </w:p>
    <w:p>
      <w:pPr>
        <w:spacing w:after="100" w:before="100"/>
        <w:jc w:val="center"/>
      </w:pPr>
      <w:r>
        <w:rPr>
          <w:rFonts w:ascii="Courier New" w:cs="Courier New" w:eastAsia="Courier New" w:hAnsi="Courier New"/>
          <w:sz w:val="22"/>
          <w:szCs w:val="22"/>
        </w:rPr>
        <w:t xml:space="preserve">H² = (8πG/3)ρ − kc²/a² + Λc²/3</w:t>
      </w:r>
    </w:p>
    <w:p>
      <w:pPr>
        <w:spacing w:after="100" w:before="100"/>
        <w:jc w:val="center"/>
      </w:pPr>
      <w:r>
        <w:rPr>
          <w:rFonts w:ascii="Courier New" w:cs="Courier New" w:eastAsia="Courier New" w:hAnsi="Courier New"/>
          <w:sz w:val="22"/>
          <w:szCs w:val="22"/>
        </w:rPr>
        <w:t xml:space="preserve">ä/a = −(4πG/3)(ρ + 3P/c²) + Λc²/3</w:t>
      </w:r>
    </w:p>
    <w:p>
      <w:pPr>
        <w:spacing w:after="0" w:before="0"/>
      </w:pPr>
      <w:r>
        <w:t xml:space="preserve"/>
      </w:r>
    </w:p>
    <w:p>
      <w:pPr>
        <w:spacing w:after="80" w:before="60"/>
      </w:pPr>
      <w:r>
        <w:rPr>
          <w:rFonts w:ascii="Microsoft YaHei" w:cs="Microsoft YaHei" w:eastAsia="Microsoft YaHei" w:hAnsi="Microsoft YaHei"/>
          <w:sz w:val="24"/>
          <w:szCs w:val="24"/>
        </w:rPr>
        <w:t xml:space="preserve">暗能量满足状态方程P = −ρΛc²。广义相对论中的能量守恒由协变局部守恒律支配：∇_μT^μν = 0。局部膨胀由膨胀标量 θ = ∇_μu^μ 描述。</w:t>
      </w:r>
    </w:p>
    <w:p>
      <w:pPr>
        <w:pStyle w:val="Heading1"/>
        <w:spacing w:after="120" w:before="360"/>
      </w:pPr>
      <w:r>
        <w:rPr>
          <w:rFonts w:ascii="Microsoft YaHei" w:cs="Microsoft YaHei" w:eastAsia="Microsoft YaHei" w:hAnsi="Microsoft YaHei"/>
          <w:b/>
          <w:bCs/>
          <w:color w:val="1F3864"/>
          <w:sz w:val="32"/>
          <w:szCs w:val="32"/>
        </w:rPr>
        <w:t xml:space="preserve">3.  宇宙非均匀性的来源</w:t>
      </w:r>
    </w:p>
    <w:p>
      <w:pPr>
        <w:spacing w:after="80" w:before="60"/>
      </w:pPr>
      <w:r>
        <w:rPr>
          <w:rFonts w:ascii="Microsoft YaHei" w:cs="Microsoft YaHei" w:eastAsia="Microsoft YaHei" w:hAnsi="Microsoft YaHei"/>
          <w:sz w:val="24"/>
          <w:szCs w:val="24"/>
        </w:rPr>
        <w:t xml:space="preserve">密度对比定义为 δ(x) = (ρ − ρ̄) / ρ̄。线性扰动理论给出：</w:t>
      </w:r>
    </w:p>
    <w:p>
      <w:pPr>
        <w:spacing w:after="0" w:before="0"/>
      </w:pPr>
      <w:r>
        <w:t xml:space="preserve"/>
      </w:r>
    </w:p>
    <w:p>
      <w:pPr>
        <w:spacing w:after="100" w:before="100"/>
        <w:jc w:val="center"/>
      </w:pPr>
      <w:r>
        <w:rPr>
          <w:rFonts w:ascii="Courier New" w:cs="Courier New" w:eastAsia="Courier New" w:hAnsi="Courier New"/>
          <w:sz w:val="22"/>
          <w:szCs w:val="22"/>
        </w:rPr>
        <w:t xml:space="preserve">H_local(x) = H_bg [1 − f(Ωₘ)/3 · δ(x)]</w:t>
      </w:r>
    </w:p>
    <w:p>
      <w:pPr>
        <w:spacing w:after="0" w:before="0"/>
      </w:pPr>
      <w:r>
        <w:t xml:space="preserve"/>
      </w:r>
    </w:p>
    <w:p>
      <w:pPr>
        <w:spacing w:after="80" w:before="60"/>
      </w:pPr>
      <w:r>
        <w:rPr>
          <w:rFonts w:ascii="Microsoft YaHei" w:cs="Microsoft YaHei" w:eastAsia="Microsoft YaHei" w:hAnsi="Microsoft YaHei"/>
          <w:sz w:val="24"/>
          <w:szCs w:val="24"/>
        </w:rPr>
        <w:t xml:space="preserve">其中 f(Ωₘ) ≈ Ωₘ^0.55（当前参数下 f ≈ 0.46）。宇宙结构中的典型局部值：</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BCD0" w:sz="4"/>
              <w:left w:val="single" w:color="AABCD0" w:sz="4"/>
              <w:bottom w:val="single" w:color="AABCD0" w:sz="4"/>
              <w:right w:val="single" w:color="AABCD0" w:sz="4"/>
            </w:tcBorders>
            <w:shd w:fill="D9E2F3" w:val="clear"/>
            <w:tcMar>
              <w:top w:type="dxa" w:w="80"/>
              <w:left w:type="dxa" w:w="120"/>
              <w:bottom w:type="dxa" w:w="80"/>
              <w:right w:type="dxa" w:w="120"/>
            </w:tcMar>
          </w:tcPr>
          <w:p>
            <w:r>
              <w:rPr>
                <w:rFonts w:ascii="Microsoft YaHei" w:cs="Microsoft YaHei" w:eastAsia="Microsoft YaHei" w:hAnsi="Microsoft YaHei"/>
                <w:b/>
                <w:bCs/>
                <w:sz w:val="22"/>
                <w:szCs w:val="22"/>
              </w:rPr>
              <w:t xml:space="preserve">区域</w:t>
            </w:r>
          </w:p>
        </w:tc>
        <w:tc>
          <w:tcPr>
            <w:tcW w:type="dxa" w:w="3120"/>
            <w:tcBorders>
              <w:top w:val="single" w:color="AABCD0" w:sz="4"/>
              <w:left w:val="single" w:color="AABCD0" w:sz="4"/>
              <w:bottom w:val="single" w:color="AABCD0" w:sz="4"/>
              <w:right w:val="single" w:color="AABCD0" w:sz="4"/>
            </w:tcBorders>
            <w:shd w:fill="D9E2F3" w:val="clear"/>
            <w:tcMar>
              <w:top w:type="dxa" w:w="80"/>
              <w:left w:type="dxa" w:w="120"/>
              <w:bottom w:type="dxa" w:w="80"/>
              <w:right w:type="dxa" w:w="120"/>
            </w:tcMar>
          </w:tcPr>
          <w:p>
            <w:r>
              <w:rPr>
                <w:rFonts w:ascii="Microsoft YaHei" w:cs="Microsoft YaHei" w:eastAsia="Microsoft YaHei" w:hAnsi="Microsoft YaHei"/>
                <w:b/>
                <w:bCs/>
                <w:sz w:val="22"/>
                <w:szCs w:val="22"/>
              </w:rPr>
              <w:t xml:space="preserve">密度对比 δ</w:t>
            </w:r>
          </w:p>
        </w:tc>
        <w:tc>
          <w:tcPr>
            <w:tcW w:type="dxa" w:w="3120"/>
            <w:tcBorders>
              <w:top w:val="single" w:color="AABCD0" w:sz="4"/>
              <w:left w:val="single" w:color="AABCD0" w:sz="4"/>
              <w:bottom w:val="single" w:color="AABCD0" w:sz="4"/>
              <w:right w:val="single" w:color="AABCD0" w:sz="4"/>
            </w:tcBorders>
            <w:shd w:fill="D9E2F3" w:val="clear"/>
            <w:tcMar>
              <w:top w:type="dxa" w:w="80"/>
              <w:left w:type="dxa" w:w="120"/>
              <w:bottom w:type="dxa" w:w="80"/>
              <w:right w:type="dxa" w:w="120"/>
            </w:tcMar>
          </w:tcPr>
          <w:p>
            <w:r>
              <w:rPr>
                <w:rFonts w:ascii="Microsoft YaHei" w:cs="Microsoft YaHei" w:eastAsia="Microsoft YaHei" w:hAnsi="Microsoft YaHei"/>
                <w:b/>
                <w:bCs/>
                <w:sz w:val="22"/>
                <w:szCs w:val="22"/>
              </w:rPr>
              <w:t xml:space="preserve">局部Hubble率 H</w:t>
            </w:r>
          </w:p>
        </w:tc>
      </w:tr>
      <w:tr>
        <w:tc>
          <w:tcPr>
            <w:tcW w:type="dxa" w:w="312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空洞内部</w:t>
            </w:r>
          </w:p>
        </w:tc>
        <w:tc>
          <w:tcPr>
            <w:tcW w:type="dxa" w:w="312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δ ≈ −0.8</w:t>
            </w:r>
          </w:p>
        </w:tc>
        <w:tc>
          <w:tcPr>
            <w:tcW w:type="dxa" w:w="312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H ≈ 1.1 H₀</w:t>
            </w:r>
          </w:p>
        </w:tc>
      </w:tr>
      <w:tr>
        <w:tc>
          <w:tcPr>
            <w:tcW w:type="dxa" w:w="312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壁面/丝纠</w:t>
            </w:r>
          </w:p>
        </w:tc>
        <w:tc>
          <w:tcPr>
            <w:tcW w:type="dxa" w:w="312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δ ≈ +0.1</w:t>
            </w:r>
          </w:p>
        </w:tc>
        <w:tc>
          <w:tcPr>
            <w:tcW w:type="dxa" w:w="312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H ≈ H₀</w:t>
            </w:r>
          </w:p>
        </w:tc>
      </w:tr>
    </w:tbl>
    <w:p>
      <w:pPr>
        <w:spacing w:after="0" w:before="0"/>
      </w:pPr>
      <w:r>
        <w:t xml:space="preserve"/>
      </w:r>
    </w:p>
    <w:p>
      <w:pPr>
        <w:spacing w:after="80" w:before="60"/>
      </w:pPr>
      <w:r>
        <w:rPr>
          <w:rFonts w:ascii="Microsoft YaHei" w:cs="Microsoft YaHei" w:eastAsia="Microsoft YaHei" w:hAnsi="Microsoft YaHei"/>
          <w:sz w:val="24"/>
          <w:szCs w:val="24"/>
        </w:rPr>
        <w:t xml:space="preserve">巨洞壁边界处的膨胀梯度：ΔH ≈ 9–10 km/s/Mpc ≈ 0.14 H₀。</w:t>
      </w:r>
    </w:p>
    <w:p>
      <w:pPr>
        <w:pStyle w:val="Heading1"/>
        <w:spacing w:after="120" w:before="360"/>
      </w:pPr>
      <w:r>
        <w:rPr>
          <w:rFonts w:ascii="Microsoft YaHei" w:cs="Microsoft YaHei" w:eastAsia="Microsoft YaHei" w:hAnsi="Microsoft YaHei"/>
          <w:b/>
          <w:bCs/>
          <w:color w:val="1F3864"/>
          <w:sz w:val="32"/>
          <w:szCs w:val="32"/>
        </w:rPr>
        <w:t xml:space="preserve">4.  CGEM形式化</w:t>
      </w:r>
    </w:p>
    <w:p>
      <w:pPr>
        <w:spacing w:after="80" w:before="60"/>
      </w:pPr>
      <w:r>
        <w:rPr>
          <w:rFonts w:ascii="Microsoft YaHei" w:cs="Microsoft YaHei" w:eastAsia="Microsoft YaHei" w:hAnsi="Microsoft YaHei"/>
          <w:sz w:val="24"/>
          <w:szCs w:val="24"/>
        </w:rPr>
        <w:t xml:space="preserve">CGEM在标量张量理论内运作。本版本的关键升级是用屏蔽（Yukawa型）场方程替代无边界的泻松方程，确保局域性并防止宇宙学尺度上的非物理发散。</w:t>
      </w:r>
    </w:p>
    <w:p>
      <w:pPr>
        <w:spacing w:after="0" w:before="0"/>
      </w:pPr>
      <w:r>
        <w:t xml:space="preserve"/>
      </w:r>
    </w:p>
    <w:p>
      <w:pPr>
        <w:pStyle w:val="Heading2"/>
        <w:spacing w:after="80" w:before="280"/>
      </w:pPr>
      <w:r>
        <w:rPr>
          <w:rFonts w:ascii="Microsoft YaHei" w:cs="Microsoft YaHei" w:eastAsia="Microsoft YaHei" w:hAnsi="Microsoft YaHei"/>
          <w:b/>
          <w:bCs/>
          <w:color w:val="2E5596"/>
          <w:sz w:val="26"/>
          <w:szCs w:val="26"/>
        </w:rPr>
        <w:t xml:space="preserve">4.1 作用量与场方程推导</w:t>
      </w:r>
    </w:p>
    <w:p>
      <w:pPr>
        <w:spacing w:after="80" w:before="60"/>
      </w:pPr>
      <w:r>
        <w:rPr>
          <w:rFonts w:ascii="Microsoft YaHei" w:cs="Microsoft YaHei" w:eastAsia="Microsoft YaHei" w:hAnsi="Microsoft YaHei"/>
          <w:sz w:val="24"/>
          <w:szCs w:val="24"/>
        </w:rPr>
        <w:t xml:space="preserve">CGEM在变色龙标量张量框架内运作（Khoury &amp; Weltman 2004）。作用量为：</w:t>
      </w:r>
    </w:p>
    <w:p>
      <w:pPr>
        <w:spacing w:after="0" w:before="0"/>
      </w:pPr>
      <w:r>
        <w:t xml:space="preserve"/>
      </w:r>
    </w:p>
    <w:p>
      <w:pPr>
        <w:spacing w:after="100" w:before="100"/>
        <w:jc w:val="center"/>
      </w:pPr>
      <w:r>
        <w:rPr>
          <w:rFonts w:ascii="Courier New" w:cs="Courier New" w:eastAsia="Courier New" w:hAnsi="Courier New"/>
          <w:sz w:val="22"/>
          <w:szCs w:val="22"/>
        </w:rPr>
        <w:t xml:space="preserve">S = ∫d⁴x √(−g) [M_pl²/2 · R − ½(∂φ)² − V(φ)] + S_m[ψ_m, A²(φ)g_μν]</w:t>
      </w:r>
    </w:p>
    <w:p>
      <w:pPr>
        <w:spacing w:after="0" w:before="0"/>
      </w:pPr>
      <w:r>
        <w:t xml:space="preserve"/>
      </w:r>
    </w:p>
    <w:p>
      <w:pPr>
        <w:spacing w:after="80" w:before="60"/>
      </w:pPr>
      <w:r>
        <w:rPr>
          <w:rFonts w:ascii="Microsoft YaHei" w:cs="Microsoft YaHei" w:eastAsia="Microsoft YaHei" w:hAnsi="Microsoft YaHei"/>
          <w:sz w:val="24"/>
          <w:szCs w:val="24"/>
        </w:rPr>
        <w:t xml:space="preserve">其中 M_pl = (8πG)^⁻½，V(φ) 为标量场势，A(φ) = e^(βφ/M_pl) 为共形耦合函数，β 为无量纲耦合强度。</w:t>
      </w:r>
    </w:p>
    <w:p>
      <w:pPr>
        <w:spacing w:after="80" w:before="60"/>
      </w:pPr>
      <w:r>
        <w:rPr>
          <w:rFonts w:ascii="Microsoft YaHei" w:cs="Microsoft YaHei" w:eastAsia="Microsoft YaHei" w:hAnsi="Microsoft YaHei"/>
          <w:sz w:val="24"/>
          <w:szCs w:val="24"/>
        </w:rPr>
        <w:t xml:space="preserve">对φ变分得运动方程： □φ = V'(φ) + (β/M_pl)ρ_m。</w:t>
      </w:r>
    </w:p>
    <w:p>
      <w:pPr>
        <w:spacing w:after="80" w:before="60"/>
      </w:pPr>
      <w:r>
        <w:rPr>
          <w:rFonts w:ascii="Microsoft YaHei" w:cs="Microsoft YaHei" w:eastAsia="Microsoft YaHei" w:hAnsi="Microsoft YaHei"/>
          <w:sz w:val="24"/>
          <w:szCs w:val="24"/>
        </w:rPr>
        <w:t xml:space="preserve">标量场在有效势 V_eff(φ) = V(φ) + ρ_mA(φ) 中演化。在非均匀密度场中，较准静态极限下绕背景场的扰动满足：</w:t>
      </w:r>
    </w:p>
    <w:p>
      <w:pPr>
        <w:spacing w:after="0" w:before="0"/>
      </w:pPr>
      <w:r>
        <w:t xml:space="preserve"/>
      </w:r>
    </w:p>
    <w:p>
      <w:pPr>
        <w:spacing w:after="100" w:before="100"/>
        <w:jc w:val="center"/>
      </w:pPr>
      <w:r>
        <w:rPr>
          <w:rFonts w:ascii="Courier New" w:cs="Courier New" w:eastAsia="Courier New" w:hAnsi="Courier New"/>
          <w:sz w:val="22"/>
          <w:szCs w:val="22"/>
        </w:rPr>
        <w:t xml:space="preserve">∇²δφ − m_eff² δφ = (βρ̄_m/M_pl) δ(x)</w:t>
      </w:r>
    </w:p>
    <w:p>
      <w:pPr>
        <w:spacing w:after="0" w:before="0"/>
      </w:pPr>
      <w:r>
        <w:t xml:space="preserve"/>
      </w:r>
    </w:p>
    <w:p>
      <w:pPr>
        <w:spacing w:after="80" w:before="60"/>
      </w:pPr>
      <w:r>
        <w:rPr>
          <w:rFonts w:ascii="Microsoft YaHei" w:cs="Microsoft YaHei" w:eastAsia="Microsoft YaHei" w:hAnsi="Microsoft YaHei"/>
          <w:sz w:val="24"/>
          <w:szCs w:val="24"/>
        </w:rPr>
        <w:t xml:space="preserve">其中 m_eff² ≡ V''(φ_min)。这就是相互作用尺度 λ ≡ m_eff^⁻¹ 的屏蔽（Yukawa型）场方程。用密度对比表达：</w:t>
      </w:r>
    </w:p>
    <w:p>
      <w:pPr>
        <w:spacing w:after="0" w:before="0"/>
      </w:pPr>
      <w:r>
        <w:t xml:space="preserve"/>
      </w:r>
    </w:p>
    <w:p>
      <w:pPr>
        <w:spacing w:after="100" w:before="100"/>
        <w:jc w:val="center"/>
      </w:pPr>
      <w:r>
        <w:rPr>
          <w:rFonts w:ascii="Courier New" w:cs="Courier New" w:eastAsia="Courier New" w:hAnsi="Courier New"/>
          <w:sz w:val="22"/>
          <w:szCs w:val="22"/>
        </w:rPr>
        <w:t xml:space="preserve">∇²φ − (1/λ²)φ = β(ρ_m/M_pl)</w:t>
      </w:r>
    </w:p>
    <w:p>
      <w:pPr>
        <w:spacing w:after="0" w:before="0"/>
      </w:pPr>
      <w:r>
        <w:t xml:space="preserve"/>
      </w:r>
    </w:p>
    <w:p>
      <w:pPr>
        <w:spacing w:after="80" w:before="60"/>
      </w:pPr>
      <w:r>
        <w:rPr>
          <w:rFonts w:ascii="Microsoft YaHei" w:cs="Microsoft YaHei" w:eastAsia="Microsoft YaHei" w:hAnsi="Microsoft YaHei"/>
          <w:sz w:val="24"/>
          <w:szCs w:val="24"/>
        </w:rPr>
        <w:t xml:space="preserve">无量纲形式（使用 φ̃ = φ/H₀², x̃ = x·H₀, λ̃ = λ·H₀）：</w:t>
      </w:r>
    </w:p>
    <w:p>
      <w:pPr>
        <w:spacing w:after="0" w:before="0"/>
      </w:pPr>
      <w:r>
        <w:t xml:space="preserve"/>
      </w:r>
    </w:p>
    <w:p>
      <w:pPr>
        <w:spacing w:after="100" w:before="100"/>
        <w:jc w:val="center"/>
      </w:pPr>
      <w:r>
        <w:rPr>
          <w:rFonts w:ascii="Courier New" w:cs="Courier New" w:eastAsia="Courier New" w:hAnsi="Courier New"/>
          <w:sz w:val="22"/>
          <w:szCs w:val="22"/>
        </w:rPr>
        <w:t xml:space="preserve">∇̃²φ̃ − (1/λ̃²)φ̃ = β̃ δ(x)</w:t>
      </w:r>
    </w:p>
    <w:p>
      <w:pPr>
        <w:spacing w:after="0" w:before="0"/>
      </w:pPr>
      <w:r>
        <w:t xml:space="preserve"/>
      </w:r>
    </w:p>
    <w:p>
      <w:pPr>
        <w:spacing w:after="80" w:before="60"/>
      </w:pPr>
      <w:r>
        <w:rPr>
          <w:rFonts w:ascii="Microsoft YaHei" w:cs="Microsoft YaHei" w:eastAsia="Microsoft YaHei" w:hAnsi="Microsoft YaHei"/>
          <w:sz w:val="24"/>
          <w:szCs w:val="24"/>
        </w:rPr>
        <w:t xml:space="preserve">屏蔽项确保标量场影响在 λ 以外指数衰减。参数 λ 是宇宙学背景中标量场的康普顿波长，预期位于50–200 Mpc范围内。</w:t>
      </w:r>
    </w:p>
    <w:p>
      <w:pPr>
        <w:spacing w:after="80" w:before="60"/>
      </w:pPr>
      <w:r>
        <w:rPr>
          <w:rFonts w:ascii="Microsoft YaHei" w:cs="Microsoft YaHei" w:eastAsia="Microsoft YaHei" w:hAnsi="Microsoft YaHei"/>
          <w:sz w:val="24"/>
          <w:szCs w:val="24"/>
        </w:rPr>
        <w:t xml:space="preserve">标量场中介的有效引力势：</w:t>
      </w:r>
    </w:p>
    <w:p>
      <w:pPr>
        <w:spacing w:after="0" w:before="0"/>
      </w:pPr>
      <w:r>
        <w:t xml:space="preserve"/>
      </w:r>
    </w:p>
    <w:p>
      <w:pPr>
        <w:spacing w:after="100" w:before="100"/>
        <w:jc w:val="center"/>
      </w:pPr>
      <w:r>
        <w:rPr>
          <w:rFonts w:ascii="Courier New" w:cs="Courier New" w:eastAsia="Courier New" w:hAnsi="Courier New"/>
          <w:sz w:val="22"/>
          <w:szCs w:val="22"/>
        </w:rPr>
        <w:t xml:space="preserve">Φ_eff = −GM/r · (1 + 2β² e^(−r/λ))</w:t>
      </w:r>
    </w:p>
    <w:p>
      <w:pPr>
        <w:spacing w:after="0" w:before="0"/>
      </w:pPr>
      <w:r>
        <w:t xml:space="preserve"/>
      </w:r>
    </w:p>
    <w:p>
      <w:pPr>
        <w:spacing w:after="80" w:before="60"/>
      </w:pPr>
      <w:r>
        <w:rPr>
          <w:rFonts w:ascii="Microsoft YaHei" w:cs="Microsoft YaHei" w:eastAsia="Microsoft YaHei" w:hAnsi="Microsoft YaHei"/>
          <w:sz w:val="24"/>
          <w:szCs w:val="24"/>
        </w:rPr>
        <w:t xml:space="preserve">在 r &lt;&lt; λ（非屏蔽制）时，得到第7节中使用的有效引力常数：</w:t>
      </w:r>
    </w:p>
    <w:p>
      <w:pPr>
        <w:spacing w:after="0" w:before="0"/>
      </w:pPr>
      <w:r>
        <w:t xml:space="preserve"/>
      </w:r>
    </w:p>
    <w:p>
      <w:pPr>
        <w:spacing w:after="100" w:before="100"/>
        <w:jc w:val="center"/>
      </w:pPr>
      <w:r>
        <w:rPr>
          <w:rFonts w:ascii="Courier New" w:cs="Courier New" w:eastAsia="Courier New" w:hAnsi="Courier New"/>
          <w:sz w:val="22"/>
          <w:szCs w:val="22"/>
        </w:rPr>
        <w:t xml:space="preserve">G_eff = G(1 + 2β²)</w:t>
      </w:r>
    </w:p>
    <w:p>
      <w:pPr>
        <w:spacing w:after="0" w:before="0"/>
      </w:pPr>
      <w:r>
        <w:t xml:space="preserve"/>
      </w:r>
    </w:p>
    <w:p>
      <w:pPr>
        <w:spacing w:after="80" w:before="60"/>
      </w:pPr>
      <w:r>
        <w:rPr>
          <w:rFonts w:ascii="Microsoft YaHei" w:cs="Microsoft YaHei" w:eastAsia="Microsoft YaHei" w:hAnsi="Microsoft YaHei"/>
          <w:sz w:val="24"/>
          <w:szCs w:val="24"/>
        </w:rPr>
        <w:t xml:space="preserve">这是上述作用量的直接推论，而非自由现象学参数。从标量场到膨胀动力学的映射完全由 β 决定。</w:t>
      </w:r>
    </w:p>
    <w:p>
      <w:pPr>
        <w:spacing w:after="80" w:before="60"/>
      </w:pPr>
      <w:r>
        <w:rPr>
          <w:rFonts w:ascii="Microsoft YaHei" w:cs="Microsoft YaHei" w:eastAsia="Microsoft YaHei" w:hAnsi="Microsoft YaHei"/>
          <w:sz w:val="24"/>
          <w:szCs w:val="24"/>
        </w:rPr>
        <w:t xml:space="preserve">非均匀密度场中的空间梯度：∇φ ≠ 0。耦合力：Fφ ∝ β∇φ。</w:t>
      </w:r>
    </w:p>
    <w:p>
      <w:pPr>
        <w:spacing w:after="0" w:before="0"/>
      </w:pPr>
      <w:r>
        <w:t xml:space="preserve"/>
      </w:r>
    </w:p>
    <w:p>
      <w:pPr>
        <w:pStyle w:val="Heading2"/>
        <w:spacing w:after="80" w:before="280"/>
      </w:pPr>
      <w:r>
        <w:rPr>
          <w:rFonts w:ascii="Microsoft YaHei" w:cs="Microsoft YaHei" w:eastAsia="Microsoft YaHei" w:hAnsi="Microsoft YaHei"/>
          <w:b/>
          <w:bCs/>
          <w:color w:val="2E5596"/>
          <w:sz w:val="26"/>
          <w:szCs w:val="26"/>
        </w:rPr>
        <w:t xml:space="preserve">4.2 闭合耦合链条</w:t>
      </w:r>
    </w:p>
    <w:p>
      <w:pPr>
        <w:spacing w:after="0" w:before="0"/>
      </w:pPr>
      <w:r>
        <w:t xml:space="preserve"/>
      </w:r>
    </w:p>
    <w:p>
      <w:pPr>
        <w:pBdr>
          <w:top w:val="single" w:color="2E5596" w:sz="6"/>
          <w:bottom w:val="single" w:color="2E5596" w:sz="6"/>
        </w:pBdr>
        <w:spacing w:after="80" w:before="80"/>
        <w:ind w:left="360" w:right="360"/>
      </w:pPr>
      <w:r>
        <w:rPr>
          <w:rFonts w:ascii="Microsoft YaHei" w:cs="Microsoft YaHei" w:eastAsia="Microsoft YaHei" w:hAnsi="Microsoft YaHei"/>
          <w:i/>
          <w:iCs/>
          <w:sz w:val="22"/>
          <w:szCs w:val="22"/>
        </w:rPr>
        <w:t xml:space="preserve">δ(x)  →  φ(x)  →  ∇φ  →  Fφ  →  修正的动力学  →  ΔH_可观测</w:t>
      </w:r>
    </w:p>
    <w:p>
      <w:pPr>
        <w:spacing w:after="0" w:before="0"/>
      </w:pPr>
      <w:r>
        <w:t xml:space="preserve"/>
      </w:r>
    </w:p>
    <w:p>
      <w:pPr>
        <w:spacing w:after="80" w:before="60"/>
      </w:pPr>
      <w:r>
        <w:rPr>
          <w:rFonts w:ascii="Microsoft YaHei" w:cs="Microsoft YaHei" w:eastAsia="Microsoft YaHei" w:hAnsi="Microsoft YaHei"/>
          <w:sz w:val="24"/>
          <w:szCs w:val="24"/>
        </w:rPr>
        <w:t xml:space="preserve">这建立了从物质密度对比到可观测量的物理上连续的机制，未引入任何新的基本物理。</w:t>
      </w:r>
    </w:p>
    <w:p>
      <w:pPr>
        <w:spacing w:after="0" w:before="0"/>
      </w:pPr>
      <w:r>
        <w:t xml:space="preserve"/>
      </w:r>
    </w:p>
    <w:p>
      <w:pPr>
        <w:pStyle w:val="Heading2"/>
        <w:spacing w:after="80" w:before="280"/>
      </w:pPr>
      <w:r>
        <w:rPr>
          <w:rFonts w:ascii="Microsoft YaHei" w:cs="Microsoft YaHei" w:eastAsia="Microsoft YaHei" w:hAnsi="Microsoft YaHei"/>
          <w:b/>
          <w:bCs/>
          <w:color w:val="2E5596"/>
          <w:sz w:val="26"/>
          <w:szCs w:val="26"/>
        </w:rPr>
        <w:t xml:space="preserve">4.3 可观测量分解</w:t>
      </w:r>
    </w:p>
    <w:p>
      <w:pPr>
        <w:spacing w:after="80" w:before="60"/>
      </w:pPr>
      <w:r>
        <w:rPr>
          <w:rFonts w:ascii="Microsoft YaHei" w:cs="Microsoft YaHei" w:eastAsia="Microsoft YaHei" w:hAnsi="Microsoft YaHei"/>
          <w:sz w:val="24"/>
          <w:szCs w:val="24"/>
        </w:rPr>
        <w:t xml:space="preserve">ΔH_obs = ΔH_ΛCDM + ΔH_CGEM(β, δ)。CGEM预测一个非零的 ΔH_CGEM(β, δ) 项。在零假设（标准ΛCDM）下，ΔH_CGEM = 0。</w:t>
      </w:r>
    </w:p>
    <w:p>
      <w:pPr>
        <w:spacing w:after="0" w:before="0"/>
      </w:pPr>
      <w:r>
        <w:t xml:space="preserve"/>
      </w:r>
    </w:p>
    <w:p>
      <w:pPr>
        <w:pStyle w:val="Heading2"/>
        <w:spacing w:after="80" w:before="280"/>
      </w:pPr>
      <w:r>
        <w:rPr>
          <w:rFonts w:ascii="Microsoft YaHei" w:cs="Microsoft YaHei" w:eastAsia="Microsoft YaHei" w:hAnsi="Microsoft YaHei"/>
          <w:b/>
          <w:bCs/>
          <w:color w:val="2E5596"/>
          <w:sz w:val="26"/>
          <w:szCs w:val="26"/>
        </w:rPr>
        <w:t xml:space="preserve">4.4 参数约束</w:t>
      </w:r>
    </w:p>
    <w:p>
      <w:pPr>
        <w:spacing w:after="80" w:before="60"/>
      </w:pPr>
      <w:r>
        <w:rPr>
          <w:rFonts w:ascii="Microsoft YaHei" w:cs="Microsoft YaHei" w:eastAsia="Microsoft YaHei" w:hAnsi="Microsoft YaHei"/>
          <w:sz w:val="24"/>
          <w:szCs w:val="24"/>
        </w:rPr>
        <w:t xml:space="preserve">β 受现有观测约束：</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2400"/>
        <w:gridCol w:w="3060"/>
      </w:tblGrid>
      <w:tr>
        <w:tc>
          <w:tcPr>
            <w:tcW w:type="dxa" w:w="3900"/>
            <w:tcBorders>
              <w:top w:val="single" w:color="AABCD0" w:sz="4"/>
              <w:left w:val="single" w:color="AABCD0" w:sz="4"/>
              <w:bottom w:val="single" w:color="AABCD0" w:sz="4"/>
              <w:right w:val="single" w:color="AABCD0" w:sz="4"/>
            </w:tcBorders>
            <w:shd w:fill="D9E2F3" w:val="clear"/>
            <w:tcMar>
              <w:top w:type="dxa" w:w="80"/>
              <w:left w:type="dxa" w:w="120"/>
              <w:bottom w:type="dxa" w:w="80"/>
              <w:right w:type="dxa" w:w="120"/>
            </w:tcMar>
          </w:tcPr>
          <w:p>
            <w:r>
              <w:rPr>
                <w:rFonts w:ascii="Microsoft YaHei" w:cs="Microsoft YaHei" w:eastAsia="Microsoft YaHei" w:hAnsi="Microsoft YaHei"/>
                <w:b/>
                <w:bCs/>
                <w:sz w:val="22"/>
                <w:szCs w:val="22"/>
              </w:rPr>
              <w:t xml:space="preserve">约束来源</w:t>
            </w:r>
          </w:p>
        </w:tc>
        <w:tc>
          <w:tcPr>
            <w:tcW w:type="dxa" w:w="2400"/>
            <w:tcBorders>
              <w:top w:val="single" w:color="AABCD0" w:sz="4"/>
              <w:left w:val="single" w:color="AABCD0" w:sz="4"/>
              <w:bottom w:val="single" w:color="AABCD0" w:sz="4"/>
              <w:right w:val="single" w:color="AABCD0" w:sz="4"/>
            </w:tcBorders>
            <w:shd w:fill="D9E2F3" w:val="clear"/>
            <w:tcMar>
              <w:top w:type="dxa" w:w="80"/>
              <w:left w:type="dxa" w:w="120"/>
              <w:bottom w:type="dxa" w:w="80"/>
              <w:right w:type="dxa" w:w="120"/>
            </w:tcMar>
          </w:tcPr>
          <w:p>
            <w:r>
              <w:rPr>
                <w:rFonts w:ascii="Microsoft YaHei" w:cs="Microsoft YaHei" w:eastAsia="Microsoft YaHei" w:hAnsi="Microsoft YaHei"/>
                <w:b/>
                <w:bCs/>
                <w:sz w:val="22"/>
                <w:szCs w:val="22"/>
              </w:rPr>
              <w:t xml:space="preserve">β 上限</w:t>
            </w:r>
          </w:p>
        </w:tc>
        <w:tc>
          <w:tcPr>
            <w:tcW w:type="dxa" w:w="3060"/>
            <w:tcBorders>
              <w:top w:val="single" w:color="AABCD0" w:sz="4"/>
              <w:left w:val="single" w:color="AABCD0" w:sz="4"/>
              <w:bottom w:val="single" w:color="AABCD0" w:sz="4"/>
              <w:right w:val="single" w:color="AABCD0" w:sz="4"/>
            </w:tcBorders>
            <w:shd w:fill="D9E2F3" w:val="clear"/>
            <w:tcMar>
              <w:top w:type="dxa" w:w="80"/>
              <w:left w:type="dxa" w:w="120"/>
              <w:bottom w:type="dxa" w:w="80"/>
              <w:right w:type="dxa" w:w="120"/>
            </w:tcMar>
          </w:tcPr>
          <w:p>
            <w:r>
              <w:rPr>
                <w:rFonts w:ascii="Microsoft YaHei" w:cs="Microsoft YaHei" w:eastAsia="Microsoft YaHei" w:hAnsi="Microsoft YaHei"/>
                <w:b/>
                <w:bCs/>
                <w:sz w:val="22"/>
                <w:szCs w:val="22"/>
              </w:rPr>
              <w:t xml:space="preserve">参考文献</w:t>
            </w:r>
          </w:p>
        </w:tc>
      </w:tr>
      <w:tr>
        <w:tc>
          <w:tcPr>
            <w:tcW w:type="dxa" w:w="39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引力透镜调查（DES、HSC）</w:t>
            </w:r>
          </w:p>
        </w:tc>
        <w:tc>
          <w:tcPr>
            <w:tcW w:type="dxa" w:w="24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β ≲ 0.3</w:t>
            </w:r>
          </w:p>
        </w:tc>
        <w:tc>
          <w:tcPr>
            <w:tcW w:type="dxa" w:w="306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Khoury &amp; Weltman (2004)</w:t>
            </w:r>
          </w:p>
        </w:tc>
      </w:tr>
      <w:tr>
        <w:tc>
          <w:tcPr>
            <w:tcW w:type="dxa" w:w="39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Euclid灵敏度预测</w:t>
            </w:r>
          </w:p>
        </w:tc>
        <w:tc>
          <w:tcPr>
            <w:tcW w:type="dxa" w:w="24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β ≲ 0.05</w:t>
            </w:r>
          </w:p>
        </w:tc>
        <w:tc>
          <w:tcPr>
            <w:tcW w:type="dxa" w:w="306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Pisani et al. (2019)</w:t>
            </w:r>
          </w:p>
        </w:tc>
      </w:tr>
      <w:tr>
        <w:tc>
          <w:tcPr>
            <w:tcW w:type="dxa" w:w="39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太阳系测试（屏蔽）</w:t>
            </w:r>
          </w:p>
        </w:tc>
        <w:tc>
          <w:tcPr>
            <w:tcW w:type="dxa" w:w="24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β ≲ 0.1</w:t>
            </w:r>
          </w:p>
        </w:tc>
        <w:tc>
          <w:tcPr>
            <w:tcW w:type="dxa" w:w="306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Hinterbichler &amp; Khoury (2010)</w:t>
            </w:r>
          </w:p>
        </w:tc>
      </w:tr>
    </w:tbl>
    <w:p>
      <w:pPr>
        <w:spacing w:after="0" w:before="0"/>
      </w:pPr>
      <w:r>
        <w:t xml:space="preserve"/>
      </w:r>
    </w:p>
    <w:p>
      <w:pPr>
        <w:spacing w:after="80" w:before="60"/>
      </w:pPr>
      <w:r>
        <w:rPr>
          <w:rFonts w:ascii="Microsoft YaHei" w:cs="Microsoft YaHei" w:eastAsia="Microsoft YaHei" w:hAnsi="Microsoft YaHei"/>
          <w:sz w:val="24"/>
          <w:szCs w:val="24"/>
        </w:rPr>
        <w:t xml:space="preserve">CGEM在受约束的参数空间 β ∈ [0, 0.3] 内运作。</w:t>
      </w:r>
    </w:p>
    <w:p>
      <w:pPr>
        <w:spacing w:after="0" w:before="0"/>
      </w:pPr>
      <w:r>
        <w:t xml:space="preserve"/>
      </w:r>
    </w:p>
    <w:p>
      <w:pPr>
        <w:pStyle w:val="Heading2"/>
        <w:spacing w:after="80" w:before="280"/>
      </w:pPr>
      <w:r>
        <w:rPr>
          <w:rFonts w:ascii="Microsoft YaHei" w:cs="Microsoft YaHei" w:eastAsia="Microsoft YaHei" w:hAnsi="Microsoft YaHei"/>
          <w:b/>
          <w:bCs/>
          <w:color w:val="2E5596"/>
          <w:sz w:val="26"/>
          <w:szCs w:val="26"/>
        </w:rPr>
        <w:t xml:space="preserve">4.5 球形空洞的解析估算</w:t>
      </w:r>
    </w:p>
    <w:p>
      <w:pPr>
        <w:spacing w:after="80" w:before="60"/>
      </w:pPr>
      <w:r>
        <w:rPr>
          <w:rFonts w:ascii="Microsoft YaHei" w:cs="Microsoft YaHei" w:eastAsia="Microsoft YaHei" w:hAnsi="Microsoft YaHei"/>
          <w:sz w:val="24"/>
          <w:szCs w:val="24"/>
        </w:rPr>
        <w:t xml:space="preserve">对于具有常数密度对比 δ₀ &lt; 0 的球形空洞，在中心区域内场趋近常数特解：</w:t>
      </w:r>
    </w:p>
    <w:p>
      <w:pPr>
        <w:spacing w:after="0" w:before="0"/>
      </w:pPr>
      <w:r>
        <w:t xml:space="preserve"/>
      </w:r>
    </w:p>
    <w:p>
      <w:pPr>
        <w:spacing w:after="100" w:before="100"/>
        <w:jc w:val="center"/>
      </w:pPr>
      <w:r>
        <w:rPr>
          <w:rFonts w:ascii="Courier New" w:cs="Courier New" w:eastAsia="Courier New" w:hAnsi="Courier New"/>
          <w:sz w:val="22"/>
          <w:szCs w:val="22"/>
        </w:rPr>
        <w:t xml:space="preserve">φ̃(0) ≈ −β̃ δ₀ λ̃²</w:t>
      </w:r>
    </w:p>
    <w:p>
      <w:pPr>
        <w:spacing w:after="0" w:before="0"/>
      </w:pPr>
      <w:r>
        <w:t xml:space="preserve"/>
      </w:r>
    </w:p>
    <w:p>
      <w:pPr>
        <w:spacing w:after="80" w:before="60"/>
      </w:pPr>
      <w:r>
        <w:rPr>
          <w:rFonts w:ascii="Microsoft YaHei" w:cs="Microsoft YaHei" w:eastAsia="Microsoft YaHei" w:hAnsi="Microsoft YaHei"/>
          <w:sz w:val="24"/>
          <w:szCs w:val="24"/>
        </w:rPr>
        <w:t xml:space="preserve">对于 δ₀ ≈ −0.3 和 λ̃ ~ 1：φ̃(0) ~ 0.3β̃。引力耦合修正导致：</w:t>
      </w:r>
    </w:p>
    <w:p>
      <w:pPr>
        <w:spacing w:after="0" w:before="0"/>
      </w:pPr>
      <w:r>
        <w:t xml:space="preserve"/>
      </w:r>
    </w:p>
    <w:p>
      <w:pPr>
        <w:spacing w:after="100" w:before="100"/>
        <w:jc w:val="center"/>
      </w:pPr>
      <w:r>
        <w:rPr>
          <w:rFonts w:ascii="Courier New" w:cs="Courier New" w:eastAsia="Courier New" w:hAnsi="Courier New"/>
          <w:sz w:val="22"/>
          <w:szCs w:val="22"/>
        </w:rPr>
        <w:t xml:space="preserve">ΔH/H ≈ β² |δ₀|</w:t>
      </w:r>
    </w:p>
    <w:p>
      <w:pPr>
        <w:spacing w:after="0" w:before="0"/>
      </w:pPr>
      <w:r>
        <w:t xml:space="preserve"/>
      </w:r>
    </w:p>
    <w:p>
      <w:pPr>
        <w:spacing w:after="80" w:before="60"/>
      </w:pPr>
      <w:r>
        <w:rPr>
          <w:rFonts w:ascii="Microsoft YaHei" w:cs="Microsoft YaHei" w:eastAsia="Microsoft YaHei" w:hAnsi="Microsoft YaHei"/>
          <w:sz w:val="24"/>
          <w:szCs w:val="24"/>
        </w:rPr>
        <w:t xml:space="preserve">对于典型内容：</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AABCD0" w:sz="4"/>
              <w:left w:val="single" w:color="AABCD0" w:sz="4"/>
              <w:bottom w:val="single" w:color="AABCD0" w:sz="4"/>
              <w:right w:val="single" w:color="AABCD0" w:sz="4"/>
            </w:tcBorders>
            <w:shd w:fill="D9E2F3" w:val="clear"/>
            <w:tcMar>
              <w:top w:type="dxa" w:w="80"/>
              <w:left w:type="dxa" w:w="120"/>
              <w:bottom w:type="dxa" w:w="80"/>
              <w:right w:type="dxa" w:w="120"/>
            </w:tcMar>
          </w:tcPr>
          <w:p>
            <w:r>
              <w:rPr>
                <w:rFonts w:ascii="Microsoft YaHei" w:cs="Microsoft YaHei" w:eastAsia="Microsoft YaHei" w:hAnsi="Microsoft YaHei"/>
                <w:b/>
                <w:bCs/>
                <w:sz w:val="22"/>
                <w:szCs w:val="22"/>
              </w:rPr>
              <w:t xml:space="preserve">耦合强度 β</w:t>
            </w:r>
          </w:p>
        </w:tc>
        <w:tc>
          <w:tcPr>
            <w:tcW w:type="dxa" w:w="2400"/>
            <w:tcBorders>
              <w:top w:val="single" w:color="AABCD0" w:sz="4"/>
              <w:left w:val="single" w:color="AABCD0" w:sz="4"/>
              <w:bottom w:val="single" w:color="AABCD0" w:sz="4"/>
              <w:right w:val="single" w:color="AABCD0" w:sz="4"/>
            </w:tcBorders>
            <w:shd w:fill="D9E2F3" w:val="clear"/>
            <w:tcMar>
              <w:top w:type="dxa" w:w="80"/>
              <w:left w:type="dxa" w:w="120"/>
              <w:bottom w:type="dxa" w:w="80"/>
              <w:right w:type="dxa" w:w="120"/>
            </w:tcMar>
          </w:tcPr>
          <w:p>
            <w:r>
              <w:rPr>
                <w:rFonts w:ascii="Microsoft YaHei" w:cs="Microsoft YaHei" w:eastAsia="Microsoft YaHei" w:hAnsi="Microsoft YaHei"/>
                <w:b/>
                <w:bCs/>
                <w:sz w:val="22"/>
                <w:szCs w:val="22"/>
              </w:rPr>
              <w:t xml:space="preserve">密度对比 |δ|</w:t>
            </w:r>
          </w:p>
        </w:tc>
        <w:tc>
          <w:tcPr>
            <w:tcW w:type="dxa" w:w="2400"/>
            <w:tcBorders>
              <w:top w:val="single" w:color="AABCD0" w:sz="4"/>
              <w:left w:val="single" w:color="AABCD0" w:sz="4"/>
              <w:bottom w:val="single" w:color="AABCD0" w:sz="4"/>
              <w:right w:val="single" w:color="AABCD0" w:sz="4"/>
            </w:tcBorders>
            <w:shd w:fill="D9E2F3" w:val="clear"/>
            <w:tcMar>
              <w:top w:type="dxa" w:w="80"/>
              <w:left w:type="dxa" w:w="120"/>
              <w:bottom w:type="dxa" w:w="80"/>
              <w:right w:type="dxa" w:w="120"/>
            </w:tcMar>
          </w:tcPr>
          <w:p>
            <w:r>
              <w:rPr>
                <w:rFonts w:ascii="Microsoft YaHei" w:cs="Microsoft YaHei" w:eastAsia="Microsoft YaHei" w:hAnsi="Microsoft YaHei"/>
                <w:b/>
                <w:bCs/>
                <w:sz w:val="22"/>
                <w:szCs w:val="22"/>
              </w:rPr>
              <w:t xml:space="preserve">预测 ΔH/H</w:t>
            </w:r>
          </w:p>
        </w:tc>
        <w:tc>
          <w:tcPr>
            <w:tcW w:type="dxa" w:w="2360"/>
            <w:tcBorders>
              <w:top w:val="single" w:color="AABCD0" w:sz="4"/>
              <w:left w:val="single" w:color="AABCD0" w:sz="4"/>
              <w:bottom w:val="single" w:color="AABCD0" w:sz="4"/>
              <w:right w:val="single" w:color="AABCD0" w:sz="4"/>
            </w:tcBorders>
            <w:shd w:fill="D9E2F3" w:val="clear"/>
            <w:tcMar>
              <w:top w:type="dxa" w:w="80"/>
              <w:left w:type="dxa" w:w="120"/>
              <w:bottom w:type="dxa" w:w="80"/>
              <w:right w:type="dxa" w:w="120"/>
            </w:tcMar>
          </w:tcPr>
          <w:p>
            <w:r>
              <w:rPr>
                <w:rFonts w:ascii="Microsoft YaHei" w:cs="Microsoft YaHei" w:eastAsia="Microsoft YaHei" w:hAnsi="Microsoft YaHei"/>
                <w:b/>
                <w:bCs/>
                <w:sz w:val="22"/>
                <w:szCs w:val="22"/>
              </w:rPr>
              <w:t xml:space="preserve">物理制度</w:t>
            </w:r>
          </w:p>
        </w:tc>
      </w:tr>
      <w:tr>
        <w:tc>
          <w:tcPr>
            <w:tcW w:type="dxa" w:w="22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β = 0.1</w:t>
            </w:r>
          </w:p>
        </w:tc>
        <w:tc>
          <w:tcPr>
            <w:tcW w:type="dxa" w:w="24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|δ| = 0.3</w:t>
            </w:r>
          </w:p>
        </w:tc>
        <w:tc>
          <w:tcPr>
            <w:tcW w:type="dxa" w:w="24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ΔH/H ~ 0.3%</w:t>
            </w:r>
          </w:p>
        </w:tc>
        <w:tc>
          <w:tcPr>
            <w:tcW w:type="dxa" w:w="236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Euclid引力透镜可达</w:t>
            </w:r>
          </w:p>
        </w:tc>
      </w:tr>
      <w:tr>
        <w:tc>
          <w:tcPr>
            <w:tcW w:type="dxa" w:w="22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β = 0.2</w:t>
            </w:r>
          </w:p>
        </w:tc>
        <w:tc>
          <w:tcPr>
            <w:tcW w:type="dxa" w:w="24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|δ| = 0.3</w:t>
            </w:r>
          </w:p>
        </w:tc>
        <w:tc>
          <w:tcPr>
            <w:tcW w:type="dxa" w:w="24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ΔH/H ~ 1.2%</w:t>
            </w:r>
          </w:p>
        </w:tc>
        <w:tc>
          <w:tcPr>
            <w:tcW w:type="dxa" w:w="236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接近探测閘值</w:t>
            </w:r>
          </w:p>
        </w:tc>
      </w:tr>
      <w:tr>
        <w:tc>
          <w:tcPr>
            <w:tcW w:type="dxa" w:w="22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β = 0.3</w:t>
            </w:r>
          </w:p>
        </w:tc>
        <w:tc>
          <w:tcPr>
            <w:tcW w:type="dxa" w:w="24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|δ| = 0.8（空洞内部）</w:t>
            </w:r>
          </w:p>
        </w:tc>
        <w:tc>
          <w:tcPr>
            <w:tcW w:type="dxa" w:w="24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ΔH/H ~ 7.2%</w:t>
            </w:r>
          </w:p>
        </w:tc>
        <w:tc>
          <w:tcPr>
            <w:tcW w:type="dxa" w:w="236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上限估算</w:t>
            </w:r>
          </w:p>
        </w:tc>
      </w:tr>
    </w:tbl>
    <w:p>
      <w:pPr>
        <w:spacing w:after="0" w:before="0"/>
      </w:pPr>
      <w:r>
        <w:t xml:space="preserve"/>
      </w:r>
    </w:p>
    <w:p>
      <w:pPr>
        <w:spacing w:after="80" w:before="60"/>
      </w:pPr>
      <w:r>
        <w:rPr>
          <w:rFonts w:ascii="Microsoft YaHei" w:cs="Microsoft YaHei" w:eastAsia="Microsoft YaHei" w:hAnsi="Microsoft YaHei"/>
          <w:sz w:val="24"/>
          <w:szCs w:val="24"/>
        </w:rPr>
        <w:t xml:space="preserve">这些估算表明 CGEM 预测了对局部膨胀方差的真实结构性贡献。该推导消除了对现象学比例常数α的需求——映射完全由具有现有观测约束的单一参数β确定。</w:t>
      </w:r>
    </w:p>
    <w:p>
      <w:pPr>
        <w:pStyle w:val="Heading1"/>
        <w:spacing w:after="120" w:before="360"/>
      </w:pPr>
      <w:r>
        <w:rPr>
          <w:rFonts w:ascii="Microsoft YaHei" w:cs="Microsoft YaHei" w:eastAsia="Microsoft YaHei" w:hAnsi="Microsoft YaHei"/>
          <w:b/>
          <w:bCs/>
          <w:color w:val="1F3864"/>
          <w:sz w:val="32"/>
          <w:szCs w:val="32"/>
        </w:rPr>
        <w:t xml:space="preserve">5.  有效制度</w:t>
      </w:r>
    </w:p>
    <w:p>
      <w:pPr>
        <w:spacing w:after="80" w:before="60"/>
      </w:pPr>
      <w:r>
        <w:rPr>
          <w:rFonts w:ascii="Microsoft YaHei" w:cs="Microsoft YaHei" w:eastAsia="Microsoft YaHei" w:hAnsi="Microsoft YaHei"/>
          <w:sz w:val="24"/>
          <w:szCs w:val="24"/>
        </w:rPr>
        <w:t xml:space="preserve">本文解析表达式均假设线性扰动理论：|δ| &lt;&lt; 1。然而最相关的天体物理学环境有很大一部分不属于这个制度（空洞内部δ ≈ −0.8—准非线性；星系团核心δ &gt;&gt; 1—完全非线性）。</w:t>
      </w:r>
    </w:p>
    <w:p>
      <w:pPr>
        <w:spacing w:after="0" w:before="0"/>
      </w:pPr>
      <w:r>
        <w:t xml:space="preserve"/>
      </w:r>
    </w:p>
    <w:p>
      <w:pPr>
        <w:pBdr>
          <w:top w:val="single" w:color="2E5596" w:sz="6"/>
          <w:bottom w:val="single" w:color="2E5596" w:sz="6"/>
        </w:pBdr>
        <w:spacing w:after="80" w:before="80"/>
        <w:ind w:left="360" w:right="360"/>
      </w:pPr>
      <w:r>
        <w:rPr>
          <w:rFonts w:ascii="Microsoft YaHei" w:cs="Microsoft YaHei" w:eastAsia="Microsoft YaHei" w:hAnsi="Microsoft YaHei"/>
          <w:i/>
          <w:iCs/>
          <w:sz w:val="22"/>
          <w:szCs w:val="22"/>
        </w:rPr>
        <w:t xml:space="preserve">定量预测需要使用空洞剩数模型和N体模拟进行校准。第4.5节和第7节中的解析估算为数量级参考。精确预测需要数字方法，参考Hamaus et al. (2015)的空洞剩数形式主义。</w:t>
      </w:r>
    </w:p>
    <w:p>
      <w:pPr>
        <w:pStyle w:val="Heading1"/>
        <w:spacing w:after="120" w:before="360"/>
      </w:pPr>
      <w:r>
        <w:rPr>
          <w:rFonts w:ascii="Microsoft YaHei" w:cs="Microsoft YaHei" w:eastAsia="Microsoft YaHei" w:hAnsi="Microsoft YaHei"/>
          <w:b/>
          <w:bCs/>
          <w:color w:val="1F3864"/>
          <w:sz w:val="32"/>
          <w:szCs w:val="32"/>
        </w:rPr>
        <w:t xml:space="preserve">6.  零假设 — ΛCDM基层线</w:t>
      </w:r>
    </w:p>
    <w:p>
      <w:pPr>
        <w:spacing w:after="80" w:before="60"/>
      </w:pPr>
      <w:r>
        <w:rPr>
          <w:rFonts w:ascii="Microsoft YaHei" w:cs="Microsoft YaHei" w:eastAsia="Microsoft YaHei" w:hAnsi="Microsoft YaHei"/>
          <w:sz w:val="24"/>
          <w:szCs w:val="24"/>
        </w:rPr>
        <w:t xml:space="preserve">在标准ΛCDM下：G_eff = G（常数）；空洞膨胀遵循线性扰动预测；奇动速度遵循标准淥入模型。CGEM对以上每个基层线预测具体、定量的偏差。任何预测的零结果将直接约束 β。</w:t>
      </w:r>
    </w:p>
    <w:p>
      <w:pPr>
        <w:pStyle w:val="Heading1"/>
        <w:spacing w:after="120" w:before="360"/>
      </w:pPr>
      <w:r>
        <w:rPr>
          <w:rFonts w:ascii="Microsoft YaHei" w:cs="Microsoft YaHei" w:eastAsia="Microsoft YaHei" w:hAnsi="Microsoft YaHei"/>
          <w:b/>
          <w:bCs/>
          <w:color w:val="1F3864"/>
          <w:sz w:val="32"/>
          <w:szCs w:val="32"/>
        </w:rPr>
        <w:t xml:space="preserve">7.  可检验预测</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400"/>
        <w:gridCol w:w="2160"/>
      </w:tblGrid>
      <w:tr>
        <w:tc>
          <w:tcPr>
            <w:tcW w:type="dxa" w:w="2800"/>
            <w:tcBorders>
              <w:top w:val="single" w:color="AABCD0" w:sz="4"/>
              <w:left w:val="single" w:color="AABCD0" w:sz="4"/>
              <w:bottom w:val="single" w:color="AABCD0" w:sz="4"/>
              <w:right w:val="single" w:color="AABCD0" w:sz="4"/>
            </w:tcBorders>
            <w:shd w:fill="D9E2F3" w:val="clear"/>
            <w:tcMar>
              <w:top w:type="dxa" w:w="80"/>
              <w:left w:type="dxa" w:w="120"/>
              <w:bottom w:type="dxa" w:w="80"/>
              <w:right w:type="dxa" w:w="120"/>
            </w:tcMar>
          </w:tcPr>
          <w:p>
            <w:r>
              <w:rPr>
                <w:rFonts w:ascii="Microsoft YaHei" w:cs="Microsoft YaHei" w:eastAsia="Microsoft YaHei" w:hAnsi="Microsoft YaHei"/>
                <w:b/>
                <w:bCs/>
                <w:sz w:val="22"/>
                <w:szCs w:val="22"/>
              </w:rPr>
              <w:t xml:space="preserve">预测</w:t>
            </w:r>
          </w:p>
        </w:tc>
        <w:tc>
          <w:tcPr>
            <w:tcW w:type="dxa" w:w="2000"/>
            <w:tcBorders>
              <w:top w:val="single" w:color="AABCD0" w:sz="4"/>
              <w:left w:val="single" w:color="AABCD0" w:sz="4"/>
              <w:bottom w:val="single" w:color="AABCD0" w:sz="4"/>
              <w:right w:val="single" w:color="AABCD0" w:sz="4"/>
            </w:tcBorders>
            <w:shd w:fill="D9E2F3" w:val="clear"/>
            <w:tcMar>
              <w:top w:type="dxa" w:w="80"/>
              <w:left w:type="dxa" w:w="120"/>
              <w:bottom w:type="dxa" w:w="80"/>
              <w:right w:type="dxa" w:w="120"/>
            </w:tcMar>
          </w:tcPr>
          <w:p>
            <w:r>
              <w:rPr>
                <w:rFonts w:ascii="Microsoft YaHei" w:cs="Microsoft YaHei" w:eastAsia="Microsoft YaHei" w:hAnsi="Microsoft YaHei"/>
                <w:b/>
                <w:bCs/>
                <w:sz w:val="22"/>
                <w:szCs w:val="22"/>
              </w:rPr>
              <w:t xml:space="preserve">可观测量</w:t>
            </w:r>
          </w:p>
        </w:tc>
        <w:tc>
          <w:tcPr>
            <w:tcW w:type="dxa" w:w="2400"/>
            <w:tcBorders>
              <w:top w:val="single" w:color="AABCD0" w:sz="4"/>
              <w:left w:val="single" w:color="AABCD0" w:sz="4"/>
              <w:bottom w:val="single" w:color="AABCD0" w:sz="4"/>
              <w:right w:val="single" w:color="AABCD0" w:sz="4"/>
            </w:tcBorders>
            <w:shd w:fill="D9E2F3" w:val="clear"/>
            <w:tcMar>
              <w:top w:type="dxa" w:w="80"/>
              <w:left w:type="dxa" w:w="120"/>
              <w:bottom w:type="dxa" w:w="80"/>
              <w:right w:type="dxa" w:w="120"/>
            </w:tcMar>
          </w:tcPr>
          <w:p>
            <w:r>
              <w:rPr>
                <w:rFonts w:ascii="Microsoft YaHei" w:cs="Microsoft YaHei" w:eastAsia="Microsoft YaHei" w:hAnsi="Microsoft YaHei"/>
                <w:b/>
                <w:bCs/>
                <w:sz w:val="22"/>
                <w:szCs w:val="22"/>
              </w:rPr>
              <w:t xml:space="preserve">量级</w:t>
            </w:r>
          </w:p>
        </w:tc>
        <w:tc>
          <w:tcPr>
            <w:tcW w:type="dxa" w:w="2160"/>
            <w:tcBorders>
              <w:top w:val="single" w:color="AABCD0" w:sz="4"/>
              <w:left w:val="single" w:color="AABCD0" w:sz="4"/>
              <w:bottom w:val="single" w:color="AABCD0" w:sz="4"/>
              <w:right w:val="single" w:color="AABCD0" w:sz="4"/>
            </w:tcBorders>
            <w:shd w:fill="D9E2F3" w:val="clear"/>
            <w:tcMar>
              <w:top w:type="dxa" w:w="80"/>
              <w:left w:type="dxa" w:w="120"/>
              <w:bottom w:type="dxa" w:w="80"/>
              <w:right w:type="dxa" w:w="120"/>
            </w:tcMar>
          </w:tcPr>
          <w:p>
            <w:r>
              <w:rPr>
                <w:rFonts w:ascii="Microsoft YaHei" w:cs="Microsoft YaHei" w:eastAsia="Microsoft YaHei" w:hAnsi="Microsoft YaHei"/>
                <w:b/>
                <w:bCs/>
                <w:sz w:val="22"/>
                <w:szCs w:val="22"/>
              </w:rPr>
              <w:t xml:space="preserve">主要付器</w:t>
            </w:r>
          </w:p>
        </w:tc>
      </w:tr>
      <w:tr>
        <w:tc>
          <w:tcPr>
            <w:tcW w:type="dxa" w:w="28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1 — 空洞膨胀偏差</w:t>
            </w:r>
          </w:p>
        </w:tc>
        <w:tc>
          <w:tcPr>
            <w:tcW w:type="dxa" w:w="20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ΔH_空洞</w:t>
            </w:r>
          </w:p>
        </w:tc>
        <w:tc>
          <w:tcPr>
            <w:tcW w:type="dxa" w:w="24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0.01–0.3 km/s/Mpc</w:t>
            </w:r>
          </w:p>
        </w:tc>
        <w:tc>
          <w:tcPr>
            <w:tcW w:type="dxa" w:w="216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DESI、Euclid</w:t>
            </w:r>
          </w:p>
        </w:tc>
      </w:tr>
      <w:tr>
        <w:tc>
          <w:tcPr>
            <w:tcW w:type="dxa" w:w="28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2 — 奇动速度偏移</w:t>
            </w:r>
          </w:p>
        </w:tc>
        <w:tc>
          <w:tcPr>
            <w:tcW w:type="dxa" w:w="20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Δv</w:t>
            </w:r>
          </w:p>
        </w:tc>
        <w:tc>
          <w:tcPr>
            <w:tcW w:type="dxa" w:w="24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~1 km/s</w:t>
            </w:r>
          </w:p>
        </w:tc>
        <w:tc>
          <w:tcPr>
            <w:tcW w:type="dxa" w:w="216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Cosmicflows-4、LSST</w:t>
            </w:r>
          </w:p>
        </w:tc>
      </w:tr>
      <w:tr>
        <w:tc>
          <w:tcPr>
            <w:tcW w:type="dxa" w:w="28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3 — 有效引力变化</w:t>
            </w:r>
          </w:p>
        </w:tc>
        <w:tc>
          <w:tcPr>
            <w:tcW w:type="dxa" w:w="20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G_eff 比値</w:t>
            </w:r>
          </w:p>
        </w:tc>
        <w:tc>
          <w:tcPr>
            <w:tcW w:type="dxa" w:w="24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1 + 2β²（β=0.1时~2%）</w:t>
            </w:r>
          </w:p>
        </w:tc>
        <w:tc>
          <w:tcPr>
            <w:tcW w:type="dxa" w:w="216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Euclid引力透镜</w:t>
            </w:r>
          </w:p>
        </w:tc>
      </w:tr>
    </w:tbl>
    <w:p>
      <w:pPr>
        <w:spacing w:after="0" w:before="0"/>
      </w:pPr>
      <w:r>
        <w:t xml:space="preserve"/>
      </w:r>
    </w:p>
    <w:p>
      <w:pPr>
        <w:pStyle w:val="Heading2"/>
        <w:spacing w:after="80" w:before="280"/>
      </w:pPr>
      <w:r>
        <w:rPr>
          <w:rFonts w:ascii="Microsoft YaHei" w:cs="Microsoft YaHei" w:eastAsia="Microsoft YaHei" w:hAnsi="Microsoft YaHei"/>
          <w:b/>
          <w:bCs/>
          <w:color w:val="2E5596"/>
          <w:sz w:val="26"/>
          <w:szCs w:val="26"/>
        </w:rPr>
        <w:t xml:space="preserve">预测3 — 有效引力变化（主要检验）</w:t>
      </w:r>
    </w:p>
    <w:p>
      <w:pPr>
        <w:spacing w:after="80" w:before="60"/>
      </w:pPr>
      <w:r>
        <w:rPr>
          <w:rFonts w:ascii="Microsoft YaHei" w:cs="Microsoft YaHei" w:eastAsia="Microsoft YaHei" w:hAnsi="Microsoft YaHei"/>
          <w:sz w:val="24"/>
          <w:szCs w:val="24"/>
        </w:rPr>
        <w:t xml:space="preserve">标量场修正产生空间变化的有效引力常数：G_eff(空洞) / G_eff(密集) = 1 + 2β²。对于 β ~ 0.1，这在空洞内部与星系团核心之间预测大约 2% 的有效引力耦合变化，超出标准物质分布的预测。这是最强且最可证伪的预测，将由Euclid弱影理调查明确检验。预测3与第4.5节的解析估算完全一致：两者都表达相同的底层物理（ΔH/H ~ β²|δ|）。</w:t>
      </w:r>
    </w:p>
    <w:p>
      <w:pPr>
        <w:pStyle w:val="Heading1"/>
        <w:spacing w:after="120" w:before="360"/>
      </w:pPr>
      <w:r>
        <w:rPr>
          <w:rFonts w:ascii="Microsoft YaHei" w:cs="Microsoft YaHei" w:eastAsia="Microsoft YaHei" w:hAnsi="Microsoft YaHei"/>
          <w:b/>
          <w:bCs/>
          <w:color w:val="1F3864"/>
          <w:sz w:val="32"/>
          <w:szCs w:val="32"/>
        </w:rPr>
        <w:t xml:space="preserve">8.  研究意义</w:t>
      </w:r>
    </w:p>
    <w:p>
      <w:pPr>
        <w:spacing w:after="0" w:before="0"/>
      </w:pPr>
      <w:r>
        <w:t xml:space="preserve"/>
      </w:r>
    </w:p>
    <w:p>
      <w:pPr>
        <w:pBdr>
          <w:top w:val="single" w:color="2E5596" w:sz="6"/>
          <w:bottom w:val="single" w:color="2E5596" w:sz="6"/>
        </w:pBdr>
        <w:spacing w:after="80" w:before="80"/>
        <w:ind w:left="360" w:right="360"/>
      </w:pPr>
      <w:r>
        <w:rPr>
          <w:rFonts w:ascii="Microsoft YaHei" w:cs="Microsoft YaHei" w:eastAsia="Microsoft YaHei" w:hAnsi="Microsoft YaHei"/>
          <w:i/>
          <w:iCs/>
          <w:sz w:val="22"/>
          <w:szCs w:val="22"/>
        </w:rPr>
        <w:t xml:space="preserve">CGEM提供了一个结构性测试，检验大尺度宇宙非均匀性是否通过标量场相互作用在膨胀动力学和引力耦合中产生可测量的偏差。</w:t>
      </w:r>
    </w:p>
    <w:p>
      <w:pPr>
        <w:spacing w:after="0" w:before="0"/>
      </w:pPr>
      <w:r>
        <w:t xml:space="preserve"/>
      </w:r>
    </w:p>
    <w:p>
      <w:pPr>
        <w:pStyle w:val="ListParagraph"/>
        <w:numPr>
          <w:ilvl w:val="0"/>
          <w:numId w:val="2"/>
        </w:numPr>
        <w:spacing w:after="40" w:before="40"/>
      </w:pPr>
      <w:r>
        <w:rPr>
          <w:rFonts w:ascii="Microsoft YaHei" w:cs="Microsoft YaHei" w:eastAsia="Microsoft YaHei" w:hAnsi="Microsoft YaHei"/>
          <w:sz w:val="24"/>
          <w:szCs w:val="24"/>
        </w:rPr>
        <w:t xml:space="preserve">约束标量张量引力模型——对 β 的直接观测约束</w:t>
      </w:r>
    </w:p>
    <w:p>
      <w:pPr>
        <w:pStyle w:val="ListParagraph"/>
        <w:numPr>
          <w:ilvl w:val="0"/>
          <w:numId w:val="2"/>
        </w:numPr>
        <w:spacing w:after="40" w:before="40"/>
      </w:pPr>
      <w:r>
        <w:rPr>
          <w:rFonts w:ascii="Microsoft YaHei" w:cs="Microsoft YaHei" w:eastAsia="Microsoft YaHei" w:hAnsi="Microsoft YaHei"/>
          <w:sz w:val="24"/>
          <w:szCs w:val="24"/>
        </w:rPr>
        <w:t xml:space="preserve">通过膨胀动力学的空间变化探测暗能量行为，与全局膨胀历史测量互补</w:t>
      </w:r>
    </w:p>
    <w:p>
      <w:pPr>
        <w:pStyle w:val="ListParagraph"/>
        <w:numPr>
          <w:ilvl w:val="0"/>
          <w:numId w:val="2"/>
        </w:numPr>
        <w:spacing w:after="40" w:before="40"/>
      </w:pPr>
      <w:r>
        <w:rPr>
          <w:rFonts w:ascii="Microsoft YaHei" w:cs="Microsoft YaHei" w:eastAsia="Microsoft YaHei" w:hAnsi="Microsoft YaHei"/>
          <w:sz w:val="24"/>
          <w:szCs w:val="24"/>
        </w:rPr>
        <w:t xml:space="preserve">将空洞动力学与修正引力效应联系</w:t>
      </w:r>
    </w:p>
    <w:p>
      <w:pPr>
        <w:pStyle w:val="ListParagraph"/>
        <w:numPr>
          <w:ilvl w:val="0"/>
          <w:numId w:val="2"/>
        </w:numPr>
        <w:spacing w:after="40" w:before="40"/>
      </w:pPr>
      <w:r>
        <w:rPr>
          <w:rFonts w:ascii="Microsoft YaHei" w:cs="Microsoft YaHei" w:eastAsia="Microsoft YaHei" w:hAnsi="Microsoft YaHei"/>
          <w:sz w:val="24"/>
          <w:szCs w:val="24"/>
        </w:rPr>
        <w:t xml:space="preserve">即使零结果也提供有意义的约束</w:t>
      </w:r>
    </w:p>
    <w:p>
      <w:pPr>
        <w:pStyle w:val="ListParagraph"/>
        <w:numPr>
          <w:ilvl w:val="0"/>
          <w:numId w:val="2"/>
        </w:numPr>
        <w:spacing w:after="40" w:before="40"/>
      </w:pPr>
      <w:r>
        <w:rPr>
          <w:rFonts w:ascii="Microsoft YaHei" w:cs="Microsoft YaHei" w:eastAsia="Microsoft YaHei" w:hAnsi="Microsoft YaHei"/>
          <w:sz w:val="24"/>
          <w:szCs w:val="24"/>
        </w:rPr>
        <w:t xml:space="preserve">屏蔽场方程解决了先前版本的尺度发散问题</w:t>
      </w:r>
    </w:p>
    <w:p>
      <w:pPr>
        <w:pStyle w:val="Heading1"/>
        <w:spacing w:after="120" w:before="360"/>
      </w:pPr>
      <w:r>
        <w:rPr>
          <w:rFonts w:ascii="Microsoft YaHei" w:cs="Microsoft YaHei" w:eastAsia="Microsoft YaHei" w:hAnsi="Microsoft YaHei"/>
          <w:b/>
          <w:bCs/>
          <w:color w:val="1F3864"/>
          <w:sz w:val="32"/>
          <w:szCs w:val="32"/>
        </w:rPr>
        <w:t xml:space="preserve">9.  局限性</w:t>
      </w:r>
    </w:p>
    <w:p>
      <w:pPr>
        <w:spacing w:after="0" w:before="0"/>
      </w:pPr>
      <w:r>
        <w:t xml:space="preserve"/>
      </w:r>
    </w:p>
    <w:p>
      <w:pPr>
        <w:pStyle w:val="Heading3"/>
        <w:spacing w:after="60" w:before="200"/>
      </w:pPr>
      <w:r>
        <w:rPr>
          <w:rFonts w:ascii="Microsoft YaHei" w:cs="Microsoft YaHei" w:eastAsia="Microsoft YaHei" w:hAnsi="Microsoft YaHei"/>
          <w:b/>
          <w:bCs/>
          <w:color w:val="4A6FA5"/>
          <w:sz w:val="24"/>
          <w:szCs w:val="24"/>
        </w:rPr>
        <w:t xml:space="preserve">模型依赖性</w:t>
      </w:r>
    </w:p>
    <w:p>
      <w:pPr>
        <w:spacing w:after="80" w:before="60"/>
      </w:pPr>
      <w:r>
        <w:rPr>
          <w:rFonts w:ascii="Microsoft YaHei" w:cs="Microsoft YaHei" w:eastAsia="Microsoft YaHei" w:hAnsi="Microsoft YaHei"/>
          <w:sz w:val="24"/>
          <w:szCs w:val="24"/>
        </w:rPr>
        <w:t xml:space="preserve">主要耦合机制依赖于变色龙或对称子场。CGEM并非从第一原理出发导出新的场。</w:t>
      </w:r>
    </w:p>
    <w:p>
      <w:pPr>
        <w:spacing w:after="0" w:before="0"/>
      </w:pPr>
      <w:r>
        <w:t xml:space="preserve"/>
      </w:r>
    </w:p>
    <w:p>
      <w:pPr>
        <w:pStyle w:val="Heading3"/>
        <w:spacing w:after="60" w:before="200"/>
      </w:pPr>
      <w:r>
        <w:rPr>
          <w:rFonts w:ascii="Microsoft YaHei" w:cs="Microsoft YaHei" w:eastAsia="Microsoft YaHei" w:hAnsi="Microsoft YaHei"/>
          <w:b/>
          <w:bCs/>
          <w:color w:val="4A6FA5"/>
          <w:sz w:val="24"/>
          <w:szCs w:val="24"/>
        </w:rPr>
        <w:t xml:space="preserve">庆码问题</w:t>
      </w:r>
    </w:p>
    <w:p>
      <w:pPr>
        <w:spacing w:after="80" w:before="60"/>
      </w:pPr>
      <w:r>
        <w:rPr>
          <w:rFonts w:ascii="Microsoft YaHei" w:cs="Microsoft YaHei" w:eastAsia="Microsoft YaHei" w:hAnsi="Microsoft YaHei"/>
          <w:sz w:val="24"/>
          <w:szCs w:val="24"/>
        </w:rPr>
        <w:t xml:space="preserve">预测的可观测量与其他标量张量模型的特征重叠。</w:t>
      </w:r>
    </w:p>
    <w:p>
      <w:pPr>
        <w:spacing w:after="0" w:before="0"/>
      </w:pPr>
      <w:r>
        <w:t xml:space="preserve"/>
      </w:r>
    </w:p>
    <w:p>
      <w:pPr>
        <w:pStyle w:val="Heading3"/>
        <w:spacing w:after="60" w:before="200"/>
      </w:pPr>
      <w:r>
        <w:rPr>
          <w:rFonts w:ascii="Microsoft YaHei" w:cs="Microsoft YaHei" w:eastAsia="Microsoft YaHei" w:hAnsi="Microsoft YaHei"/>
          <w:b/>
          <w:bCs/>
          <w:color w:val="4A6FA5"/>
          <w:sz w:val="24"/>
          <w:szCs w:val="24"/>
        </w:rPr>
        <w:t xml:space="preserve">线性制度近似</w:t>
      </w:r>
    </w:p>
    <w:p>
      <w:pPr>
        <w:spacing w:after="80" w:before="60"/>
      </w:pPr>
      <w:r>
        <w:rPr>
          <w:rFonts w:ascii="Microsoft YaHei" w:cs="Microsoft YaHei" w:eastAsia="Microsoft YaHei" w:hAnsi="Microsoft YaHei"/>
          <w:sz w:val="24"/>
          <w:szCs w:val="24"/>
        </w:rPr>
        <w:t xml:space="preserve">大多数相关环境处于准非线性或非线性制度。精确建模需要数字模拟。</w:t>
      </w:r>
    </w:p>
    <w:p>
      <w:pPr>
        <w:spacing w:after="0" w:before="0"/>
      </w:pPr>
      <w:r>
        <w:t xml:space="preserve"/>
      </w:r>
    </w:p>
    <w:p>
      <w:pPr>
        <w:pStyle w:val="Heading3"/>
        <w:spacing w:after="60" w:before="200"/>
      </w:pPr>
      <w:r>
        <w:rPr>
          <w:rFonts w:ascii="Microsoft YaHei" w:cs="Microsoft YaHei" w:eastAsia="Microsoft YaHei" w:hAnsi="Microsoft YaHei"/>
          <w:b/>
          <w:bCs/>
          <w:color w:val="4A6FA5"/>
          <w:sz w:val="24"/>
          <w:szCs w:val="24"/>
        </w:rPr>
        <w:t xml:space="preserve">观测灵敏度</w:t>
      </w:r>
    </w:p>
    <w:p>
      <w:pPr>
        <w:spacing w:after="80" w:before="60"/>
      </w:pPr>
      <w:r>
        <w:rPr>
          <w:rFonts w:ascii="Microsoft YaHei" w:cs="Microsoft YaHei" w:eastAsia="Microsoft YaHei" w:hAnsi="Microsoft YaHei"/>
          <w:sz w:val="24"/>
          <w:szCs w:val="24"/>
        </w:rPr>
        <w:t xml:space="preserve">预测的偏差接近当前观测能力的极限。探测取决于调查精度、系统误差控制和统计方法。</w:t>
      </w:r>
    </w:p>
    <w:p>
      <w:pPr>
        <w:spacing w:after="0" w:before="0"/>
      </w:pPr>
      <w:r>
        <w:t xml:space="preserve"/>
      </w:r>
    </w:p>
    <w:p>
      <w:pPr>
        <w:pStyle w:val="Heading3"/>
        <w:spacing w:after="60" w:before="200"/>
      </w:pPr>
      <w:r>
        <w:rPr>
          <w:rFonts w:ascii="Microsoft YaHei" w:cs="Microsoft YaHei" w:eastAsia="Microsoft YaHei" w:hAnsi="Microsoft YaHei"/>
          <w:b/>
          <w:bCs/>
          <w:color w:val="4A6FA5"/>
          <w:sz w:val="24"/>
          <w:szCs w:val="24"/>
        </w:rPr>
        <w:t xml:space="preserve">对Hubble张力的贡献</w:t>
      </w:r>
    </w:p>
    <w:p>
      <w:pPr>
        <w:spacing w:after="80" w:before="60"/>
      </w:pPr>
      <w:r>
        <w:rPr>
          <w:rFonts w:ascii="Microsoft YaHei" w:cs="Microsoft YaHei" w:eastAsia="Microsoft YaHei" w:hAnsi="Microsoft YaHei"/>
          <w:sz w:val="24"/>
          <w:szCs w:val="24"/>
        </w:rPr>
        <w:t xml:space="preserve">对于允许耦合値 β ≲ 0.1，CGEM预测局部膨胀方差的贡献量级为δH/H ~ 0.3%，低于Hubble张力全量（~5%）。即使所有预测均为零结果，CGEM仍为标量张量理论提供了强约束（β ≤ 0.05）。</w:t>
      </w:r>
    </w:p>
    <w:p>
      <w:pPr>
        <w:spacing w:after="0" w:before="0"/>
      </w:pPr>
      <w:r>
        <w:t xml:space="preserve"/>
      </w:r>
    </w:p>
    <w:p>
      <w:pPr>
        <w:pStyle w:val="Heading3"/>
        <w:spacing w:after="60" w:before="200"/>
      </w:pPr>
      <w:r>
        <w:rPr>
          <w:rFonts w:ascii="Microsoft YaHei" w:cs="Microsoft YaHei" w:eastAsia="Microsoft YaHei" w:hAnsi="Microsoft YaHei"/>
          <w:b/>
          <w:bCs/>
          <w:color w:val="4A6FA5"/>
          <w:sz w:val="24"/>
          <w:szCs w:val="24"/>
        </w:rPr>
        <w:t xml:space="preserve">无局部适用性</w:t>
      </w:r>
    </w:p>
    <w:p>
      <w:pPr>
        <w:spacing w:after="80" w:before="60"/>
      </w:pPr>
      <w:r>
        <w:rPr>
          <w:rFonts w:ascii="Microsoft YaHei" w:cs="Microsoft YaHei" w:eastAsia="Microsoft YaHei" w:hAnsi="Microsoft YaHei"/>
          <w:sz w:val="24"/>
          <w:szCs w:val="24"/>
        </w:rPr>
        <w:t xml:space="preserve">CGEM明确在宇宙学（Mpc）尺度上运作，不暗示任何能量提取或局部工程应用。</w:t>
      </w:r>
    </w:p>
    <w:p>
      <w:pPr>
        <w:pStyle w:val="Heading1"/>
        <w:spacing w:after="120" w:before="360"/>
      </w:pPr>
      <w:r>
        <w:rPr>
          <w:rFonts w:ascii="Microsoft YaHei" w:cs="Microsoft YaHei" w:eastAsia="Microsoft YaHei" w:hAnsi="Microsoft YaHei"/>
          <w:b/>
          <w:bCs/>
          <w:color w:val="1F3864"/>
          <w:sz w:val="32"/>
          <w:szCs w:val="32"/>
        </w:rPr>
        <w:t xml:space="preserve">10.  启示</w:t>
      </w:r>
    </w:p>
    <w:p>
      <w:pPr>
        <w:spacing w:after="0" w:before="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2560"/>
      </w:tblGrid>
      <w:tr>
        <w:tc>
          <w:tcPr>
            <w:tcW w:type="dxa" w:w="2800"/>
            <w:tcBorders>
              <w:top w:val="single" w:color="AABCD0" w:sz="4"/>
              <w:left w:val="single" w:color="AABCD0" w:sz="4"/>
              <w:bottom w:val="single" w:color="AABCD0" w:sz="4"/>
              <w:right w:val="single" w:color="AABCD0" w:sz="4"/>
            </w:tcBorders>
            <w:shd w:fill="D9E2F3" w:val="clear"/>
            <w:tcMar>
              <w:top w:type="dxa" w:w="80"/>
              <w:left w:type="dxa" w:w="120"/>
              <w:bottom w:type="dxa" w:w="80"/>
              <w:right w:type="dxa" w:w="120"/>
            </w:tcMar>
          </w:tcPr>
          <w:p>
            <w:r>
              <w:rPr>
                <w:rFonts w:ascii="Microsoft YaHei" w:cs="Microsoft YaHei" w:eastAsia="Microsoft YaHei" w:hAnsi="Microsoft YaHei"/>
                <w:b/>
                <w:bCs/>
                <w:sz w:val="22"/>
                <w:szCs w:val="22"/>
              </w:rPr>
              <w:t xml:space="preserve">启示</w:t>
            </w:r>
          </w:p>
        </w:tc>
        <w:tc>
          <w:tcPr>
            <w:tcW w:type="dxa" w:w="3000"/>
            <w:tcBorders>
              <w:top w:val="single" w:color="AABCD0" w:sz="4"/>
              <w:left w:val="single" w:color="AABCD0" w:sz="4"/>
              <w:bottom w:val="single" w:color="AABCD0" w:sz="4"/>
              <w:right w:val="single" w:color="AABCD0" w:sz="4"/>
            </w:tcBorders>
            <w:shd w:fill="D9E2F3" w:val="clear"/>
            <w:tcMar>
              <w:top w:type="dxa" w:w="80"/>
              <w:left w:type="dxa" w:w="120"/>
              <w:bottom w:type="dxa" w:w="80"/>
              <w:right w:type="dxa" w:w="120"/>
            </w:tcMar>
          </w:tcPr>
          <w:p>
            <w:r>
              <w:rPr>
                <w:rFonts w:ascii="Microsoft YaHei" w:cs="Microsoft YaHei" w:eastAsia="Microsoft YaHei" w:hAnsi="Microsoft YaHei"/>
                <w:b/>
                <w:bCs/>
                <w:sz w:val="22"/>
                <w:szCs w:val="22"/>
              </w:rPr>
              <w:t xml:space="preserve">科学意义</w:t>
            </w:r>
          </w:p>
        </w:tc>
        <w:tc>
          <w:tcPr>
            <w:tcW w:type="dxa" w:w="2560"/>
            <w:tcBorders>
              <w:top w:val="single" w:color="AABCD0" w:sz="4"/>
              <w:left w:val="single" w:color="AABCD0" w:sz="4"/>
              <w:bottom w:val="single" w:color="AABCD0" w:sz="4"/>
              <w:right w:val="single" w:color="AABCD0" w:sz="4"/>
            </w:tcBorders>
            <w:shd w:fill="D9E2F3" w:val="clear"/>
            <w:tcMar>
              <w:top w:type="dxa" w:w="80"/>
              <w:left w:type="dxa" w:w="120"/>
              <w:bottom w:type="dxa" w:w="80"/>
              <w:right w:type="dxa" w:w="120"/>
            </w:tcMar>
          </w:tcPr>
          <w:p>
            <w:r>
              <w:rPr>
                <w:rFonts w:ascii="Microsoft YaHei" w:cs="Microsoft YaHei" w:eastAsia="Microsoft YaHei" w:hAnsi="Microsoft YaHei"/>
                <w:b/>
                <w:bCs/>
                <w:sz w:val="22"/>
                <w:szCs w:val="22"/>
              </w:rPr>
              <w:t xml:space="preserve">主要检验</w:t>
            </w:r>
          </w:p>
        </w:tc>
      </w:tr>
      <w:tr>
        <w:tc>
          <w:tcPr>
            <w:tcW w:type="dxa" w:w="28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环境依赖的引力</w:t>
            </w:r>
          </w:p>
        </w:tc>
        <w:tc>
          <w:tcPr>
            <w:tcW w:type="dxa" w:w="30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标量场中介引力或广义相对论扩展的证据</w:t>
            </w:r>
          </w:p>
        </w:tc>
        <w:tc>
          <w:tcPr>
            <w:tcW w:type="dxa" w:w="256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Euclid引力透镜</w:t>
            </w:r>
          </w:p>
        </w:tc>
      </w:tr>
      <w:tr>
        <w:tc>
          <w:tcPr>
            <w:tcW w:type="dxa" w:w="28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暗能量探针（空间）</w:t>
            </w:r>
          </w:p>
        </w:tc>
        <w:tc>
          <w:tcPr>
            <w:tcW w:type="dxa" w:w="30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通过空间变化研究暗能量，超越全局膨胀历史测量</w:t>
            </w:r>
          </w:p>
        </w:tc>
        <w:tc>
          <w:tcPr>
            <w:tcW w:type="dxa" w:w="256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DESI</w:t>
            </w:r>
          </w:p>
        </w:tc>
      </w:tr>
      <w:tr>
        <w:tc>
          <w:tcPr>
            <w:tcW w:type="dxa" w:w="28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结构–场耦合</w:t>
            </w:r>
          </w:p>
        </w:tc>
        <w:tc>
          <w:tcPr>
            <w:tcW w:type="dxa" w:w="30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结构形成与基本相互作用的联系比标准ΛCDM更紧密</w:t>
            </w:r>
          </w:p>
        </w:tc>
        <w:tc>
          <w:tcPr>
            <w:tcW w:type="dxa" w:w="256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LSST</w:t>
            </w:r>
          </w:p>
        </w:tc>
      </w:tr>
      <w:tr>
        <w:tc>
          <w:tcPr>
            <w:tcW w:type="dxa" w:w="28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参数约束</w:t>
            </w:r>
          </w:p>
        </w:tc>
        <w:tc>
          <w:tcPr>
            <w:tcW w:type="dxa" w:w="30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β 约束将减小可行标量张量理论空间；零结果具有科学价値</w:t>
            </w:r>
          </w:p>
        </w:tc>
        <w:tc>
          <w:tcPr>
            <w:tcW w:type="dxa" w:w="256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所有调查</w:t>
            </w:r>
          </w:p>
        </w:tc>
      </w:tr>
    </w:tbl>
    <w:p>
      <w:pPr>
        <w:pStyle w:val="Heading1"/>
        <w:spacing w:after="120" w:before="360"/>
      </w:pPr>
      <w:r>
        <w:rPr>
          <w:rFonts w:ascii="Microsoft YaHei" w:cs="Microsoft YaHei" w:eastAsia="Microsoft YaHei" w:hAnsi="Microsoft YaHei"/>
          <w:b/>
          <w:bCs/>
          <w:color w:val="1F3864"/>
          <w:sz w:val="32"/>
          <w:szCs w:val="32"/>
        </w:rPr>
        <w:t xml:space="preserve">11.  结论</w:t>
      </w:r>
    </w:p>
    <w:p>
      <w:pPr>
        <w:spacing w:after="80" w:before="60"/>
      </w:pPr>
      <w:r>
        <w:rPr>
          <w:rFonts w:ascii="Microsoft YaHei" w:cs="Microsoft YaHei" w:eastAsia="Microsoft YaHei" w:hAnsi="Microsoft YaHei"/>
          <w:sz w:val="24"/>
          <w:szCs w:val="24"/>
        </w:rPr>
        <w:t xml:space="preserve">CGEM建立了一个最小化的、可检验的框架：宇宙非均匀性在局部膨胀率中产生真实的、尺度依赖的梯度；屏蔽标量场方程提供了物理上连续且局部有界的机制；从标量场到膨胀偏差的映射由标量张量理论通过G_eff修正导出，无需引入额外自由参数；ΛCDM的可观测偏差可用当前及近期调查检验。</w:t>
      </w:r>
    </w:p>
    <w:p>
      <w:pPr>
        <w:spacing w:after="0" w:before="0"/>
      </w:pPr>
      <w:r>
        <w:t xml:space="preserve"/>
      </w:r>
    </w:p>
    <w:p>
      <w:pPr>
        <w:spacing w:after="80" w:before="60"/>
      </w:pPr>
      <w:r>
        <w:rPr>
          <w:rFonts w:ascii="Microsoft YaHei" w:cs="Microsoft YaHei" w:eastAsia="Microsoft YaHei" w:hAnsi="Microsoft YaHei"/>
          <w:sz w:val="24"/>
          <w:szCs w:val="24"/>
        </w:rPr>
        <w:t xml:space="preserve">该模型不违反广义相对论，并完全受到现有观测约束的限制。它提供了一个具体的、可证伪的量级为 ΔH/H ~ β²|δ| 的结构性贡献，将由Euclid和DESI进行探测或约束。两种结果都构成真正的科学进步。</w:t>
      </w:r>
    </w:p>
    <w:p>
      <w:pPr>
        <w:pStyle w:val="Heading1"/>
        <w:spacing w:after="120" w:before="360"/>
      </w:pPr>
      <w:r>
        <w:rPr>
          <w:rFonts w:ascii="Microsoft YaHei" w:cs="Microsoft YaHei" w:eastAsia="Microsoft YaHei" w:hAnsi="Microsoft YaHei"/>
          <w:b/>
          <w:bCs/>
          <w:color w:val="1F3864"/>
          <w:sz w:val="32"/>
          <w:szCs w:val="32"/>
        </w:rPr>
        <w:t xml:space="preserve">附录A — 历史背景（可选）</w:t>
      </w:r>
    </w:p>
    <w:p>
      <w:pPr>
        <w:spacing w:after="80" w:before="60"/>
      </w:pPr>
      <w:r>
        <w:rPr>
          <w:rFonts w:ascii="Microsoft YaHei" w:cs="Microsoft YaHei" w:eastAsia="Microsoft YaHei" w:hAnsi="Microsoft YaHei"/>
          <w:i/>
          <w:iCs/>
          <w:sz w:val="24"/>
          <w:szCs w:val="24"/>
        </w:rPr>
        <w:t xml:space="preserve">对表面无序中的结构的探索在物理学和哲学上均有历史先例，包括易经及南怀瑰对其作为复杂系统相变观察框架的诀释。然而，CGEM完全建立在其物理学表述和可检验预测的基础上。本附录仅作为文化背景包含，不构成科学论证的任何部分。</w:t>
      </w:r>
    </w:p>
    <w:p>
      <w:pPr>
        <w:pStyle w:val="Heading1"/>
        <w:spacing w:after="120" w:before="360"/>
      </w:pPr>
      <w:r>
        <w:rPr>
          <w:rFonts w:ascii="Microsoft YaHei" w:cs="Microsoft YaHei" w:eastAsia="Microsoft YaHei" w:hAnsi="Microsoft YaHei"/>
          <w:b/>
          <w:bCs/>
          <w:color w:val="1F3864"/>
          <w:sz w:val="32"/>
          <w:szCs w:val="32"/>
        </w:rPr>
        <w:t xml:space="preserve">参考文献</w:t>
      </w:r>
    </w:p>
    <w:p>
      <w:pPr>
        <w:spacing w:after="40" w:before="40"/>
        <w:ind w:left="720" w:hanging="720"/>
      </w:pPr>
      <w:r>
        <w:rPr>
          <w:rFonts w:ascii="Microsoft YaHei" w:cs="Microsoft YaHei" w:eastAsia="Microsoft YaHei" w:hAnsi="Microsoft YaHei"/>
          <w:sz w:val="22"/>
          <w:szCs w:val="22"/>
        </w:rPr>
        <w:t xml:space="preserve">[1]  Khoury, J. &amp; Weltman, A. (2004). Chameleon Fields. Physical Review Letters, 93, 171104.</w:t>
      </w:r>
    </w:p>
    <w:p>
      <w:pPr>
        <w:spacing w:after="40" w:before="40"/>
        <w:ind w:left="720" w:hanging="720"/>
      </w:pPr>
      <w:r>
        <w:rPr>
          <w:rFonts w:ascii="Microsoft YaHei" w:cs="Microsoft YaHei" w:eastAsia="Microsoft YaHei" w:hAnsi="Microsoft YaHei"/>
          <w:sz w:val="22"/>
          <w:szCs w:val="22"/>
        </w:rPr>
        <w:t xml:space="preserve">[2]  Hinterbichler, K. &amp; Khoury, J. (2010). Symmetron Fields. Physical Review Letters, 104, 231301.</w:t>
      </w:r>
    </w:p>
    <w:p>
      <w:pPr>
        <w:spacing w:after="40" w:before="40"/>
        <w:ind w:left="720" w:hanging="720"/>
      </w:pPr>
      <w:r>
        <w:rPr>
          <w:rFonts w:ascii="Microsoft YaHei" w:cs="Microsoft YaHei" w:eastAsia="Microsoft YaHei" w:hAnsi="Microsoft YaHei"/>
          <w:sz w:val="22"/>
          <w:szCs w:val="22"/>
        </w:rPr>
        <w:t xml:space="preserve">[3]  Hamaus, N., Sutter, P.M., &amp; Wandelt, B.D. (2015). Probing Cosmology and Gravity with Redshift-Space Distortions Around Voids. JCAP.</w:t>
      </w:r>
    </w:p>
    <w:p>
      <w:pPr>
        <w:spacing w:after="40" w:before="40"/>
        <w:ind w:left="720" w:hanging="720"/>
      </w:pPr>
      <w:r>
        <w:rPr>
          <w:rFonts w:ascii="Microsoft YaHei" w:cs="Microsoft YaHei" w:eastAsia="Microsoft YaHei" w:hAnsi="Microsoft YaHei"/>
          <w:sz w:val="22"/>
          <w:szCs w:val="22"/>
        </w:rPr>
        <w:t xml:space="preserve">[4]  Paz, D., et al. (2013). Clues on Void Evolution — II. MNRAS.</w:t>
      </w:r>
    </w:p>
    <w:p>
      <w:pPr>
        <w:spacing w:after="40" w:before="40"/>
        <w:ind w:left="720" w:hanging="720"/>
      </w:pPr>
      <w:r>
        <w:rPr>
          <w:rFonts w:ascii="Microsoft YaHei" w:cs="Microsoft YaHei" w:eastAsia="Microsoft YaHei" w:hAnsi="Microsoft YaHei"/>
          <w:sz w:val="22"/>
          <w:szCs w:val="22"/>
        </w:rPr>
        <w:t xml:space="preserve">[5]  Cai, Y-C., et al. (2015). The Lensing and Temperature of Cosmic Voids. MNRAS.</w:t>
      </w:r>
    </w:p>
    <w:p>
      <w:pPr>
        <w:spacing w:after="40" w:before="40"/>
        <w:ind w:left="720" w:hanging="720"/>
      </w:pPr>
      <w:r>
        <w:rPr>
          <w:rFonts w:ascii="Microsoft YaHei" w:cs="Microsoft YaHei" w:eastAsia="Microsoft YaHei" w:hAnsi="Microsoft YaHei"/>
          <w:sz w:val="22"/>
          <w:szCs w:val="22"/>
        </w:rPr>
        <w:t xml:space="preserve">[6]  Pisani, A., et al. (2019). Cosmic Voids: A Novel Probe to Shed Light on our Universe. BAAS.</w:t>
      </w:r>
    </w:p>
    <w:p>
      <w:pPr>
        <w:spacing w:after="40" w:before="40"/>
        <w:ind w:left="720" w:hanging="720"/>
      </w:pPr>
      <w:r>
        <w:rPr>
          <w:rFonts w:ascii="Microsoft YaHei" w:cs="Microsoft YaHei" w:eastAsia="Microsoft YaHei" w:hAnsi="Microsoft YaHei"/>
          <w:sz w:val="22"/>
          <w:szCs w:val="22"/>
        </w:rPr>
        <w:t xml:space="preserve">[7]  Planck Collaboration (2018). Planck 2018 Results. VI. A&amp;A.</w:t>
      </w:r>
    </w:p>
    <w:p>
      <w:pPr>
        <w:spacing w:after="40" w:before="40"/>
        <w:ind w:left="720" w:hanging="720"/>
      </w:pPr>
      <w:r>
        <w:rPr>
          <w:rFonts w:ascii="Microsoft YaHei" w:cs="Microsoft YaHei" w:eastAsia="Microsoft YaHei" w:hAnsi="Microsoft YaHei"/>
          <w:sz w:val="22"/>
          <w:szCs w:val="22"/>
        </w:rPr>
        <w:t xml:space="preserve">[8]  Carroll, S. (2004). Spacetime and Geometry. Addison-Wesley.</w:t>
      </w:r>
    </w:p>
    <w:p>
      <w:pPr>
        <w:spacing w:after="40" w:before="40"/>
        <w:ind w:left="720" w:hanging="720"/>
      </w:pPr>
      <w:r>
        <w:rPr>
          <w:rFonts w:ascii="Microsoft YaHei" w:cs="Microsoft YaHei" w:eastAsia="Microsoft YaHei" w:hAnsi="Microsoft YaHei"/>
          <w:sz w:val="22"/>
          <w:szCs w:val="22"/>
        </w:rPr>
        <w:t xml:space="preserve">[9]  Peebles, P.J.E. &amp; Ratra, B. (2003). The Cosmological Constant and Dark Energy. Rev. Mod. Phys., 75, 559.</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2026-04-03T08:13:37.691Z</dcterms:created>
  <dcterms:modified xsi:type="dcterms:W3CDTF">2026-04-03T08:13:37.692Z</dcterms:modified>
</cp:coreProperties>
</file>

<file path=docProps/custom.xml><?xml version="1.0" encoding="utf-8"?>
<Properties xmlns="http://schemas.openxmlformats.org/officeDocument/2006/custom-properties" xmlns:vt="http://schemas.openxmlformats.org/officeDocument/2006/docPropsVTypes"/>
</file>