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1F3864"/>
          <w:sz w:val="40"/>
          <w:szCs w:val="40"/>
        </w:rPr>
        <w:t xml:space="preserve">Cosmic Gradient Energy Model (CGEM)</w:t>
      </w:r>
    </w:p>
    <w:p>
      <w:pPr>
        <w:spacing w:after="80" w:before="0"/>
        <w:jc w:val="center"/>
      </w:pPr>
      <w:r>
        <w:rPr>
          <w:rFonts w:ascii="Arial" w:cs="Arial" w:eastAsia="Arial" w:hAnsi="Arial"/>
          <w:i/>
          <w:iCs/>
          <w:color w:val="2E5596"/>
          <w:sz w:val="28"/>
          <w:szCs w:val="28"/>
        </w:rPr>
        <w:t xml:space="preserve">A Testable Extension of Inhomogeneous Cosmology via Scalar–Tensor Coupling</w:t>
      </w:r>
    </w:p>
    <w:p>
      <w:pPr>
        <w:spacing w:after="60" w:before="0"/>
        <w:jc w:val="center"/>
      </w:pPr>
      <w:r>
        <w:rPr>
          <w:rFonts w:ascii="Arial" w:cs="Arial" w:eastAsia="Arial" w:hAnsi="Arial"/>
          <w:i/>
          <w:iCs/>
          <w:color w:val="666666"/>
          <w:sz w:val="22"/>
          <w:szCs w:val="22"/>
        </w:rPr>
        <w:t xml:space="preserve">CGEM v1.0 — April 2026</w:t>
      </w:r>
    </w:p>
    <w:p>
      <w:pPr>
        <w:spacing w:after="480" w:before="0"/>
        <w:jc w:val="center"/>
      </w:pPr>
      <w:r>
        <w:rPr>
          <w:rFonts w:ascii="Arial" w:cs="Arial" w:eastAsia="Arial" w:hAnsi="Arial"/>
          <w:i/>
          <w:iCs/>
          <w:color w:val="888888"/>
          <w:sz w:val="20"/>
          <w:szCs w:val="20"/>
        </w:rPr>
        <w:t xml:space="preserve">Multi-AI Collaborative Review: Claude (Anthropic) · GPT (OpenAI) · Grok (xAI) · Gemini (Google)</w:t>
      </w:r>
    </w:p>
    <w:p>
      <w:pPr>
        <w:pStyle w:val="Heading1"/>
        <w:spacing w:after="120" w:before="360"/>
      </w:pPr>
      <w:r>
        <w:rPr>
          <w:rFonts w:ascii="Arial" w:cs="Arial" w:eastAsia="Arial" w:hAnsi="Arial"/>
          <w:b/>
          <w:bCs/>
          <w:color w:val="1F3864"/>
          <w:sz w:val="32"/>
          <w:szCs w:val="32"/>
        </w:rPr>
        <w:t xml:space="preserve">Abstract</w:t>
      </w:r>
    </w:p>
    <w:p>
      <w:pPr>
        <w:spacing w:after="80" w:before="60"/>
      </w:pPr>
      <w:r>
        <w:rPr>
          <w:rFonts w:ascii="Times New Roman" w:cs="Times New Roman" w:eastAsia="Times New Roman" w:hAnsi="Times New Roman"/>
          <w:sz w:val="24"/>
          <w:szCs w:val="24"/>
        </w:rPr>
        <w:t xml:space="preserve">We present the Cosmic Gradient Energy Model (CGEM), a minimal extension of inhomogeneous cosmology in which large-scale density contrasts source an effective scalar field that modifies the locally inferred expansion rate. The model operates within a constrained scalar–tensor framework and introduces a finite interaction scale λ to ensure locality of the effect, replacing the unbounded Poisson equation with a screened (Yukawa-type) field equation.</w:t>
      </w:r>
    </w:p>
    <w:p>
      <w:pPr>
        <w:spacing w:after="0" w:before="0"/>
      </w:pPr>
      <w:r>
        <w:t xml:space="preserve"/>
      </w:r>
    </w:p>
    <w:p>
      <w:pPr>
        <w:spacing w:after="80" w:before="60"/>
      </w:pPr>
      <w:r>
        <w:rPr>
          <w:rFonts w:ascii="Times New Roman" w:cs="Times New Roman" w:eastAsia="Times New Roman" w:hAnsi="Times New Roman"/>
          <w:sz w:val="24"/>
          <w:szCs w:val="24"/>
        </w:rPr>
        <w:t xml:space="preserve">For a spherical underdense region (void) with density contrast δ ≈ −0.3, the central scalar field value yields a fractional Hubble deviation of order ΔH/H ∼ β²|δ|, arising from the scalar-tensor modification of the effective gravitational coupling G_eff = G(1 + 2β²). For coupling strength β ~ 0.1, this predicts a contribution of order ΔH/H ~ 0.3%, representing a partial structural contribution to local expansion variance rather than a complete resolution of the Hubble tension.</w:t>
      </w:r>
    </w:p>
    <w:p>
      <w:pPr>
        <w:spacing w:after="0" w:before="0"/>
      </w:pPr>
      <w:r>
        <w:t xml:space="preserve"/>
      </w:r>
    </w:p>
    <w:p>
      <w:pPr>
        <w:spacing w:after="80" w:before="60"/>
      </w:pPr>
      <w:r>
        <w:rPr>
          <w:rFonts w:ascii="Times New Roman" w:cs="Times New Roman" w:eastAsia="Times New Roman" w:hAnsi="Times New Roman"/>
          <w:sz w:val="24"/>
          <w:szCs w:val="24"/>
        </w:rPr>
        <w:t xml:space="preserve">CGEM predicts that underdense regions exhibit enhanced local expansion rates while overdense regions suppress expansion, providing a direct structural contribution to Hubble variance. These effects are testable through void expansion measurements, peculiar velocity fields, and weak lensing constraints on effective gravitational coupling (DESI, Euclid, LSST). The model introduces no violations of general relativity and remains fully constrained by existing observational bounds β ∈ [0, 0.3].</w:t>
      </w:r>
    </w:p>
    <w:p>
      <w:pPr>
        <w:pStyle w:val="Heading1"/>
        <w:spacing w:after="120" w:before="360"/>
      </w:pPr>
      <w:r>
        <w:rPr>
          <w:rFonts w:ascii="Arial" w:cs="Arial" w:eastAsia="Arial" w:hAnsi="Arial"/>
          <w:b/>
          <w:bCs/>
          <w:color w:val="1F3864"/>
          <w:sz w:val="32"/>
          <w:szCs w:val="32"/>
        </w:rPr>
        <w:t xml:space="preserve">1.  Introduction</w:t>
      </w:r>
    </w:p>
    <w:p>
      <w:pPr>
        <w:spacing w:after="80" w:before="60"/>
      </w:pPr>
      <w:r>
        <w:rPr>
          <w:rFonts w:ascii="Times New Roman" w:cs="Times New Roman" w:eastAsia="Times New Roman" w:hAnsi="Times New Roman"/>
          <w:sz w:val="24"/>
          <w:szCs w:val="24"/>
        </w:rPr>
        <w:t xml:space="preserve">At cosmological scales, two dominant large-scale dynamical effects govern structure formation: gravitational clustering (Pull), driven by matter and dark matter, and accelerated expansion (Push), driven by dark energy. These effects vary spatially across the cosmic web. Voids expand faster than matter-dense regions, producing measurable variation in local expansion behavior.</w:t>
      </w:r>
    </w:p>
    <w:p>
      <w:pPr>
        <w:spacing w:after="80" w:before="60"/>
      </w:pPr>
      <w:r>
        <w:rPr>
          <w:rFonts w:ascii="Times New Roman" w:cs="Times New Roman" w:eastAsia="Times New Roman" w:hAnsi="Times New Roman"/>
          <w:sz w:val="24"/>
          <w:szCs w:val="24"/>
        </w:rPr>
        <w:t xml:space="preserve">This raises a physically testable question:</w:t>
      </w:r>
    </w:p>
    <w:p>
      <w:pPr>
        <w:spacing w:after="0" w:before="0"/>
      </w:pPr>
      <w:r>
        <w:t xml:space="preserve"/>
      </w:r>
    </w:p>
    <w:p>
      <w:pPr>
        <w:pBdr>
          <w:top w:val="single" w:color="2E5596" w:sz="6"/>
          <w:bottom w:val="single" w:color="2E5596" w:sz="6"/>
        </w:pBdr>
        <w:spacing w:after="80" w:before="80"/>
        <w:ind w:left="360" w:right="360"/>
      </w:pPr>
      <w:r>
        <w:rPr>
          <w:rFonts w:ascii="Times New Roman" w:cs="Times New Roman" w:eastAsia="Times New Roman" w:hAnsi="Times New Roman"/>
          <w:i/>
          <w:iCs/>
          <w:sz w:val="22"/>
          <w:szCs w:val="22"/>
        </w:rPr>
        <w:t xml:space="preserve">Do large-scale inhomogeneities induce measurable dynamical effects through physically allowed coupling mechanisms?</w:t>
      </w:r>
    </w:p>
    <w:p>
      <w:pPr>
        <w:spacing w:after="0" w:before="0"/>
      </w:pPr>
      <w:r>
        <w:t xml:space="preserve"/>
      </w:r>
    </w:p>
    <w:p>
      <w:pPr>
        <w:spacing w:after="80" w:before="60"/>
      </w:pPr>
      <w:r>
        <w:rPr>
          <w:rFonts w:ascii="Times New Roman" w:cs="Times New Roman" w:eastAsia="Times New Roman" w:hAnsi="Times New Roman"/>
          <w:sz w:val="24"/>
          <w:szCs w:val="24"/>
        </w:rPr>
        <w:t xml:space="preserve">CGEM formulates this as a testable extension of inhomogeneous cosmology, without introducing new fundamental physics. The model operates within scalar-tensor theory, constrains all free parameters to existing observational bounds, and makes quantitative predictions testable with current and near-future surveys.</w:t>
      </w:r>
    </w:p>
    <w:p>
      <w:pPr>
        <w:pStyle w:val="Heading1"/>
        <w:spacing w:after="120" w:before="360"/>
      </w:pPr>
      <w:r>
        <w:rPr>
          <w:rFonts w:ascii="Arial" w:cs="Arial" w:eastAsia="Arial" w:hAnsi="Arial"/>
          <w:b/>
          <w:bCs/>
          <w:color w:val="1F3864"/>
          <w:sz w:val="32"/>
          <w:szCs w:val="32"/>
        </w:rPr>
        <w:t xml:space="preserve">2.  Cosmological Dynamics Foundation</w:t>
      </w:r>
    </w:p>
    <w:p>
      <w:pPr>
        <w:spacing w:after="80" w:before="60"/>
      </w:pPr>
      <w:r>
        <w:rPr>
          <w:rFonts w:ascii="Times New Roman" w:cs="Times New Roman" w:eastAsia="Times New Roman" w:hAnsi="Times New Roman"/>
          <w:sz w:val="24"/>
          <w:szCs w:val="24"/>
        </w:rPr>
        <w:t xml:space="preserve">The expansion of the universe is governed by the Friedmann equations:</w:t>
      </w:r>
    </w:p>
    <w:p>
      <w:pPr>
        <w:spacing w:after="0" w:before="0"/>
      </w:pPr>
      <w:r>
        <w:t xml:space="preserve"/>
      </w:r>
    </w:p>
    <w:p>
      <w:pPr>
        <w:spacing w:after="100" w:before="100"/>
        <w:jc w:val="center"/>
      </w:pPr>
      <w:r>
        <w:rPr>
          <w:rFonts w:ascii="Courier New" w:cs="Courier New" w:eastAsia="Courier New" w:hAnsi="Courier New"/>
          <w:sz w:val="22"/>
          <w:szCs w:val="22"/>
        </w:rPr>
        <w:t xml:space="preserve">H² = (8πG/3)ρ − kc²/a² + Λc²/3</w:t>
      </w:r>
    </w:p>
    <w:p>
      <w:pPr>
        <w:spacing w:after="100" w:before="100"/>
        <w:jc w:val="center"/>
      </w:pPr>
      <w:r>
        <w:rPr>
          <w:rFonts w:ascii="Courier New" w:cs="Courier New" w:eastAsia="Courier New" w:hAnsi="Courier New"/>
          <w:sz w:val="22"/>
          <w:szCs w:val="22"/>
        </w:rPr>
        <w:t xml:space="preserve">ä/a = −(4πG/3)(ρ + 3P/c²) + Λc²/3</w:t>
      </w:r>
    </w:p>
    <w:p>
      <w:pPr>
        <w:spacing w:after="0" w:before="0"/>
      </w:pPr>
      <w:r>
        <w:t xml:space="preserve"/>
      </w:r>
    </w:p>
    <w:p>
      <w:pPr>
        <w:spacing w:after="80" w:before="60"/>
      </w:pPr>
      <w:r>
        <w:rPr>
          <w:rFonts w:ascii="Times New Roman" w:cs="Times New Roman" w:eastAsia="Times New Roman" w:hAnsi="Times New Roman"/>
          <w:sz w:val="24"/>
          <w:szCs w:val="24"/>
        </w:rPr>
        <w:t xml:space="preserve">Dark energy satisfies the equation of state P = −ρΛc². Energy conservation in general relativity is governed by the covariant local conservation law:</w:t>
      </w:r>
    </w:p>
    <w:p>
      <w:pPr>
        <w:spacing w:after="100" w:before="100"/>
        <w:jc w:val="center"/>
      </w:pPr>
      <w:r>
        <w:rPr>
          <w:rFonts w:ascii="Courier New" w:cs="Courier New" w:eastAsia="Courier New" w:hAnsi="Courier New"/>
          <w:sz w:val="22"/>
          <w:szCs w:val="22"/>
        </w:rPr>
        <w:t xml:space="preserve">∇_μ T^μν = 0</w:t>
      </w:r>
    </w:p>
    <w:p>
      <w:pPr>
        <w:spacing w:after="80" w:before="60"/>
      </w:pPr>
      <w:r>
        <w:rPr>
          <w:rFonts w:ascii="Times New Roman" w:cs="Times New Roman" w:eastAsia="Times New Roman" w:hAnsi="Times New Roman"/>
          <w:sz w:val="24"/>
          <w:szCs w:val="24"/>
        </w:rPr>
        <w:t xml:space="preserve">In an inhomogeneous universe, local expansion is characterized by the expansion scalar θ = ∇_μ u^μ, which replaces naive use of ∇H as a fundamental quantity.</w:t>
      </w:r>
    </w:p>
    <w:p>
      <w:pPr>
        <w:pStyle w:val="Heading1"/>
        <w:spacing w:after="120" w:before="360"/>
      </w:pPr>
      <w:r>
        <w:rPr>
          <w:rFonts w:ascii="Arial" w:cs="Arial" w:eastAsia="Arial" w:hAnsi="Arial"/>
          <w:b/>
          <w:bCs/>
          <w:color w:val="1F3864"/>
          <w:sz w:val="32"/>
          <w:szCs w:val="32"/>
        </w:rPr>
        <w:t xml:space="preserve">3.  Source of Cosmological Inhomogeneity</w:t>
      </w:r>
    </w:p>
    <w:p>
      <w:pPr>
        <w:spacing w:after="80" w:before="60"/>
      </w:pPr>
      <w:r>
        <w:rPr>
          <w:rFonts w:ascii="Times New Roman" w:cs="Times New Roman" w:eastAsia="Times New Roman" w:hAnsi="Times New Roman"/>
          <w:sz w:val="24"/>
          <w:szCs w:val="24"/>
        </w:rPr>
        <w:t xml:space="preserve">The density contrast is defined as:</w:t>
      </w:r>
    </w:p>
    <w:p>
      <w:pPr>
        <w:spacing w:after="100" w:before="100"/>
        <w:jc w:val="center"/>
      </w:pPr>
      <w:r>
        <w:rPr>
          <w:rFonts w:ascii="Courier New" w:cs="Courier New" w:eastAsia="Courier New" w:hAnsi="Courier New"/>
          <w:sz w:val="22"/>
          <w:szCs w:val="22"/>
        </w:rPr>
        <w:t xml:space="preserve">δ(x) = (ρ − ρ̄) / ρ̄</w:t>
      </w:r>
    </w:p>
    <w:p>
      <w:pPr>
        <w:spacing w:after="80" w:before="60"/>
      </w:pPr>
      <w:r>
        <w:rPr>
          <w:rFonts w:ascii="Times New Roman" w:cs="Times New Roman" w:eastAsia="Times New Roman" w:hAnsi="Times New Roman"/>
          <w:sz w:val="24"/>
          <w:szCs w:val="24"/>
        </w:rPr>
        <w:t xml:space="preserve">Linear perturbation theory gives the local Hubble expansion rate in a region of density contrast δ:</w:t>
      </w:r>
    </w:p>
    <w:p>
      <w:pPr>
        <w:spacing w:after="100" w:before="100"/>
        <w:jc w:val="center"/>
      </w:pPr>
      <w:r>
        <w:rPr>
          <w:rFonts w:ascii="Courier New" w:cs="Courier New" w:eastAsia="Courier New" w:hAnsi="Courier New"/>
          <w:sz w:val="22"/>
          <w:szCs w:val="22"/>
        </w:rPr>
        <w:t xml:space="preserve">H_local(x) = H_bg [1 − f(Ωₘ)/3 · δ(x)]</w:t>
      </w:r>
    </w:p>
    <w:p>
      <w:pPr>
        <w:spacing w:after="80" w:before="60"/>
      </w:pPr>
      <w:r>
        <w:rPr>
          <w:rFonts w:ascii="Times New Roman" w:cs="Times New Roman" w:eastAsia="Times New Roman" w:hAnsi="Times New Roman"/>
          <w:sz w:val="24"/>
          <w:szCs w:val="24"/>
        </w:rPr>
        <w:t xml:space="preserve">where f(Ωₘ) ≈ Ωₘ^0.55 is the growth rate parameter (f ≈ 0.46 for current parameters Ωₘ ≈ 0.31). Typical values across cosmic structures: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Region</w:t>
            </w:r>
          </w:p>
        </w:tc>
        <w:tc>
          <w:tcPr>
            <w:tcW w:type="dxa" w:w="312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Density Contrast δ</w:t>
            </w:r>
          </w:p>
        </w:tc>
        <w:tc>
          <w:tcPr>
            <w:tcW w:type="dxa" w:w="312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Local Hubble Rate H</w:t>
            </w:r>
          </w:p>
        </w:tc>
      </w:tr>
      <w:tr>
        <w:tc>
          <w:tcPr>
            <w:tcW w:type="dxa" w:w="312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Void interior</w:t>
            </w:r>
          </w:p>
        </w:tc>
        <w:tc>
          <w:tcPr>
            <w:tcW w:type="dxa" w:w="312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δ ≈ −0.8</w:t>
            </w:r>
          </w:p>
        </w:tc>
        <w:tc>
          <w:tcPr>
            <w:tcW w:type="dxa" w:w="312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H ≈ 1.1 H₀</w:t>
            </w:r>
          </w:p>
        </w:tc>
      </w:tr>
      <w:tr>
        <w:tc>
          <w:tcPr>
            <w:tcW w:type="dxa" w:w="312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Wall / Filament</w:t>
            </w:r>
          </w:p>
        </w:tc>
        <w:tc>
          <w:tcPr>
            <w:tcW w:type="dxa" w:w="312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δ ≈ +0.1</w:t>
            </w:r>
          </w:p>
        </w:tc>
        <w:tc>
          <w:tcPr>
            <w:tcW w:type="dxa" w:w="312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H ≈ H₀</w:t>
            </w:r>
          </w:p>
        </w:tc>
      </w:tr>
    </w:tbl>
    <w:p>
      <w:pPr>
        <w:spacing w:after="0" w:before="0"/>
      </w:pPr>
      <w:r>
        <w:t xml:space="preserve"/>
      </w:r>
    </w:p>
    <w:p>
      <w:pPr>
        <w:spacing w:after="80" w:before="60"/>
      </w:pPr>
      <w:r>
        <w:rPr>
          <w:rFonts w:ascii="Times New Roman" w:cs="Times New Roman" w:eastAsia="Times New Roman" w:hAnsi="Times New Roman"/>
          <w:sz w:val="24"/>
          <w:szCs w:val="24"/>
        </w:rPr>
        <w:t xml:space="preserve">The resulting expansion gradient across a void-wall boundary:</w:t>
      </w:r>
    </w:p>
    <w:p>
      <w:pPr>
        <w:spacing w:after="100" w:before="100"/>
        <w:jc w:val="center"/>
      </w:pPr>
      <w:r>
        <w:rPr>
          <w:rFonts w:ascii="Courier New" w:cs="Courier New" w:eastAsia="Courier New" w:hAnsi="Courier New"/>
          <w:sz w:val="22"/>
          <w:szCs w:val="22"/>
        </w:rPr>
        <w:t xml:space="preserve">ΔH ≈ 9–10 km/s/Mpc  ≈  0.14 H₀</w:t>
      </w:r>
    </w:p>
    <w:p>
      <w:pPr>
        <w:pStyle w:val="Heading1"/>
        <w:spacing w:after="120" w:before="360"/>
      </w:pPr>
      <w:r>
        <w:rPr>
          <w:rFonts w:ascii="Arial" w:cs="Arial" w:eastAsia="Arial" w:hAnsi="Arial"/>
          <w:b/>
          <w:bCs/>
          <w:color w:val="1F3864"/>
          <w:sz w:val="32"/>
          <w:szCs w:val="32"/>
        </w:rPr>
        <w:t xml:space="preserve">4.  CGEM Formalization</w:t>
      </w:r>
    </w:p>
    <w:p>
      <w:pPr>
        <w:spacing w:after="80" w:before="60"/>
      </w:pPr>
      <w:r>
        <w:rPr>
          <w:rFonts w:ascii="Times New Roman" w:cs="Times New Roman" w:eastAsia="Times New Roman" w:hAnsi="Times New Roman"/>
          <w:sz w:val="24"/>
          <w:szCs w:val="24"/>
        </w:rPr>
        <w:t xml:space="preserve">CGEM operates within scalar-tensor theory. A key upgrade in this version is the replacement of the unbounded Poisson-type field equation with a screened (Yukawa-type) equation, which ensures locality and prevents unphysical divergence at cosmological scales.</w:t>
      </w:r>
    </w:p>
    <w:p>
      <w:pPr>
        <w:spacing w:after="0" w:before="0"/>
      </w:pPr>
      <w:r>
        <w:t xml:space="preserve"/>
      </w:r>
    </w:p>
    <w:p>
      <w:pPr>
        <w:pStyle w:val="Heading2"/>
        <w:spacing w:after="80" w:before="280"/>
      </w:pPr>
      <w:r>
        <w:rPr>
          <w:rFonts w:ascii="Arial" w:cs="Arial" w:eastAsia="Arial" w:hAnsi="Arial"/>
          <w:b/>
          <w:bCs/>
          <w:color w:val="2E5596"/>
          <w:sz w:val="26"/>
          <w:szCs w:val="26"/>
        </w:rPr>
        <w:t xml:space="preserve">4.1 Action and Field Equation Derivation</w:t>
      </w:r>
    </w:p>
    <w:p>
      <w:pPr>
        <w:spacing w:after="80" w:before="60"/>
      </w:pPr>
      <w:r>
        <w:rPr>
          <w:rFonts w:ascii="Times New Roman" w:cs="Times New Roman" w:eastAsia="Times New Roman" w:hAnsi="Times New Roman"/>
          <w:sz w:val="24"/>
          <w:szCs w:val="24"/>
        </w:rPr>
        <w:t xml:space="preserve">CGEM operates within the chameleon scalar-tensor framework (Khoury &amp; Weltman 2004). The action is:</w:t>
      </w:r>
    </w:p>
    <w:p>
      <w:pPr>
        <w:spacing w:after="0" w:before="0"/>
      </w:pPr>
      <w:r>
        <w:t xml:space="preserve"/>
      </w:r>
    </w:p>
    <w:p>
      <w:pPr>
        <w:spacing w:after="100" w:before="100"/>
        <w:jc w:val="center"/>
      </w:pPr>
      <w:r>
        <w:rPr>
          <w:rFonts w:ascii="Courier New" w:cs="Courier New" w:eastAsia="Courier New" w:hAnsi="Courier New"/>
          <w:sz w:val="22"/>
          <w:szCs w:val="22"/>
        </w:rPr>
        <w:t xml:space="preserve">S = ∫d⁴x √(−g) [M_pl²/2 · R − ½(∂φ)² − V(φ)] + S_m[ψ_m, A²(φ)g_μν]</w:t>
      </w:r>
    </w:p>
    <w:p>
      <w:pPr>
        <w:spacing w:after="0" w:before="0"/>
      </w:pPr>
      <w:r>
        <w:t xml:space="preserve"/>
      </w:r>
    </w:p>
    <w:p>
      <w:pPr>
        <w:spacing w:after="80" w:before="60"/>
      </w:pPr>
      <w:r>
        <w:rPr>
          <w:rFonts w:ascii="Times New Roman" w:cs="Times New Roman" w:eastAsia="Times New Roman" w:hAnsi="Times New Roman"/>
          <w:sz w:val="24"/>
          <w:szCs w:val="24"/>
        </w:rPr>
        <w:t xml:space="preserve">where M_pl = (8πG)^⁻½ is the reduced Planck mass, V(φ) is the scalar field potential, and A(φ) = e^(βφ/M_pl) is the conformal coupling function with dimensionless coupling strength β.</w:t>
      </w:r>
    </w:p>
    <w:p>
      <w:pPr>
        <w:spacing w:after="80" w:before="60"/>
      </w:pPr>
      <w:r>
        <w:rPr>
          <w:rFonts w:ascii="Times New Roman" w:cs="Times New Roman" w:eastAsia="Times New Roman" w:hAnsi="Times New Roman"/>
          <w:sz w:val="24"/>
          <w:szCs w:val="24"/>
        </w:rPr>
        <w:t xml:space="preserve">Varying the action with respect to φ yields the equation of motion:</w:t>
      </w:r>
    </w:p>
    <w:p>
      <w:pPr>
        <w:spacing w:after="0" w:before="0"/>
      </w:pPr>
      <w:r>
        <w:t xml:space="preserve"/>
      </w:r>
    </w:p>
    <w:p>
      <w:pPr>
        <w:spacing w:after="100" w:before="100"/>
        <w:jc w:val="center"/>
      </w:pPr>
      <w:r>
        <w:rPr>
          <w:rFonts w:ascii="Courier New" w:cs="Courier New" w:eastAsia="Courier New" w:hAnsi="Courier New"/>
          <w:sz w:val="22"/>
          <w:szCs w:val="22"/>
        </w:rPr>
        <w:t xml:space="preserve">□φ = V'(φ) + (β/M_pl)ρ_m</w:t>
      </w:r>
    </w:p>
    <w:p>
      <w:pPr>
        <w:spacing w:after="0" w:before="0"/>
      </w:pPr>
      <w:r>
        <w:t xml:space="preserve"/>
      </w:r>
    </w:p>
    <w:p>
      <w:pPr>
        <w:spacing w:after="80" w:before="60"/>
      </w:pPr>
      <w:r>
        <w:rPr>
          <w:rFonts w:ascii="Times New Roman" w:cs="Times New Roman" w:eastAsia="Times New Roman" w:hAnsi="Times New Roman"/>
          <w:sz w:val="24"/>
          <w:szCs w:val="24"/>
        </w:rPr>
        <w:t xml:space="preserve">The scalar field evolves in an effective potential V_eff(φ) = V(φ) + ρ_m A(φ) that depends on local matter density. In an inhomogeneous density field, the perturbation around the background field satisfies, in the quasi-static limit:</w:t>
      </w:r>
    </w:p>
    <w:p>
      <w:pPr>
        <w:spacing w:after="0" w:before="0"/>
      </w:pPr>
      <w:r>
        <w:t xml:space="preserve"/>
      </w:r>
    </w:p>
    <w:p>
      <w:pPr>
        <w:spacing w:after="100" w:before="100"/>
        <w:jc w:val="center"/>
      </w:pPr>
      <w:r>
        <w:rPr>
          <w:rFonts w:ascii="Courier New" w:cs="Courier New" w:eastAsia="Courier New" w:hAnsi="Courier New"/>
          <w:sz w:val="22"/>
          <w:szCs w:val="22"/>
        </w:rPr>
        <w:t xml:space="preserve">∇²δφ − m_eff² δφ = (βρ̄_m/M_pl) δ(x)</w:t>
      </w:r>
    </w:p>
    <w:p>
      <w:pPr>
        <w:spacing w:after="0" w:before="0"/>
      </w:pPr>
      <w:r>
        <w:t xml:space="preserve"/>
      </w:r>
    </w:p>
    <w:p>
      <w:pPr>
        <w:spacing w:after="80" w:before="60"/>
      </w:pPr>
      <w:r>
        <w:rPr>
          <w:rFonts w:ascii="Times New Roman" w:cs="Times New Roman" w:eastAsia="Times New Roman" w:hAnsi="Times New Roman"/>
          <w:sz w:val="24"/>
          <w:szCs w:val="24"/>
        </w:rPr>
        <w:t xml:space="preserve">where m_eff² ≡ V''(φ_min) is the effective mass at the potential minimum. This is the screened (Yukawa-type) field equation with interaction scale λ ≡ m_eff^⁻¹. Writing in terms of the density contrast:</w:t>
      </w:r>
    </w:p>
    <w:p>
      <w:pPr>
        <w:spacing w:after="0" w:before="0"/>
      </w:pPr>
      <w:r>
        <w:t xml:space="preserve"/>
      </w:r>
    </w:p>
    <w:p>
      <w:pPr>
        <w:spacing w:after="100" w:before="100"/>
        <w:jc w:val="center"/>
      </w:pPr>
      <w:r>
        <w:rPr>
          <w:rFonts w:ascii="Courier New" w:cs="Courier New" w:eastAsia="Courier New" w:hAnsi="Courier New"/>
          <w:sz w:val="22"/>
          <w:szCs w:val="22"/>
        </w:rPr>
        <w:t xml:space="preserve">∇²φ − (1/λ²)φ = β(ρ_m/M_pl)</w:t>
      </w:r>
    </w:p>
    <w:p>
      <w:pPr>
        <w:spacing w:after="0" w:before="0"/>
      </w:pPr>
      <w:r>
        <w:t xml:space="preserve"/>
      </w:r>
    </w:p>
    <w:p>
      <w:pPr>
        <w:spacing w:after="80" w:before="60"/>
      </w:pPr>
      <w:r>
        <w:rPr>
          <w:rFonts w:ascii="Times New Roman" w:cs="Times New Roman" w:eastAsia="Times New Roman" w:hAnsi="Times New Roman"/>
          <w:sz w:val="24"/>
          <w:szCs w:val="24"/>
        </w:rPr>
        <w:t xml:space="preserve">In dimensionless form, using φ̃ = φ/H₀², x̃ = x·H₀, and λ̃ = λ·H₀:</w:t>
      </w:r>
    </w:p>
    <w:p>
      <w:pPr>
        <w:spacing w:after="0" w:before="0"/>
      </w:pPr>
      <w:r>
        <w:t xml:space="preserve"/>
      </w:r>
    </w:p>
    <w:p>
      <w:pPr>
        <w:spacing w:after="100" w:before="100"/>
        <w:jc w:val="center"/>
      </w:pPr>
      <w:r>
        <w:rPr>
          <w:rFonts w:ascii="Courier New" w:cs="Courier New" w:eastAsia="Courier New" w:hAnsi="Courier New"/>
          <w:sz w:val="22"/>
          <w:szCs w:val="22"/>
        </w:rPr>
        <w:t xml:space="preserve">∇̃²φ̃ − (1/λ̃²)φ̃ = β̃ δ(x)</w:t>
      </w:r>
    </w:p>
    <w:p>
      <w:pPr>
        <w:spacing w:after="0" w:before="0"/>
      </w:pPr>
      <w:r>
        <w:t xml:space="preserve"/>
      </w:r>
    </w:p>
    <w:p>
      <w:pPr>
        <w:spacing w:after="80" w:before="60"/>
      </w:pPr>
      <w:r>
        <w:rPr>
          <w:rFonts w:ascii="Times New Roman" w:cs="Times New Roman" w:eastAsia="Times New Roman" w:hAnsi="Times New Roman"/>
          <w:sz w:val="24"/>
          <w:szCs w:val="24"/>
        </w:rPr>
        <w:t xml:space="preserve">This eliminates the scale divergence in the original Poisson equation. The screening term ensures scalar field influence decays exponentially beyond λ, with characteristic solution φ(r) ~ e^(−r/λ)/r outside a source. The parameter λ is the Compton wavelength of the scalar field, interpreted as the effective structure-averaging scale, expected to lie in the range 50–200 Mpc.</w:t>
      </w:r>
    </w:p>
    <w:p>
      <w:pPr>
        <w:spacing w:after="80" w:before="60"/>
      </w:pPr>
      <w:r>
        <w:rPr>
          <w:rFonts w:ascii="Times New Roman" w:cs="Times New Roman" w:eastAsia="Times New Roman" w:hAnsi="Times New Roman"/>
          <w:sz w:val="24"/>
          <w:szCs w:val="24"/>
        </w:rPr>
        <w:t xml:space="preserve">The effective gravitational potential mediated by the scalar field is:</w:t>
      </w:r>
    </w:p>
    <w:p>
      <w:pPr>
        <w:spacing w:after="0" w:before="0"/>
      </w:pPr>
      <w:r>
        <w:t xml:space="preserve"/>
      </w:r>
    </w:p>
    <w:p>
      <w:pPr>
        <w:spacing w:after="100" w:before="100"/>
        <w:jc w:val="center"/>
      </w:pPr>
      <w:r>
        <w:rPr>
          <w:rFonts w:ascii="Courier New" w:cs="Courier New" w:eastAsia="Courier New" w:hAnsi="Courier New"/>
          <w:sz w:val="22"/>
          <w:szCs w:val="22"/>
        </w:rPr>
        <w:t xml:space="preserve">Φ_eff = −GM/r · (1 + 2β² e^(−r/λ))</w:t>
      </w:r>
    </w:p>
    <w:p>
      <w:pPr>
        <w:spacing w:after="0" w:before="0"/>
      </w:pPr>
      <w:r>
        <w:t xml:space="preserve"/>
      </w:r>
    </w:p>
    <w:p>
      <w:pPr>
        <w:spacing w:after="80" w:before="60"/>
      </w:pPr>
      <w:r>
        <w:rPr>
          <w:rFonts w:ascii="Times New Roman" w:cs="Times New Roman" w:eastAsia="Times New Roman" w:hAnsi="Times New Roman"/>
          <w:sz w:val="24"/>
          <w:szCs w:val="24"/>
        </w:rPr>
        <w:t xml:space="preserve">For r &lt;&lt; λ (unscreened regime, applicable to void-scale comparisons), this yields the effective gravitational constant used in Section 7:</w:t>
      </w:r>
    </w:p>
    <w:p>
      <w:pPr>
        <w:spacing w:after="0" w:before="0"/>
      </w:pPr>
      <w:r>
        <w:t xml:space="preserve"/>
      </w:r>
    </w:p>
    <w:p>
      <w:pPr>
        <w:spacing w:after="100" w:before="100"/>
        <w:jc w:val="center"/>
      </w:pPr>
      <w:r>
        <w:rPr>
          <w:rFonts w:ascii="Courier New" w:cs="Courier New" w:eastAsia="Courier New" w:hAnsi="Courier New"/>
          <w:sz w:val="22"/>
          <w:szCs w:val="22"/>
        </w:rPr>
        <w:t xml:space="preserve">G_eff = G(1 + 2β²)</w:t>
      </w:r>
    </w:p>
    <w:p>
      <w:pPr>
        <w:spacing w:after="0" w:before="0"/>
      </w:pPr>
      <w:r>
        <w:t xml:space="preserve"/>
      </w:r>
    </w:p>
    <w:p>
      <w:pPr>
        <w:spacing w:after="80" w:before="60"/>
      </w:pPr>
      <w:r>
        <w:rPr>
          <w:rFonts w:ascii="Times New Roman" w:cs="Times New Roman" w:eastAsia="Times New Roman" w:hAnsi="Times New Roman"/>
          <w:sz w:val="24"/>
          <w:szCs w:val="24"/>
        </w:rPr>
        <w:t xml:space="preserve">This is not a free phenomenological parameter but a direct consequence of the action above. The mapping from scalar field to modified expansion dynamics is fully determined by β, the single coupling parameter constrained by existing observations.</w:t>
      </w:r>
    </w:p>
    <w:p>
      <w:pPr>
        <w:spacing w:after="80" w:before="60"/>
      </w:pPr>
      <w:r>
        <w:rPr>
          <w:rFonts w:ascii="Times New Roman" w:cs="Times New Roman" w:eastAsia="Times New Roman" w:hAnsi="Times New Roman"/>
          <w:sz w:val="24"/>
          <w:szCs w:val="24"/>
        </w:rPr>
        <w:t xml:space="preserve">Spatial gradients in inhomogeneous regions:</w:t>
      </w:r>
    </w:p>
    <w:p>
      <w:pPr>
        <w:spacing w:after="0" w:before="0"/>
      </w:pPr>
      <w:r>
        <w:t xml:space="preserve"/>
      </w:r>
    </w:p>
    <w:p>
      <w:pPr>
        <w:spacing w:after="100" w:before="100"/>
        <w:jc w:val="center"/>
      </w:pPr>
      <w:r>
        <w:rPr>
          <w:rFonts w:ascii="Courier New" w:cs="Courier New" w:eastAsia="Courier New" w:hAnsi="Courier New"/>
          <w:sz w:val="22"/>
          <w:szCs w:val="22"/>
        </w:rPr>
        <w:t xml:space="preserve">∇φ ≠ 0    in inhomogeneous density fields</w:t>
      </w:r>
    </w:p>
    <w:p>
      <w:pPr>
        <w:spacing w:after="0" w:before="0"/>
      </w:pPr>
      <w:r>
        <w:t xml:space="preserve"/>
      </w:r>
    </w:p>
    <w:p>
      <w:pPr>
        <w:spacing w:after="80" w:before="60"/>
      </w:pPr>
      <w:r>
        <w:rPr>
          <w:rFonts w:ascii="Times New Roman" w:cs="Times New Roman" w:eastAsia="Times New Roman" w:hAnsi="Times New Roman"/>
          <w:sz w:val="24"/>
          <w:szCs w:val="24"/>
        </w:rPr>
        <w:t xml:space="preserve">Coupling force on matter:</w:t>
      </w:r>
    </w:p>
    <w:p>
      <w:pPr>
        <w:spacing w:after="100" w:before="100"/>
        <w:jc w:val="center"/>
      </w:pPr>
      <w:r>
        <w:rPr>
          <w:rFonts w:ascii="Courier New" w:cs="Courier New" w:eastAsia="Courier New" w:hAnsi="Courier New"/>
          <w:sz w:val="22"/>
          <w:szCs w:val="22"/>
        </w:rPr>
        <w:t xml:space="preserve">Fφ ∝ β∇φ</w:t>
      </w:r>
    </w:p>
    <w:p>
      <w:pPr>
        <w:spacing w:after="0" w:before="0"/>
      </w:pPr>
      <w:r>
        <w:t xml:space="preserve"/>
      </w:r>
    </w:p>
    <w:p>
      <w:pPr>
        <w:pStyle w:val="Heading2"/>
        <w:spacing w:after="80" w:before="280"/>
      </w:pPr>
      <w:r>
        <w:rPr>
          <w:rFonts w:ascii="Arial" w:cs="Arial" w:eastAsia="Arial" w:hAnsi="Arial"/>
          <w:b/>
          <w:bCs/>
          <w:color w:val="2E5596"/>
          <w:sz w:val="26"/>
          <w:szCs w:val="26"/>
        </w:rPr>
        <w:t xml:space="preserve">4.2 Closed Coupling Chain</w:t>
      </w:r>
    </w:p>
    <w:p>
      <w:pPr>
        <w:spacing w:after="0" w:before="0"/>
      </w:pPr>
      <w:r>
        <w:t xml:space="preserve"/>
      </w:r>
    </w:p>
    <w:p>
      <w:pPr>
        <w:pBdr>
          <w:top w:val="single" w:color="2E5596" w:sz="6"/>
          <w:bottom w:val="single" w:color="2E5596" w:sz="6"/>
        </w:pBdr>
        <w:spacing w:after="80" w:before="80"/>
        <w:ind w:left="360" w:right="360"/>
      </w:pPr>
      <w:r>
        <w:rPr>
          <w:rFonts w:ascii="Times New Roman" w:cs="Times New Roman" w:eastAsia="Times New Roman" w:hAnsi="Times New Roman"/>
          <w:i/>
          <w:iCs/>
          <w:sz w:val="22"/>
          <w:szCs w:val="22"/>
        </w:rPr>
        <w:t xml:space="preserve">δ(x)  →  φ(x)  →  ∇φ  →  Fφ  →  modified dynamics  →  ΔH_observable</w:t>
      </w:r>
    </w:p>
    <w:p>
      <w:pPr>
        <w:spacing w:after="0" w:before="0"/>
      </w:pPr>
      <w:r>
        <w:t xml:space="preserve"/>
      </w:r>
    </w:p>
    <w:p>
      <w:pPr>
        <w:spacing w:after="80" w:before="60"/>
      </w:pPr>
      <w:r>
        <w:rPr>
          <w:rFonts w:ascii="Times New Roman" w:cs="Times New Roman" w:eastAsia="Times New Roman" w:hAnsi="Times New Roman"/>
          <w:sz w:val="24"/>
          <w:szCs w:val="24"/>
        </w:rPr>
        <w:t xml:space="preserve">This establishes a physically continuous mechanism from matter density contrast to an observable quantity, with no new fundamental physics introduced.</w:t>
      </w:r>
    </w:p>
    <w:p>
      <w:pPr>
        <w:spacing w:after="0" w:before="0"/>
      </w:pPr>
      <w:r>
        <w:t xml:space="preserve"/>
      </w:r>
    </w:p>
    <w:p>
      <w:pPr>
        <w:pStyle w:val="Heading2"/>
        <w:spacing w:after="80" w:before="280"/>
      </w:pPr>
      <w:r>
        <w:rPr>
          <w:rFonts w:ascii="Arial" w:cs="Arial" w:eastAsia="Arial" w:hAnsi="Arial"/>
          <w:b/>
          <w:bCs/>
          <w:color w:val="2E5596"/>
          <w:sz w:val="26"/>
          <w:szCs w:val="26"/>
        </w:rPr>
        <w:t xml:space="preserve">4.3 Observable Decomposition</w:t>
      </w:r>
    </w:p>
    <w:p>
      <w:pPr>
        <w:spacing w:after="80" w:before="60"/>
      </w:pPr>
      <w:r>
        <w:rPr>
          <w:rFonts w:ascii="Times New Roman" w:cs="Times New Roman" w:eastAsia="Times New Roman" w:hAnsi="Times New Roman"/>
          <w:sz w:val="24"/>
          <w:szCs w:val="24"/>
        </w:rPr>
        <w:t xml:space="preserve">The total observed expansion deviation is decomposed as:</w:t>
      </w:r>
    </w:p>
    <w:p>
      <w:pPr>
        <w:spacing w:after="0" w:before="0"/>
      </w:pPr>
      <w:r>
        <w:t xml:space="preserve"/>
      </w:r>
    </w:p>
    <w:p>
      <w:pPr>
        <w:spacing w:after="100" w:before="100"/>
        <w:jc w:val="center"/>
      </w:pPr>
      <w:r>
        <w:rPr>
          <w:rFonts w:ascii="Courier New" w:cs="Courier New" w:eastAsia="Courier New" w:hAnsi="Courier New"/>
          <w:sz w:val="22"/>
          <w:szCs w:val="22"/>
        </w:rPr>
        <w:t xml:space="preserve">ΔH_obs = ΔH_ΛCDM + ΔH_CGEM(β, δ)</w:t>
      </w:r>
    </w:p>
    <w:p>
      <w:pPr>
        <w:spacing w:after="0" w:before="0"/>
      </w:pPr>
      <w:r>
        <w:t xml:space="preserve"/>
      </w:r>
    </w:p>
    <w:p>
      <w:pPr>
        <w:spacing w:after="80" w:before="60"/>
      </w:pPr>
      <w:r>
        <w:rPr>
          <w:rFonts w:ascii="Times New Roman" w:cs="Times New Roman" w:eastAsia="Times New Roman" w:hAnsi="Times New Roman"/>
          <w:sz w:val="24"/>
          <w:szCs w:val="24"/>
        </w:rPr>
        <w:t xml:space="preserve">CGEM predicts a non-zero ΔH_CGEM(β, δ) term. Under the null hypothesis (standard ΛCDM), ΔH_CGEM = 0.</w:t>
      </w:r>
    </w:p>
    <w:p>
      <w:pPr>
        <w:spacing w:after="0" w:before="0"/>
      </w:pPr>
      <w:r>
        <w:t xml:space="preserve"/>
      </w:r>
    </w:p>
    <w:p>
      <w:pPr>
        <w:pStyle w:val="Heading2"/>
        <w:spacing w:after="80" w:before="280"/>
      </w:pPr>
      <w:r>
        <w:rPr>
          <w:rFonts w:ascii="Arial" w:cs="Arial" w:eastAsia="Arial" w:hAnsi="Arial"/>
          <w:b/>
          <w:bCs/>
          <w:color w:val="2E5596"/>
          <w:sz w:val="26"/>
          <w:szCs w:val="26"/>
        </w:rPr>
        <w:t xml:space="preserve">4.4 Parameter Constraints</w:t>
      </w:r>
    </w:p>
    <w:p>
      <w:pPr>
        <w:spacing w:after="80" w:before="60"/>
      </w:pPr>
      <w:r>
        <w:rPr>
          <w:rFonts w:ascii="Times New Roman" w:cs="Times New Roman" w:eastAsia="Times New Roman" w:hAnsi="Times New Roman"/>
          <w:sz w:val="24"/>
          <w:szCs w:val="24"/>
        </w:rPr>
        <w:t xml:space="preserve">β is not a free parameter. It is constrained by existing observational bounds: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400"/>
        <w:gridCol w:w="3060"/>
      </w:tblGrid>
      <w:tr>
        <w:tc>
          <w:tcPr>
            <w:tcW w:type="dxa" w:w="39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Constraint Source</w:t>
            </w:r>
          </w:p>
        </w:tc>
        <w:tc>
          <w:tcPr>
            <w:tcW w:type="dxa" w:w="24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β Upper Bound</w:t>
            </w:r>
          </w:p>
        </w:tc>
        <w:tc>
          <w:tcPr>
            <w:tcW w:type="dxa" w:w="306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Reference</w:t>
            </w:r>
          </w:p>
        </w:tc>
      </w:tr>
      <w:tr>
        <w:tc>
          <w:tcPr>
            <w:tcW w:type="dxa" w:w="39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Current lensing surveys (DES, HSC)</w:t>
            </w:r>
          </w:p>
        </w:tc>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β ≲ 0.3</w:t>
            </w:r>
          </w:p>
        </w:tc>
        <w:tc>
          <w:tcPr>
            <w:tcW w:type="dxa" w:w="30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Khoury &amp; Weltman (2004)</w:t>
            </w:r>
          </w:p>
        </w:tc>
      </w:tr>
      <w:tr>
        <w:tc>
          <w:tcPr>
            <w:tcW w:type="dxa" w:w="39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Euclid sensitivity projection</w:t>
            </w:r>
          </w:p>
        </w:tc>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β ≲ 0.05</w:t>
            </w:r>
          </w:p>
        </w:tc>
        <w:tc>
          <w:tcPr>
            <w:tcW w:type="dxa" w:w="30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Pisani et al. (2019)</w:t>
            </w:r>
          </w:p>
        </w:tc>
      </w:tr>
      <w:tr>
        <w:tc>
          <w:tcPr>
            <w:tcW w:type="dxa" w:w="39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Solar system tests (screened)</w:t>
            </w:r>
          </w:p>
        </w:tc>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β ≲ 0.1</w:t>
            </w:r>
          </w:p>
        </w:tc>
        <w:tc>
          <w:tcPr>
            <w:tcW w:type="dxa" w:w="30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Hinterbichler &amp; Khoury (2010)</w:t>
            </w:r>
          </w:p>
        </w:tc>
      </w:tr>
    </w:tbl>
    <w:p>
      <w:pPr>
        <w:spacing w:after="0" w:before="0"/>
      </w:pPr>
      <w:r>
        <w:t xml:space="preserve"/>
      </w:r>
    </w:p>
    <w:p>
      <w:pPr>
        <w:spacing w:after="80" w:before="60"/>
      </w:pPr>
      <w:r>
        <w:rPr>
          <w:rFonts w:ascii="Times New Roman" w:cs="Times New Roman" w:eastAsia="Times New Roman" w:hAnsi="Times New Roman"/>
          <w:sz w:val="24"/>
          <w:szCs w:val="24"/>
        </w:rPr>
        <w:t xml:space="preserve">CGEM thus operates within the constrained parameter space β ∈ [0, 0.3].</w:t>
      </w:r>
    </w:p>
    <w:p>
      <w:pPr>
        <w:spacing w:after="0" w:before="0"/>
      </w:pPr>
      <w:r>
        <w:t xml:space="preserve"/>
      </w:r>
    </w:p>
    <w:p>
      <w:pPr>
        <w:pStyle w:val="Heading2"/>
        <w:spacing w:after="80" w:before="280"/>
      </w:pPr>
      <w:r>
        <w:rPr>
          <w:rFonts w:ascii="Arial" w:cs="Arial" w:eastAsia="Arial" w:hAnsi="Arial"/>
          <w:b/>
          <w:bCs/>
          <w:color w:val="2E5596"/>
          <w:sz w:val="26"/>
          <w:szCs w:val="26"/>
        </w:rPr>
        <w:t xml:space="preserve">4.5 Analytic Estimate for a Spherical Void</w:t>
      </w:r>
    </w:p>
    <w:p>
      <w:pPr>
        <w:spacing w:after="80" w:before="60"/>
      </w:pPr>
      <w:r>
        <w:rPr>
          <w:rFonts w:ascii="Times New Roman" w:cs="Times New Roman" w:eastAsia="Times New Roman" w:hAnsi="Times New Roman"/>
          <w:sz w:val="24"/>
          <w:szCs w:val="24"/>
        </w:rPr>
        <w:t xml:space="preserve">To evaluate the magnitude of the scalar-tensor effect, we consider a spherical underdense region (void) of radius R with constant density contrast δ₀ &lt; 0. In the central region (r → 0) of the dimensionless equation, the field approaches a constant particular solution:</w:t>
      </w:r>
    </w:p>
    <w:p>
      <w:pPr>
        <w:spacing w:after="0" w:before="0"/>
      </w:pPr>
      <w:r>
        <w:t xml:space="preserve"/>
      </w:r>
    </w:p>
    <w:p>
      <w:pPr>
        <w:spacing w:after="100" w:before="100"/>
        <w:jc w:val="center"/>
      </w:pPr>
      <w:r>
        <w:rPr>
          <w:rFonts w:ascii="Courier New" w:cs="Courier New" w:eastAsia="Courier New" w:hAnsi="Courier New"/>
          <w:sz w:val="22"/>
          <w:szCs w:val="22"/>
        </w:rPr>
        <w:t xml:space="preserve">φ̃(0) ≈ −β̃ δ₀ λ̃²</w:t>
      </w:r>
    </w:p>
    <w:p>
      <w:pPr>
        <w:spacing w:after="0" w:before="0"/>
      </w:pPr>
      <w:r>
        <w:t xml:space="preserve"/>
      </w:r>
    </w:p>
    <w:p>
      <w:pPr>
        <w:spacing w:after="80" w:before="60"/>
      </w:pPr>
      <w:r>
        <w:rPr>
          <w:rFonts w:ascii="Times New Roman" w:cs="Times New Roman" w:eastAsia="Times New Roman" w:hAnsi="Times New Roman"/>
          <w:sz w:val="24"/>
          <w:szCs w:val="24"/>
        </w:rPr>
        <w:t xml:space="preserve">For a representative large-scale void with δ₀ ≈ −0.3 and interaction scale λ ~ H₀⁻¹ (i.e., λ̃ ~ 1 in dimensionless units), this gives:</w:t>
      </w:r>
    </w:p>
    <w:p>
      <w:pPr>
        <w:spacing w:after="0" w:before="0"/>
      </w:pPr>
      <w:r>
        <w:t xml:space="preserve"/>
      </w:r>
    </w:p>
    <w:p>
      <w:pPr>
        <w:spacing w:after="100" w:before="100"/>
        <w:jc w:val="center"/>
      </w:pPr>
      <w:r>
        <w:rPr>
          <w:rFonts w:ascii="Courier New" w:cs="Courier New" w:eastAsia="Courier New" w:hAnsi="Courier New"/>
          <w:sz w:val="22"/>
          <w:szCs w:val="22"/>
        </w:rPr>
        <w:t xml:space="preserve">φ̃(0) ~ 0.3 β̃</w:t>
      </w:r>
    </w:p>
    <w:p>
      <w:pPr>
        <w:spacing w:after="0" w:before="0"/>
      </w:pPr>
      <w:r>
        <w:t xml:space="preserve"/>
      </w:r>
    </w:p>
    <w:p>
      <w:pPr>
        <w:spacing w:after="80" w:before="60"/>
      </w:pPr>
      <w:r>
        <w:rPr>
          <w:rFonts w:ascii="Times New Roman" w:cs="Times New Roman" w:eastAsia="Times New Roman" w:hAnsi="Times New Roman"/>
          <w:sz w:val="24"/>
          <w:szCs w:val="24"/>
        </w:rPr>
        <w:t xml:space="preserve">The connection from φ to the local expansion rate is not through a separate free parameter, but through the scalar-tensor modification of the effective gravitational coupling. In scalar-tensor theory, the effective gravitational constant in underdense regions is:</w:t>
      </w:r>
    </w:p>
    <w:p>
      <w:pPr>
        <w:spacing w:after="0" w:before="0"/>
      </w:pPr>
      <w:r>
        <w:t xml:space="preserve"/>
      </w:r>
    </w:p>
    <w:p>
      <w:pPr>
        <w:spacing w:after="100" w:before="100"/>
        <w:jc w:val="center"/>
      </w:pPr>
      <w:r>
        <w:rPr>
          <w:rFonts w:ascii="Courier New" w:cs="Courier New" w:eastAsia="Courier New" w:hAnsi="Courier New"/>
          <w:sz w:val="22"/>
          <w:szCs w:val="22"/>
        </w:rPr>
        <w:t xml:space="preserve">G_eff(void) / G = 1 + 2β²</w:t>
      </w:r>
    </w:p>
    <w:p>
      <w:pPr>
        <w:spacing w:after="0" w:before="0"/>
      </w:pPr>
      <w:r>
        <w:t xml:space="preserve"/>
      </w:r>
    </w:p>
    <w:p>
      <w:pPr>
        <w:spacing w:after="80" w:before="60"/>
      </w:pPr>
      <w:r>
        <w:rPr>
          <w:rFonts w:ascii="Times New Roman" w:cs="Times New Roman" w:eastAsia="Times New Roman" w:hAnsi="Times New Roman"/>
          <w:sz w:val="24"/>
          <w:szCs w:val="24"/>
        </w:rPr>
        <w:t xml:space="preserve">This modifies the Friedmann equation, producing a fractional Hubble deviation:</w:t>
      </w:r>
    </w:p>
    <w:p>
      <w:pPr>
        <w:spacing w:after="0" w:before="0"/>
      </w:pPr>
      <w:r>
        <w:t xml:space="preserve"/>
      </w:r>
    </w:p>
    <w:p>
      <w:pPr>
        <w:spacing w:after="100" w:before="100"/>
        <w:jc w:val="center"/>
      </w:pPr>
      <w:r>
        <w:rPr>
          <w:rFonts w:ascii="Courier New" w:cs="Courier New" w:eastAsia="Courier New" w:hAnsi="Courier New"/>
          <w:sz w:val="22"/>
          <w:szCs w:val="22"/>
        </w:rPr>
        <w:t xml:space="preserve">ΔH/H ≈ β² |δ₀|</w:t>
      </w:r>
    </w:p>
    <w:p>
      <w:pPr>
        <w:spacing w:after="0" w:before="0"/>
      </w:pPr>
      <w:r>
        <w:t xml:space="preserve"/>
      </w:r>
    </w:p>
    <w:p>
      <w:pPr>
        <w:spacing w:after="80" w:before="60"/>
      </w:pPr>
      <w:r>
        <w:rPr>
          <w:rFonts w:ascii="Times New Roman" w:cs="Times New Roman" w:eastAsia="Times New Roman" w:hAnsi="Times New Roman"/>
          <w:sz w:val="24"/>
          <w:szCs w:val="24"/>
        </w:rPr>
        <w:t xml:space="preserve">For representative values: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Coupling β</w:t>
            </w:r>
          </w:p>
        </w:tc>
        <w:tc>
          <w:tcPr>
            <w:tcW w:type="dxa" w:w="24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Density Contrast |δ|</w:t>
            </w:r>
          </w:p>
        </w:tc>
        <w:tc>
          <w:tcPr>
            <w:tcW w:type="dxa" w:w="24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Predicted ΔH/H</w:t>
            </w:r>
          </w:p>
        </w:tc>
        <w:tc>
          <w:tcPr>
            <w:tcW w:type="dxa" w:w="236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Physical Regime</w:t>
            </w:r>
          </w:p>
        </w:tc>
      </w:tr>
      <w:tr>
        <w:tc>
          <w:tcPr>
            <w:tcW w:type="dxa" w:w="2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β = 0.1</w:t>
            </w:r>
          </w:p>
        </w:tc>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|δ| = 0.3</w:t>
            </w:r>
          </w:p>
        </w:tc>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ΔH/H ~ 0.3%</w:t>
            </w:r>
          </w:p>
        </w:tc>
        <w:tc>
          <w:tcPr>
            <w:tcW w:type="dxa" w:w="23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Within Euclid lensing reach</w:t>
            </w:r>
          </w:p>
        </w:tc>
      </w:tr>
      <w:tr>
        <w:tc>
          <w:tcPr>
            <w:tcW w:type="dxa" w:w="2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β = 0.2</w:t>
            </w:r>
          </w:p>
        </w:tc>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|δ| = 0.3</w:t>
            </w:r>
          </w:p>
        </w:tc>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ΔH/H ~ 1.2%</w:t>
            </w:r>
          </w:p>
        </w:tc>
        <w:tc>
          <w:tcPr>
            <w:tcW w:type="dxa" w:w="23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Near detection threshold</w:t>
            </w:r>
          </w:p>
        </w:tc>
      </w:tr>
      <w:tr>
        <w:tc>
          <w:tcPr>
            <w:tcW w:type="dxa" w:w="2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β = 0.3</w:t>
            </w:r>
          </w:p>
        </w:tc>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|δ| = 0.8 (void interior)</w:t>
            </w:r>
          </w:p>
        </w:tc>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ΔH/H ~ 7.2%</w:t>
            </w:r>
          </w:p>
        </w:tc>
        <w:tc>
          <w:tcPr>
            <w:tcW w:type="dxa" w:w="23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Upper bound estimate</w:t>
            </w:r>
          </w:p>
        </w:tc>
      </w:tr>
    </w:tbl>
    <w:p>
      <w:pPr>
        <w:spacing w:after="0" w:before="0"/>
      </w:pPr>
      <w:r>
        <w:t xml:space="preserve"/>
      </w:r>
    </w:p>
    <w:p>
      <w:pPr>
        <w:spacing w:after="80" w:before="60"/>
      </w:pPr>
      <w:r>
        <w:rPr>
          <w:rFonts w:ascii="Times New Roman" w:cs="Times New Roman" w:eastAsia="Times New Roman" w:hAnsi="Times New Roman"/>
          <w:sz w:val="24"/>
          <w:szCs w:val="24"/>
        </w:rPr>
        <w:t xml:space="preserve">These estimates indicate that CGEM predicts a genuine, calculable structural contribution to local expansion variance. The contribution scales as β²|δ|, consistent with the G_eff modification already identified in Prediction 3 (Section 7). For allowed coupling values β ≲ 0.1, the effect lies below the Hubble tension magnitude (~5%) but remains observationally significant and testable. The upper bound case (β approaching 0.3) yields contributions that could be cosmologically relevant, but such values require careful consistency with solar system screening constraints.</w:t>
      </w:r>
    </w:p>
    <w:p>
      <w:pPr>
        <w:spacing w:after="80" w:before="60"/>
      </w:pPr>
      <w:r>
        <w:rPr>
          <w:rFonts w:ascii="Times New Roman" w:cs="Times New Roman" w:eastAsia="Times New Roman" w:hAnsi="Times New Roman"/>
          <w:sz w:val="24"/>
          <w:szCs w:val="24"/>
        </w:rPr>
        <w:t xml:space="preserve">This derivation removes the need for a phenomenological proportionality parameter α. The mapping from scalar field to expansion deviation is physically determined by the scalar-tensor coupling β through G_eff, making the prediction fully constrained by a single parameter with existing observational bounds.</w:t>
      </w:r>
    </w:p>
    <w:p>
      <w:pPr>
        <w:pStyle w:val="Heading1"/>
        <w:spacing w:after="120" w:before="360"/>
      </w:pPr>
      <w:r>
        <w:rPr>
          <w:rFonts w:ascii="Arial" w:cs="Arial" w:eastAsia="Arial" w:hAnsi="Arial"/>
          <w:b/>
          <w:bCs/>
          <w:color w:val="1F3864"/>
          <w:sz w:val="32"/>
          <w:szCs w:val="32"/>
        </w:rPr>
        <w:t xml:space="preserve">5.  Regime of Validity</w:t>
      </w:r>
    </w:p>
    <w:p>
      <w:pPr>
        <w:spacing w:after="80" w:before="60"/>
      </w:pPr>
      <w:r>
        <w:rPr>
          <w:rFonts w:ascii="Times New Roman" w:cs="Times New Roman" w:eastAsia="Times New Roman" w:hAnsi="Times New Roman"/>
          <w:sz w:val="24"/>
          <w:szCs w:val="24"/>
        </w:rPr>
        <w:t xml:space="preserve">All analytic expressions in this paper assume linear perturbation theory: |δ| &lt;&lt; 1. However, the most astrophysically relevant environments lie outside this regime:</w:t>
      </w:r>
    </w:p>
    <w:p>
      <w:pPr>
        <w:spacing w:after="0" w:before="0"/>
      </w:pPr>
      <w:r>
        <w:t xml:space="preserve"/>
      </w:r>
    </w:p>
    <w:p>
      <w:pPr>
        <w:pStyle w:val="ListParagraph"/>
        <w:numPr>
          <w:ilvl w:val="0"/>
          <w:numId w:val="2"/>
        </w:numPr>
        <w:spacing w:after="40" w:before="40"/>
      </w:pPr>
      <w:r>
        <w:rPr>
          <w:rFonts w:ascii="Times New Roman" w:cs="Times New Roman" w:eastAsia="Times New Roman" w:hAnsi="Times New Roman"/>
          <w:sz w:val="24"/>
          <w:szCs w:val="24"/>
        </w:rPr>
        <w:t xml:space="preserve">Void interiors: δ ≈ −0.8 — quasi-nonlinear</w:t>
      </w:r>
    </w:p>
    <w:p>
      <w:pPr>
        <w:pStyle w:val="ListParagraph"/>
        <w:numPr>
          <w:ilvl w:val="0"/>
          <w:numId w:val="2"/>
        </w:numPr>
        <w:spacing w:after="40" w:before="40"/>
      </w:pPr>
      <w:r>
        <w:rPr>
          <w:rFonts w:ascii="Times New Roman" w:cs="Times New Roman" w:eastAsia="Times New Roman" w:hAnsi="Times New Roman"/>
          <w:sz w:val="24"/>
          <w:szCs w:val="24"/>
        </w:rPr>
        <w:t xml:space="preserve">Cluster cores: δ &gt;&gt; 1 — fully nonlinear</w:t>
      </w:r>
    </w:p>
    <w:p>
      <w:pPr>
        <w:spacing w:after="0" w:before="0"/>
      </w:pPr>
      <w:r>
        <w:t xml:space="preserve"/>
      </w:r>
    </w:p>
    <w:p>
      <w:pPr>
        <w:pBdr>
          <w:top w:val="single" w:color="2E5596" w:sz="6"/>
          <w:bottom w:val="single" w:color="2E5596" w:sz="6"/>
        </w:pBdr>
        <w:spacing w:after="80" w:before="80"/>
        <w:ind w:left="360" w:right="360"/>
      </w:pPr>
      <w:r>
        <w:rPr>
          <w:rFonts w:ascii="Times New Roman" w:cs="Times New Roman" w:eastAsia="Times New Roman" w:hAnsi="Times New Roman"/>
          <w:i/>
          <w:iCs/>
          <w:sz w:val="22"/>
          <w:szCs w:val="22"/>
        </w:rPr>
        <w:t xml:space="preserve">Quantitative predictions require calibration using void profile models and N-body simulations. The analytic estimates in Sections 4.5 and 7 represent order-of-magnitude guides. Precision predictions require numerical methods, following the void profile formalism of Hamaus et al. (2015).</w:t>
      </w:r>
    </w:p>
    <w:p>
      <w:pPr>
        <w:pStyle w:val="Heading1"/>
        <w:spacing w:after="120" w:before="360"/>
      </w:pPr>
      <w:r>
        <w:rPr>
          <w:rFonts w:ascii="Arial" w:cs="Arial" w:eastAsia="Arial" w:hAnsi="Arial"/>
          <w:b/>
          <w:bCs/>
          <w:color w:val="1F3864"/>
          <w:sz w:val="32"/>
          <w:szCs w:val="32"/>
        </w:rPr>
        <w:t xml:space="preserve">6.  Null Hypothesis — ΛCDM Baseline</w:t>
      </w:r>
    </w:p>
    <w:p>
      <w:pPr>
        <w:spacing w:after="80" w:before="60"/>
      </w:pPr>
      <w:r>
        <w:rPr>
          <w:rFonts w:ascii="Times New Roman" w:cs="Times New Roman" w:eastAsia="Times New Roman" w:hAnsi="Times New Roman"/>
          <w:sz w:val="24"/>
          <w:szCs w:val="24"/>
        </w:rPr>
        <w:t xml:space="preserve">Under standard ΛCDM cosmology, the following conditions hold:</w:t>
      </w:r>
    </w:p>
    <w:p>
      <w:pPr>
        <w:spacing w:after="0" w:before="0"/>
      </w:pPr>
      <w:r>
        <w:t xml:space="preserve"/>
      </w:r>
    </w:p>
    <w:p>
      <w:pPr>
        <w:pStyle w:val="ListParagraph"/>
        <w:numPr>
          <w:ilvl w:val="0"/>
          <w:numId w:val="2"/>
        </w:numPr>
        <w:spacing w:after="40" w:before="40"/>
      </w:pPr>
      <w:r>
        <w:rPr>
          <w:rFonts w:ascii="Times New Roman" w:cs="Times New Roman" w:eastAsia="Times New Roman" w:hAnsi="Times New Roman"/>
          <w:sz w:val="24"/>
          <w:szCs w:val="24"/>
        </w:rPr>
        <w:t xml:space="preserve">G_eff = G (constant — no spatial variation in gravitational coupling)</w:t>
      </w:r>
    </w:p>
    <w:p>
      <w:pPr>
        <w:pStyle w:val="ListParagraph"/>
        <w:numPr>
          <w:ilvl w:val="0"/>
          <w:numId w:val="2"/>
        </w:numPr>
        <w:spacing w:after="40" w:before="40"/>
      </w:pPr>
      <w:r>
        <w:rPr>
          <w:rFonts w:ascii="Times New Roman" w:cs="Times New Roman" w:eastAsia="Times New Roman" w:hAnsi="Times New Roman"/>
          <w:sz w:val="24"/>
          <w:szCs w:val="24"/>
        </w:rPr>
        <w:t xml:space="preserve">Void expansion follows linear perturbation prediction</w:t>
      </w:r>
    </w:p>
    <w:p>
      <w:pPr>
        <w:pStyle w:val="ListParagraph"/>
        <w:numPr>
          <w:ilvl w:val="0"/>
          <w:numId w:val="2"/>
        </w:numPr>
        <w:spacing w:after="40" w:before="40"/>
      </w:pPr>
      <w:r>
        <w:rPr>
          <w:rFonts w:ascii="Times New Roman" w:cs="Times New Roman" w:eastAsia="Times New Roman" w:hAnsi="Times New Roman"/>
          <w:sz w:val="24"/>
          <w:szCs w:val="24"/>
        </w:rPr>
        <w:t xml:space="preserve">Peculiar velocities follow standard infall models</w:t>
      </w:r>
    </w:p>
    <w:p>
      <w:pPr>
        <w:spacing w:after="0" w:before="0"/>
      </w:pPr>
      <w:r>
        <w:t xml:space="preserve"/>
      </w:r>
    </w:p>
    <w:p>
      <w:pPr>
        <w:spacing w:after="80" w:before="60"/>
      </w:pPr>
      <w:r>
        <w:rPr>
          <w:rFonts w:ascii="Times New Roman" w:cs="Times New Roman" w:eastAsia="Times New Roman" w:hAnsi="Times New Roman"/>
          <w:sz w:val="24"/>
          <w:szCs w:val="24"/>
        </w:rPr>
        <w:t xml:space="preserve">CGEM predicts specific, quantitative deviations from each of these baselines. A null result from any prediction directly constrains β. A positive detection would constitute evidence for scalar-tensor coupling at cosmological scales.</w:t>
      </w:r>
    </w:p>
    <w:p>
      <w:pPr>
        <w:pStyle w:val="Heading1"/>
        <w:spacing w:after="120" w:before="360"/>
      </w:pPr>
      <w:r>
        <w:rPr>
          <w:rFonts w:ascii="Arial" w:cs="Arial" w:eastAsia="Arial" w:hAnsi="Arial"/>
          <w:b/>
          <w:bCs/>
          <w:color w:val="1F3864"/>
          <w:sz w:val="32"/>
          <w:szCs w:val="32"/>
        </w:rPr>
        <w:t xml:space="preserve">7.  Testable Predictions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160"/>
      </w:tblGrid>
      <w:tr>
        <w:tc>
          <w:tcPr>
            <w:tcW w:type="dxa" w:w="28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Prediction</w:t>
            </w:r>
          </w:p>
        </w:tc>
        <w:tc>
          <w:tcPr>
            <w:tcW w:type="dxa" w:w="20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Observable</w:t>
            </w:r>
          </w:p>
        </w:tc>
        <w:tc>
          <w:tcPr>
            <w:tcW w:type="dxa" w:w="24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Magnitude</w:t>
            </w:r>
          </w:p>
        </w:tc>
        <w:tc>
          <w:tcPr>
            <w:tcW w:type="dxa" w:w="216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Primary Instrument</w:t>
            </w:r>
          </w:p>
        </w:tc>
      </w:tr>
      <w:tr>
        <w:tc>
          <w:tcPr>
            <w:tcW w:type="dxa" w:w="28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1 — Void expansion deviation</w:t>
            </w:r>
          </w:p>
        </w:tc>
        <w:tc>
          <w:tcPr>
            <w:tcW w:type="dxa" w:w="2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ΔH_void</w:t>
            </w:r>
          </w:p>
        </w:tc>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0.01–0.3 km/s/Mpc</w:t>
            </w:r>
          </w:p>
        </w:tc>
        <w:tc>
          <w:tcPr>
            <w:tcW w:type="dxa" w:w="21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DESI, Euclid</w:t>
            </w:r>
          </w:p>
        </w:tc>
      </w:tr>
      <w:tr>
        <w:tc>
          <w:tcPr>
            <w:tcW w:type="dxa" w:w="28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2 — Peculiar velocity shift</w:t>
            </w:r>
          </w:p>
        </w:tc>
        <w:tc>
          <w:tcPr>
            <w:tcW w:type="dxa" w:w="2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Δv</w:t>
            </w:r>
          </w:p>
        </w:tc>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~1 km/s</w:t>
            </w:r>
          </w:p>
        </w:tc>
        <w:tc>
          <w:tcPr>
            <w:tcW w:type="dxa" w:w="21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Cosmicflows-4, LSST</w:t>
            </w:r>
          </w:p>
        </w:tc>
      </w:tr>
      <w:tr>
        <w:tc>
          <w:tcPr>
            <w:tcW w:type="dxa" w:w="28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3 — Effective gravity variation</w:t>
            </w:r>
          </w:p>
        </w:tc>
        <w:tc>
          <w:tcPr>
            <w:tcW w:type="dxa" w:w="2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G_eff ratio</w:t>
            </w:r>
          </w:p>
        </w:tc>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1 + 2β²  (~2% for β = 0.1)</w:t>
            </w:r>
          </w:p>
        </w:tc>
        <w:tc>
          <w:tcPr>
            <w:tcW w:type="dxa" w:w="21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Euclid lensing</w:t>
            </w:r>
          </w:p>
        </w:tc>
      </w:tr>
    </w:tbl>
    <w:p>
      <w:pPr>
        <w:spacing w:after="0" w:before="0"/>
      </w:pPr>
      <w:r>
        <w:t xml:space="preserve"/>
      </w:r>
    </w:p>
    <w:p>
      <w:pPr>
        <w:pStyle w:val="Heading2"/>
        <w:spacing w:after="80" w:before="280"/>
      </w:pPr>
      <w:r>
        <w:rPr>
          <w:rFonts w:ascii="Arial" w:cs="Arial" w:eastAsia="Arial" w:hAnsi="Arial"/>
          <w:b/>
          <w:bCs/>
          <w:color w:val="2E5596"/>
          <w:sz w:val="26"/>
          <w:szCs w:val="26"/>
        </w:rPr>
        <w:t xml:space="preserve">Prediction 3 — Effective Gravity Variation (Primary Test)</w:t>
      </w:r>
    </w:p>
    <w:p>
      <w:pPr>
        <w:spacing w:after="80" w:before="60"/>
      </w:pPr>
      <w:r>
        <w:rPr>
          <w:rFonts w:ascii="Times New Roman" w:cs="Times New Roman" w:eastAsia="Times New Roman" w:hAnsi="Times New Roman"/>
          <w:sz w:val="24"/>
          <w:szCs w:val="24"/>
        </w:rPr>
        <w:t xml:space="preserve">The scalar field modification produces a spatially varying effective gravitational constant:</w:t>
      </w:r>
    </w:p>
    <w:p>
      <w:pPr>
        <w:spacing w:after="0" w:before="0"/>
      </w:pPr>
      <w:r>
        <w:t xml:space="preserve"/>
      </w:r>
    </w:p>
    <w:p>
      <w:pPr>
        <w:spacing w:after="100" w:before="100"/>
        <w:jc w:val="center"/>
      </w:pPr>
      <w:r>
        <w:rPr>
          <w:rFonts w:ascii="Courier New" w:cs="Courier New" w:eastAsia="Courier New" w:hAnsi="Courier New"/>
          <w:sz w:val="22"/>
          <w:szCs w:val="22"/>
        </w:rPr>
        <w:t xml:space="preserve">G_eff(void) / G_eff(cluster) = 1 + 2β²</w:t>
      </w:r>
    </w:p>
    <w:p>
      <w:pPr>
        <w:spacing w:after="0" w:before="0"/>
      </w:pPr>
      <w:r>
        <w:t xml:space="preserve"/>
      </w:r>
    </w:p>
    <w:p>
      <w:pPr>
        <w:spacing w:after="80" w:before="60"/>
      </w:pPr>
      <w:r>
        <w:rPr>
          <w:rFonts w:ascii="Times New Roman" w:cs="Times New Roman" w:eastAsia="Times New Roman" w:hAnsi="Times New Roman"/>
          <w:sz w:val="24"/>
          <w:szCs w:val="24"/>
        </w:rPr>
        <w:t xml:space="preserve">For β ~ 0.1, this predicts approximately 2% variation in effective gravitational coupling between void interiors and cluster cores, beyond what the standard matter distribution predicts. This is the strongest and most falsifiable prediction — it is quantitative, tied directly to the scalar field mechanism, physically derived (not parametric), and will be definitively tested by Euclid weak lensing surveys (Cai et al. 2015; Pisani et al. 2019).</w:t>
      </w:r>
    </w:p>
    <w:p>
      <w:pPr>
        <w:spacing w:after="80" w:before="60"/>
      </w:pPr>
      <w:r>
        <w:rPr>
          <w:rFonts w:ascii="Times New Roman" w:cs="Times New Roman" w:eastAsia="Times New Roman" w:hAnsi="Times New Roman"/>
          <w:sz w:val="24"/>
          <w:szCs w:val="24"/>
        </w:rPr>
        <w:t xml:space="preserve">Importantly, Prediction 3 and the analytic estimate in Section 4.5 are fully consistent: both express the same underlying physics (ΔH/H ~ β²|δ|), confirming that the model’s coupling chain is internally coherent.</w:t>
      </w:r>
    </w:p>
    <w:p>
      <w:pPr>
        <w:pStyle w:val="Heading1"/>
        <w:spacing w:after="120" w:before="360"/>
      </w:pPr>
      <w:r>
        <w:rPr>
          <w:rFonts w:ascii="Arial" w:cs="Arial" w:eastAsia="Arial" w:hAnsi="Arial"/>
          <w:b/>
          <w:bCs/>
          <w:color w:val="1F3864"/>
          <w:sz w:val="32"/>
          <w:szCs w:val="32"/>
        </w:rPr>
        <w:t xml:space="preserve">8.  Research Significance</w:t>
      </w:r>
    </w:p>
    <w:p>
      <w:pPr>
        <w:spacing w:after="0" w:before="0"/>
      </w:pPr>
      <w:r>
        <w:t xml:space="preserve"/>
      </w:r>
    </w:p>
    <w:p>
      <w:pPr>
        <w:pBdr>
          <w:top w:val="single" w:color="2E5596" w:sz="6"/>
          <w:bottom w:val="single" w:color="2E5596" w:sz="6"/>
        </w:pBdr>
        <w:spacing w:after="80" w:before="80"/>
        <w:ind w:left="360" w:right="360"/>
      </w:pPr>
      <w:r>
        <w:rPr>
          <w:rFonts w:ascii="Times New Roman" w:cs="Times New Roman" w:eastAsia="Times New Roman" w:hAnsi="Times New Roman"/>
          <w:i/>
          <w:iCs/>
          <w:sz w:val="22"/>
          <w:szCs w:val="22"/>
        </w:rPr>
        <w:t xml:space="preserve">CGEM provides a structured test of whether large-scale cosmological inhomogeneity induces measurable deviations in expansion dynamics and gravitational coupling via scalar-field interaction.</w:t>
      </w:r>
    </w:p>
    <w:p>
      <w:pPr>
        <w:spacing w:after="0" w:before="0"/>
      </w:pPr>
      <w:r>
        <w:t xml:space="preserve"/>
      </w:r>
    </w:p>
    <w:p>
      <w:pPr>
        <w:spacing w:after="80" w:before="60"/>
      </w:pPr>
      <w:r>
        <w:rPr>
          <w:rFonts w:ascii="Times New Roman" w:cs="Times New Roman" w:eastAsia="Times New Roman" w:hAnsi="Times New Roman"/>
          <w:sz w:val="24"/>
          <w:szCs w:val="24"/>
        </w:rPr>
        <w:t xml:space="preserve">Scientific implications:</w:t>
      </w:r>
    </w:p>
    <w:p>
      <w:pPr>
        <w:spacing w:after="0" w:before="0"/>
      </w:pPr>
      <w:r>
        <w:t xml:space="preserve"/>
      </w:r>
    </w:p>
    <w:p>
      <w:pPr>
        <w:pStyle w:val="ListParagraph"/>
        <w:numPr>
          <w:ilvl w:val="0"/>
          <w:numId w:val="2"/>
        </w:numPr>
        <w:spacing w:after="40" w:before="40"/>
      </w:pPr>
      <w:r>
        <w:rPr>
          <w:rFonts w:ascii="Times New Roman" w:cs="Times New Roman" w:eastAsia="Times New Roman" w:hAnsi="Times New Roman"/>
          <w:sz w:val="24"/>
          <w:szCs w:val="24"/>
        </w:rPr>
        <w:t xml:space="preserve">Constrains scalar-tensor gravity models — direct observational bounds on β</w:t>
      </w:r>
    </w:p>
    <w:p>
      <w:pPr>
        <w:pStyle w:val="ListParagraph"/>
        <w:numPr>
          <w:ilvl w:val="0"/>
          <w:numId w:val="2"/>
        </w:numPr>
        <w:spacing w:after="40" w:before="40"/>
      </w:pPr>
      <w:r>
        <w:rPr>
          <w:rFonts w:ascii="Times New Roman" w:cs="Times New Roman" w:eastAsia="Times New Roman" w:hAnsi="Times New Roman"/>
          <w:sz w:val="24"/>
          <w:szCs w:val="24"/>
        </w:rPr>
        <w:t xml:space="preserve">Probes dark energy behavior through spatial variation in expansion dynamics, complementary to global expansion history measurements</w:t>
      </w:r>
    </w:p>
    <w:p>
      <w:pPr>
        <w:pStyle w:val="ListParagraph"/>
        <w:numPr>
          <w:ilvl w:val="0"/>
          <w:numId w:val="2"/>
        </w:numPr>
        <w:spacing w:after="40" w:before="40"/>
      </w:pPr>
      <w:r>
        <w:rPr>
          <w:rFonts w:ascii="Times New Roman" w:cs="Times New Roman" w:eastAsia="Times New Roman" w:hAnsi="Times New Roman"/>
          <w:sz w:val="24"/>
          <w:szCs w:val="24"/>
        </w:rPr>
        <w:t xml:space="preserve">Links void dynamics with modified gravity effects — structure formation as a probe of fundamental interactions</w:t>
      </w:r>
    </w:p>
    <w:p>
      <w:pPr>
        <w:pStyle w:val="ListParagraph"/>
        <w:numPr>
          <w:ilvl w:val="0"/>
          <w:numId w:val="2"/>
        </w:numPr>
        <w:spacing w:after="40" w:before="40"/>
      </w:pPr>
      <w:r>
        <w:rPr>
          <w:rFonts w:ascii="Times New Roman" w:cs="Times New Roman" w:eastAsia="Times New Roman" w:hAnsi="Times New Roman"/>
          <w:sz w:val="24"/>
          <w:szCs w:val="24"/>
        </w:rPr>
        <w:t xml:space="preserve">Even null results provide meaningful constraints — bounding β at increasingly small values restricts the viable parameter space of scalar-tensor theories</w:t>
      </w:r>
    </w:p>
    <w:p>
      <w:pPr>
        <w:pStyle w:val="ListParagraph"/>
        <w:numPr>
          <w:ilvl w:val="0"/>
          <w:numId w:val="2"/>
        </w:numPr>
        <w:spacing w:after="40" w:before="40"/>
      </w:pPr>
      <w:r>
        <w:rPr>
          <w:rFonts w:ascii="Times New Roman" w:cs="Times New Roman" w:eastAsia="Times New Roman" w:hAnsi="Times New Roman"/>
          <w:sz w:val="24"/>
          <w:szCs w:val="24"/>
        </w:rPr>
        <w:t xml:space="preserve">The screened field equation resolves the scale divergence present in earlier versions, providing a physically self-consistent mechanism</w:t>
      </w:r>
    </w:p>
    <w:p>
      <w:pPr>
        <w:pStyle w:val="Heading1"/>
        <w:spacing w:after="120" w:before="360"/>
      </w:pPr>
      <w:r>
        <w:rPr>
          <w:rFonts w:ascii="Arial" w:cs="Arial" w:eastAsia="Arial" w:hAnsi="Arial"/>
          <w:b/>
          <w:bCs/>
          <w:color w:val="1F3864"/>
          <w:sz w:val="32"/>
          <w:szCs w:val="32"/>
        </w:rPr>
        <w:t xml:space="preserve">9.  Limitations</w:t>
      </w:r>
    </w:p>
    <w:p>
      <w:pPr>
        <w:spacing w:after="0" w:before="0"/>
      </w:pPr>
      <w:r>
        <w:t xml:space="preserve"/>
      </w:r>
    </w:p>
    <w:p>
      <w:pPr>
        <w:pStyle w:val="Heading3"/>
        <w:spacing w:after="60" w:before="200"/>
      </w:pPr>
      <w:r>
        <w:rPr>
          <w:rFonts w:ascii="Arial" w:cs="Arial" w:eastAsia="Arial" w:hAnsi="Arial"/>
          <w:b/>
          <w:bCs/>
          <w:color w:val="4A6FA5"/>
          <w:sz w:val="24"/>
          <w:szCs w:val="24"/>
        </w:rPr>
        <w:t xml:space="preserve">Model dependence</w:t>
      </w:r>
    </w:p>
    <w:p>
      <w:pPr>
        <w:spacing w:after="80" w:before="60"/>
      </w:pPr>
      <w:r>
        <w:rPr>
          <w:rFonts w:ascii="Times New Roman" w:cs="Times New Roman" w:eastAsia="Times New Roman" w:hAnsi="Times New Roman"/>
          <w:sz w:val="24"/>
          <w:szCs w:val="24"/>
        </w:rPr>
        <w:t xml:space="preserve">The primary coupling mechanism relies on chameleon or symmetron fields. CGEM does not derive a new field from first principles but operates within existing modified gravity frameworks. If such fields do not exist in nature, the mechanism is invalidated.</w:t>
      </w:r>
    </w:p>
    <w:p>
      <w:pPr>
        <w:spacing w:after="0" w:before="0"/>
      </w:pPr>
      <w:r>
        <w:t xml:space="preserve"/>
      </w:r>
    </w:p>
    <w:p>
      <w:pPr>
        <w:pStyle w:val="Heading3"/>
        <w:spacing w:after="60" w:before="200"/>
      </w:pPr>
      <w:r>
        <w:rPr>
          <w:rFonts w:ascii="Arial" w:cs="Arial" w:eastAsia="Arial" w:hAnsi="Arial"/>
          <w:b/>
          <w:bCs/>
          <w:color w:val="4A6FA5"/>
          <w:sz w:val="24"/>
          <w:szCs w:val="24"/>
        </w:rPr>
        <w:t xml:space="preserve">Degeneracy</w:t>
      </w:r>
    </w:p>
    <w:p>
      <w:pPr>
        <w:spacing w:after="80" w:before="60"/>
      </w:pPr>
      <w:r>
        <w:rPr>
          <w:rFonts w:ascii="Times New Roman" w:cs="Times New Roman" w:eastAsia="Times New Roman" w:hAnsi="Times New Roman"/>
          <w:sz w:val="24"/>
          <w:szCs w:val="24"/>
        </w:rPr>
        <w:t xml:space="preserve">Predicted observables overlap with signatures from other scalar-tensor models. Distinguishing CGEM-specific effects requires careful parameter constraints and cross-observational analysis.</w:t>
      </w:r>
    </w:p>
    <w:p>
      <w:pPr>
        <w:spacing w:after="0" w:before="0"/>
      </w:pPr>
      <w:r>
        <w:t xml:space="preserve"/>
      </w:r>
    </w:p>
    <w:p>
      <w:pPr>
        <w:pStyle w:val="Heading3"/>
        <w:spacing w:after="60" w:before="200"/>
      </w:pPr>
      <w:r>
        <w:rPr>
          <w:rFonts w:ascii="Arial" w:cs="Arial" w:eastAsia="Arial" w:hAnsi="Arial"/>
          <w:b/>
          <w:bCs/>
          <w:color w:val="4A6FA5"/>
          <w:sz w:val="24"/>
          <w:szCs w:val="24"/>
        </w:rPr>
        <w:t xml:space="preserve">Linear regime approximation</w:t>
      </w:r>
    </w:p>
    <w:p>
      <w:pPr>
        <w:spacing w:after="80" w:before="60"/>
      </w:pPr>
      <w:r>
        <w:rPr>
          <w:rFonts w:ascii="Times New Roman" w:cs="Times New Roman" w:eastAsia="Times New Roman" w:hAnsi="Times New Roman"/>
          <w:sz w:val="24"/>
          <w:szCs w:val="24"/>
        </w:rPr>
        <w:t xml:space="preserve">Most relevant environments lie in the quasi-nonlinear or nonlinear regime. Accurate modeling requires numerical simulations or calibrated void profile models.</w:t>
      </w:r>
    </w:p>
    <w:p>
      <w:pPr>
        <w:spacing w:after="0" w:before="0"/>
      </w:pPr>
      <w:r>
        <w:t xml:space="preserve"/>
      </w:r>
    </w:p>
    <w:p>
      <w:pPr>
        <w:pStyle w:val="Heading3"/>
        <w:spacing w:after="60" w:before="200"/>
      </w:pPr>
      <w:r>
        <w:rPr>
          <w:rFonts w:ascii="Arial" w:cs="Arial" w:eastAsia="Arial" w:hAnsi="Arial"/>
          <w:b/>
          <w:bCs/>
          <w:color w:val="4A6FA5"/>
          <w:sz w:val="24"/>
          <w:szCs w:val="24"/>
        </w:rPr>
        <w:t xml:space="preserve">Observational sensitivity</w:t>
      </w:r>
    </w:p>
    <w:p>
      <w:pPr>
        <w:spacing w:after="80" w:before="60"/>
      </w:pPr>
      <w:r>
        <w:rPr>
          <w:rFonts w:ascii="Times New Roman" w:cs="Times New Roman" w:eastAsia="Times New Roman" w:hAnsi="Times New Roman"/>
          <w:sz w:val="24"/>
          <w:szCs w:val="24"/>
        </w:rPr>
        <w:t xml:space="preserve">Predicted deviations (ΔH ~ 0.01–0.3 km/s/Mpc, Δv ~ 1 km/s) are near the limit of current observational capabilities. Detection depends on survey precision, systematics control, and statistical methodology.</w:t>
      </w:r>
    </w:p>
    <w:p>
      <w:pPr>
        <w:spacing w:after="0" w:before="0"/>
      </w:pPr>
      <w:r>
        <w:t xml:space="preserve"/>
      </w:r>
    </w:p>
    <w:p>
      <w:pPr>
        <w:pStyle w:val="Heading3"/>
        <w:spacing w:after="60" w:before="200"/>
      </w:pPr>
      <w:r>
        <w:rPr>
          <w:rFonts w:ascii="Arial" w:cs="Arial" w:eastAsia="Arial" w:hAnsi="Arial"/>
          <w:b/>
          <w:bCs/>
          <w:color w:val="4A6FA5"/>
          <w:sz w:val="24"/>
          <w:szCs w:val="24"/>
        </w:rPr>
        <w:t xml:space="preserve">Contribution to Hubble tension</w:t>
      </w:r>
    </w:p>
    <w:p>
      <w:pPr>
        <w:spacing w:after="80" w:before="60"/>
      </w:pPr>
      <w:r>
        <w:rPr>
          <w:rFonts w:ascii="Times New Roman" w:cs="Times New Roman" w:eastAsia="Times New Roman" w:hAnsi="Times New Roman"/>
          <w:sz w:val="24"/>
          <w:szCs w:val="24"/>
        </w:rPr>
        <w:t xml:space="preserve">For allowed coupling values β ≲ 0.1, CGEM predicts contributions to local expansion variance of order ΔH/H ~ 0.3%. This is a genuine structural effect but lies below the full Hubble tension magnitude (~5%). CGEM is not proposed as a complete resolution of the Hubble tension, but as a calculable and testable structural contribution to it.</w:t>
      </w:r>
    </w:p>
    <w:p>
      <w:pPr>
        <w:spacing w:after="0" w:before="0"/>
      </w:pPr>
      <w:r>
        <w:t xml:space="preserve"/>
      </w:r>
    </w:p>
    <w:p>
      <w:pPr>
        <w:pStyle w:val="Heading3"/>
        <w:spacing w:after="60" w:before="200"/>
      </w:pPr>
      <w:r>
        <w:rPr>
          <w:rFonts w:ascii="Arial" w:cs="Arial" w:eastAsia="Arial" w:hAnsi="Arial"/>
          <w:b/>
          <w:bCs/>
          <w:color w:val="4A6FA5"/>
          <w:sz w:val="24"/>
          <w:szCs w:val="24"/>
        </w:rPr>
        <w:t xml:space="preserve">No local applicability</w:t>
      </w:r>
    </w:p>
    <w:p>
      <w:pPr>
        <w:spacing w:after="80" w:before="60"/>
      </w:pPr>
      <w:r>
        <w:rPr>
          <w:rFonts w:ascii="Times New Roman" w:cs="Times New Roman" w:eastAsia="Times New Roman" w:hAnsi="Times New Roman"/>
          <w:sz w:val="24"/>
          <w:szCs w:val="24"/>
        </w:rPr>
        <w:t xml:space="preserve">CGEM operates explicitly at cosmological (Mpc) scales. The model does not imply any form of practical energy extraction or local engineering application.</w:t>
      </w:r>
    </w:p>
    <w:p>
      <w:pPr>
        <w:pStyle w:val="Heading1"/>
        <w:spacing w:after="120" w:before="360"/>
      </w:pPr>
      <w:r>
        <w:rPr>
          <w:rFonts w:ascii="Arial" w:cs="Arial" w:eastAsia="Arial" w:hAnsi="Arial"/>
          <w:b/>
          <w:bCs/>
          <w:color w:val="1F3864"/>
          <w:sz w:val="32"/>
          <w:szCs w:val="32"/>
        </w:rPr>
        <w:t xml:space="preserve">10.  Implications</w:t>
      </w:r>
    </w:p>
    <w:p>
      <w:pPr>
        <w:spacing w:after="0" w:before="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560"/>
      </w:tblGrid>
      <w:tr>
        <w:tc>
          <w:tcPr>
            <w:tcW w:type="dxa" w:w="28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Implication</w:t>
            </w:r>
          </w:p>
        </w:tc>
        <w:tc>
          <w:tcPr>
            <w:tcW w:type="dxa" w:w="30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Scientific Meaning</w:t>
            </w:r>
          </w:p>
        </w:tc>
        <w:tc>
          <w:tcPr>
            <w:tcW w:type="dxa" w:w="256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Primary Test</w:t>
            </w:r>
          </w:p>
        </w:tc>
      </w:tr>
      <w:tr>
        <w:tc>
          <w:tcPr>
            <w:tcW w:type="dxa" w:w="28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Environment-dependent gravity</w:t>
            </w:r>
          </w:p>
        </w:tc>
        <w:tc>
          <w:tcPr>
            <w:tcW w:type="dxa" w:w="3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Evidence for scalar-field-mediated gravity or GR extensions</w:t>
            </w:r>
          </w:p>
        </w:tc>
        <w:tc>
          <w:tcPr>
            <w:tcW w:type="dxa" w:w="25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Euclid lensing</w:t>
            </w:r>
          </w:p>
        </w:tc>
      </w:tr>
      <w:tr>
        <w:tc>
          <w:tcPr>
            <w:tcW w:type="dxa" w:w="28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Dark energy probe (spatial)</w:t>
            </w:r>
          </w:p>
        </w:tc>
        <w:tc>
          <w:tcPr>
            <w:tcW w:type="dxa" w:w="3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Dark energy studied via spatial variation, beyond global expansion history</w:t>
            </w:r>
          </w:p>
        </w:tc>
        <w:tc>
          <w:tcPr>
            <w:tcW w:type="dxa" w:w="25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DESI</w:t>
            </w:r>
          </w:p>
        </w:tc>
      </w:tr>
      <w:tr>
        <w:tc>
          <w:tcPr>
            <w:tcW w:type="dxa" w:w="28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Structure–field coupling</w:t>
            </w:r>
          </w:p>
        </w:tc>
        <w:tc>
          <w:tcPr>
            <w:tcW w:type="dxa" w:w="3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Structure formation more tightly linked to fundamental interactions than in standard ΛCDM</w:t>
            </w:r>
          </w:p>
        </w:tc>
        <w:tc>
          <w:tcPr>
            <w:tcW w:type="dxa" w:w="25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LSST</w:t>
            </w:r>
          </w:p>
        </w:tc>
      </w:tr>
      <w:tr>
        <w:tc>
          <w:tcPr>
            <w:tcW w:type="dxa" w:w="28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Parameter constraints</w:t>
            </w:r>
          </w:p>
        </w:tc>
        <w:tc>
          <w:tcPr>
            <w:tcW w:type="dxa" w:w="30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β bounds tighten viable scalar-tensor theory space; null results remain scientifically valuable</w:t>
            </w:r>
          </w:p>
        </w:tc>
        <w:tc>
          <w:tcPr>
            <w:tcW w:type="dxa" w:w="25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All surveys</w:t>
            </w:r>
          </w:p>
        </w:tc>
      </w:tr>
    </w:tbl>
    <w:p>
      <w:pPr>
        <w:spacing w:after="0" w:before="0"/>
      </w:pPr>
      <w:r>
        <w:t xml:space="preserve"/>
      </w:r>
    </w:p>
    <w:p>
      <w:pPr>
        <w:spacing w:after="80" w:before="60"/>
      </w:pPr>
      <w:r>
        <w:rPr>
          <w:rFonts w:ascii="Times New Roman" w:cs="Times New Roman" w:eastAsia="Times New Roman" w:hAnsi="Times New Roman"/>
          <w:sz w:val="24"/>
          <w:szCs w:val="24"/>
        </w:rPr>
        <w:t xml:space="preserve">While the presence of a cosmological expansion gradient suggests a conceptual pathway for energy extraction, no physically viable coupling mechanism is currently known. Accordingly, within the present framework, these effects remain purely observational and do not imply any practical or local energy-harvesting process.</w:t>
      </w:r>
    </w:p>
    <w:p>
      <w:pPr>
        <w:pStyle w:val="Heading1"/>
        <w:spacing w:after="120" w:before="360"/>
      </w:pPr>
      <w:r>
        <w:rPr>
          <w:rFonts w:ascii="Arial" w:cs="Arial" w:eastAsia="Arial" w:hAnsi="Arial"/>
          <w:b/>
          <w:bCs/>
          <w:color w:val="1F3864"/>
          <w:sz w:val="32"/>
          <w:szCs w:val="32"/>
        </w:rPr>
        <w:t xml:space="preserve">11.  Conclusion</w:t>
      </w:r>
    </w:p>
    <w:p>
      <w:pPr>
        <w:spacing w:after="80" w:before="60"/>
      </w:pPr>
      <w:r>
        <w:rPr>
          <w:rFonts w:ascii="Times New Roman" w:cs="Times New Roman" w:eastAsia="Times New Roman" w:hAnsi="Times New Roman"/>
          <w:sz w:val="24"/>
          <w:szCs w:val="24"/>
        </w:rPr>
        <w:t xml:space="preserve">CGEM establishes a minimal, testable framework in which:</w:t>
      </w:r>
    </w:p>
    <w:p>
      <w:pPr>
        <w:spacing w:after="0" w:before="0"/>
      </w:pPr>
      <w:r>
        <w:t xml:space="preserve"/>
      </w:r>
    </w:p>
    <w:p>
      <w:pPr>
        <w:pStyle w:val="ListParagraph"/>
        <w:numPr>
          <w:ilvl w:val="0"/>
          <w:numId w:val="2"/>
        </w:numPr>
        <w:spacing w:after="40" w:before="40"/>
      </w:pPr>
      <w:r>
        <w:rPr>
          <w:rFonts w:ascii="Times New Roman" w:cs="Times New Roman" w:eastAsia="Times New Roman" w:hAnsi="Times New Roman"/>
          <w:sz w:val="24"/>
          <w:szCs w:val="24"/>
        </w:rPr>
        <w:t xml:space="preserve">Cosmological inhomogeneity produces real, scale-dependent gradients in local expansion rate</w:t>
      </w:r>
    </w:p>
    <w:p>
      <w:pPr>
        <w:pStyle w:val="ListParagraph"/>
        <w:numPr>
          <w:ilvl w:val="0"/>
          <w:numId w:val="2"/>
        </w:numPr>
        <w:spacing w:after="40" w:before="40"/>
      </w:pPr>
      <w:r>
        <w:rPr>
          <w:rFonts w:ascii="Times New Roman" w:cs="Times New Roman" w:eastAsia="Times New Roman" w:hAnsi="Times New Roman"/>
          <w:sz w:val="24"/>
          <w:szCs w:val="24"/>
        </w:rPr>
        <w:t xml:space="preserve">A screened scalar field equation (Yukawa-type) provides a physically continuous and locally bounded mechanism linking structure to observables</w:t>
      </w:r>
    </w:p>
    <w:p>
      <w:pPr>
        <w:pStyle w:val="ListParagraph"/>
        <w:numPr>
          <w:ilvl w:val="0"/>
          <w:numId w:val="2"/>
        </w:numPr>
        <w:spacing w:after="40" w:before="40"/>
      </w:pPr>
      <w:r>
        <w:rPr>
          <w:rFonts w:ascii="Times New Roman" w:cs="Times New Roman" w:eastAsia="Times New Roman" w:hAnsi="Times New Roman"/>
          <w:sz w:val="24"/>
          <w:szCs w:val="24"/>
        </w:rPr>
        <w:t xml:space="preserve">The mapping from scalar field to expansion deviation is derived from scalar-tensor theory through G_eff modification, without introducing additional free parameters beyond β</w:t>
      </w:r>
    </w:p>
    <w:p>
      <w:pPr>
        <w:pStyle w:val="ListParagraph"/>
        <w:numPr>
          <w:ilvl w:val="0"/>
          <w:numId w:val="2"/>
        </w:numPr>
        <w:spacing w:after="40" w:before="40"/>
      </w:pPr>
      <w:r>
        <w:rPr>
          <w:rFonts w:ascii="Times New Roman" w:cs="Times New Roman" w:eastAsia="Times New Roman" w:hAnsi="Times New Roman"/>
          <w:sz w:val="24"/>
          <w:szCs w:val="24"/>
        </w:rPr>
        <w:t xml:space="preserve">Observable deviations from ΛCDM can be tested with current and near-future surveys</w:t>
      </w:r>
    </w:p>
    <w:p>
      <w:pPr>
        <w:spacing w:after="0" w:before="0"/>
      </w:pPr>
      <w:r>
        <w:t xml:space="preserve"/>
      </w:r>
    </w:p>
    <w:p>
      <w:pPr>
        <w:spacing w:after="80" w:before="60"/>
      </w:pPr>
      <w:r>
        <w:rPr>
          <w:rFonts w:ascii="Times New Roman" w:cs="Times New Roman" w:eastAsia="Times New Roman" w:hAnsi="Times New Roman"/>
          <w:sz w:val="24"/>
          <w:szCs w:val="24"/>
        </w:rPr>
        <w:t xml:space="preserve">The model introduces no violations of general relativity and remains fully constrained by existing observational bounds. It does not claim to fully resolve the Hubble tension, but provides a specific, falsifiable structural contribution of order ΔH/H ~ β²|δ| that will either be detected or bounded by Euclid and DESI. Both outcomes constitute genuine scientific progress.</w:t>
      </w:r>
    </w:p>
    <w:p>
      <w:pPr>
        <w:pStyle w:val="Heading1"/>
        <w:spacing w:after="120" w:before="360"/>
      </w:pPr>
      <w:r>
        <w:rPr>
          <w:rFonts w:ascii="Arial" w:cs="Arial" w:eastAsia="Arial" w:hAnsi="Arial"/>
          <w:b/>
          <w:bCs/>
          <w:color w:val="1F3864"/>
          <w:sz w:val="32"/>
          <w:szCs w:val="32"/>
        </w:rPr>
        <w:t xml:space="preserve">Appendix A — Historical Context (Optional)</w:t>
      </w:r>
    </w:p>
    <w:p>
      <w:pPr>
        <w:spacing w:after="80" w:before="60"/>
      </w:pPr>
      <w:r>
        <w:rPr>
          <w:rFonts w:ascii="Times New Roman" w:cs="Times New Roman" w:eastAsia="Times New Roman" w:hAnsi="Times New Roman"/>
          <w:i/>
          <w:iCs/>
          <w:sz w:val="24"/>
          <w:szCs w:val="24"/>
        </w:rPr>
        <w:t xml:space="preserve">The search for structure within apparent randomness has historical precedents in both physics and philosophy. Similar patterns have been qualitatively described in pre-modern systems of thought, including the I Ching (Book of Changes) and its later interpretation by Nan Huai-Chin as a framework for observing phase transitions in complex systems. However, CGEM stands entirely on its physical formulation and testable predictions. This appendix is included as cultural context only and forms no part of the scientific argument.</w:t>
      </w:r>
    </w:p>
    <w:p>
      <w:pPr>
        <w:pStyle w:val="Heading1"/>
        <w:spacing w:after="120" w:before="360"/>
      </w:pPr>
      <w:r>
        <w:rPr>
          <w:rFonts w:ascii="Arial" w:cs="Arial" w:eastAsia="Arial" w:hAnsi="Arial"/>
          <w:b/>
          <w:bCs/>
          <w:color w:val="1F3864"/>
          <w:sz w:val="32"/>
          <w:szCs w:val="32"/>
        </w:rPr>
        <w:t xml:space="preserve">References</w:t>
      </w:r>
    </w:p>
    <w:p>
      <w:pPr>
        <w:spacing w:after="40" w:before="40"/>
        <w:ind w:left="720" w:hanging="720"/>
      </w:pPr>
      <w:r>
        <w:rPr>
          <w:rFonts w:ascii="Times New Roman" w:cs="Times New Roman" w:eastAsia="Times New Roman" w:hAnsi="Times New Roman"/>
          <w:sz w:val="22"/>
          <w:szCs w:val="22"/>
        </w:rPr>
        <w:t xml:space="preserve">[1]  Khoury, J. &amp; Weltman, A. (2004). Chameleon Fields: Awaiting Surprises for Tests of Gravity in Space. Physical Review Letters, 93, 171104.</w:t>
      </w:r>
    </w:p>
    <w:p>
      <w:pPr>
        <w:spacing w:after="40" w:before="40"/>
        <w:ind w:left="720" w:hanging="720"/>
      </w:pPr>
      <w:r>
        <w:rPr>
          <w:rFonts w:ascii="Times New Roman" w:cs="Times New Roman" w:eastAsia="Times New Roman" w:hAnsi="Times New Roman"/>
          <w:sz w:val="22"/>
          <w:szCs w:val="22"/>
        </w:rPr>
        <w:t xml:space="preserve">[2]  Hinterbichler, K. &amp; Khoury, J. (2010). Symmetron Fields: Screening Long-Range Forces Through Local Symmetry Restoration. Physical Review Letters, 104, 231301.</w:t>
      </w:r>
    </w:p>
    <w:p>
      <w:pPr>
        <w:spacing w:after="40" w:before="40"/>
        <w:ind w:left="720" w:hanging="720"/>
      </w:pPr>
      <w:r>
        <w:rPr>
          <w:rFonts w:ascii="Times New Roman" w:cs="Times New Roman" w:eastAsia="Times New Roman" w:hAnsi="Times New Roman"/>
          <w:sz w:val="22"/>
          <w:szCs w:val="22"/>
        </w:rPr>
        <w:t xml:space="preserve">[3]  Hamaus, N., Sutter, P.M., &amp; Wandelt, B.D. (2015). Probing Cosmology and Gravity with Redshift-Space Distortions Around Voids. Journal of Cosmology and Astroparticle Physics.</w:t>
      </w:r>
    </w:p>
    <w:p>
      <w:pPr>
        <w:spacing w:after="40" w:before="40"/>
        <w:ind w:left="720" w:hanging="720"/>
      </w:pPr>
      <w:r>
        <w:rPr>
          <w:rFonts w:ascii="Times New Roman" w:cs="Times New Roman" w:eastAsia="Times New Roman" w:hAnsi="Times New Roman"/>
          <w:sz w:val="22"/>
          <w:szCs w:val="22"/>
        </w:rPr>
        <w:t xml:space="preserve">[4]  Paz, D., Lares, M., Ceccarelli, L., Padilla, N., &amp; Lambas, D.G. (2013). Clues on Void Evolution — II. Modelling Void Peculiar Velocity Profiles. Monthly Notices of the Royal Astronomical Society.</w:t>
      </w:r>
    </w:p>
    <w:p>
      <w:pPr>
        <w:spacing w:after="40" w:before="40"/>
        <w:ind w:left="720" w:hanging="720"/>
      </w:pPr>
      <w:r>
        <w:rPr>
          <w:rFonts w:ascii="Times New Roman" w:cs="Times New Roman" w:eastAsia="Times New Roman" w:hAnsi="Times New Roman"/>
          <w:sz w:val="22"/>
          <w:szCs w:val="22"/>
        </w:rPr>
        <w:t xml:space="preserve">[5]  Cai, Y-C., Neyrinck, M., Mao, Q., Cole, S., Szapudi, I., &amp; Peacock, J.A. (2015). The Lensing and Temperature of Cosmic Voids. Monthly Notices of the Royal Astronomical Society.</w:t>
      </w:r>
    </w:p>
    <w:p>
      <w:pPr>
        <w:spacing w:after="40" w:before="40"/>
        <w:ind w:left="720" w:hanging="720"/>
      </w:pPr>
      <w:r>
        <w:rPr>
          <w:rFonts w:ascii="Times New Roman" w:cs="Times New Roman" w:eastAsia="Times New Roman" w:hAnsi="Times New Roman"/>
          <w:sz w:val="22"/>
          <w:szCs w:val="22"/>
        </w:rPr>
        <w:t xml:space="preserve">[6]  Pisani, A., et al. (2019). Cosmic Voids: A Novel Probe to Shed Light on our Universe. Bulletin of the American Astronomical Society.</w:t>
      </w:r>
    </w:p>
    <w:p>
      <w:pPr>
        <w:spacing w:after="40" w:before="40"/>
        <w:ind w:left="720" w:hanging="720"/>
      </w:pPr>
      <w:r>
        <w:rPr>
          <w:rFonts w:ascii="Times New Roman" w:cs="Times New Roman" w:eastAsia="Times New Roman" w:hAnsi="Times New Roman"/>
          <w:sz w:val="22"/>
          <w:szCs w:val="22"/>
        </w:rPr>
        <w:t xml:space="preserve">[7]  Planck Collaboration (2018). Planck 2018 Results. VI. Cosmological Parameters. Astronomy &amp; Astrophysics.</w:t>
      </w:r>
    </w:p>
    <w:p>
      <w:pPr>
        <w:spacing w:after="40" w:before="40"/>
        <w:ind w:left="720" w:hanging="720"/>
      </w:pPr>
      <w:r>
        <w:rPr>
          <w:rFonts w:ascii="Times New Roman" w:cs="Times New Roman" w:eastAsia="Times New Roman" w:hAnsi="Times New Roman"/>
          <w:sz w:val="22"/>
          <w:szCs w:val="22"/>
        </w:rPr>
        <w:t xml:space="preserve">[8]  Carroll, S. (2004). Spacetime and Geometry: An Introduction to General Relativity. Addison-Wesley.</w:t>
      </w:r>
    </w:p>
    <w:p>
      <w:pPr>
        <w:spacing w:after="40" w:before="40"/>
        <w:ind w:left="720" w:hanging="720"/>
      </w:pPr>
      <w:r>
        <w:rPr>
          <w:rFonts w:ascii="Times New Roman" w:cs="Times New Roman" w:eastAsia="Times New Roman" w:hAnsi="Times New Roman"/>
          <w:sz w:val="22"/>
          <w:szCs w:val="22"/>
        </w:rPr>
        <w:t xml:space="preserve">[9]  Peebles, P.J.E. &amp; Ratra, B. (2003). The Cosmological Constant and Dark Energy. Reviews of Modern Physics, 75, 559.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2026-04-03T04:03:30.109Z</dcterms:created>
  <dcterms:modified xsi:type="dcterms:W3CDTF">2026-04-03T04:03:30.110Z</dcterms:modified>
</cp:coreProperties>
</file>

<file path=docProps/custom.xml><?xml version="1.0" encoding="utf-8"?>
<Properties xmlns="http://schemas.openxmlformats.org/officeDocument/2006/custom-properties" xmlns:vt="http://schemas.openxmlformats.org/officeDocument/2006/docPropsVTypes"/>
</file>