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720"/>
        <w:jc w:val="center"/>
      </w:pPr>
      <w:r>
        <w:rPr>
          <w:rFonts w:ascii="Arial" w:cs="Arial" w:eastAsia="Arial" w:hAnsi="Arial"/>
          <w:b/>
          <w:bCs/>
          <w:color w:val="1F3864"/>
          <w:sz w:val="40"/>
          <w:szCs w:val="40"/>
        </w:rPr>
        <w:t xml:space="preserve">The Domain of Non-Existence:</w:t>
      </w:r>
    </w:p>
    <w:p>
      <w:pPr>
        <w:spacing w:after="120" w:before="0"/>
        <w:jc w:val="center"/>
      </w:pPr>
      <w:r>
        <w:rPr>
          <w:rFonts w:ascii="Arial" w:cs="Arial" w:eastAsia="Arial" w:hAnsi="Arial"/>
          <w:b/>
          <w:bCs/>
          <w:color w:val="2E5596"/>
          <w:sz w:val="30"/>
          <w:szCs w:val="30"/>
        </w:rPr>
        <w:t xml:space="preserve">Formal Ontology, Structured Discovery, and the Trinity Framework</w:t>
      </w:r>
    </w:p>
    <w:p>
      <w:pPr>
        <w:spacing w:after="60" w:before="120"/>
        <w:jc w:val="center"/>
      </w:pPr>
      <w:r>
        <w:rPr>
          <w:rFonts w:ascii="Arial" w:cs="Arial" w:eastAsia="Arial" w:hAnsi="Arial"/>
          <w:i/>
          <w:iCs/>
          <w:color w:val="666666"/>
          <w:sz w:val="22"/>
          <w:szCs w:val="22"/>
        </w:rPr>
        <w:t xml:space="preserve">Preprint — April 2026</w:t>
      </w:r>
    </w:p>
    <w:p>
      <w:pPr>
        <w:spacing w:after="60" w:before="0"/>
        <w:jc w:val="center"/>
      </w:pPr>
      <w:r>
        <w:rPr>
          <w:rFonts w:ascii="Arial" w:cs="Arial" w:eastAsia="Arial" w:hAnsi="Arial"/>
          <w:i/>
          <w:iCs/>
          <w:color w:val="888888"/>
          <w:sz w:val="20"/>
          <w:szCs w:val="20"/>
        </w:rPr>
        <w:t xml:space="preserve">arXiv Submission Draft — Suggested classification: cs.AI | cs.CY</w:t>
      </w:r>
    </w:p>
    <w:p>
      <w:pPr>
        <w:spacing w:after="480" w:before="0"/>
        <w:jc w:val="center"/>
      </w:pPr>
      <w:r>
        <w:rPr>
          <w:rFonts w:ascii="Arial" w:cs="Arial" w:eastAsia="Arial" w:hAnsi="Arial"/>
          <w:i/>
          <w:iCs/>
          <w:color w:val="888888"/>
          <w:sz w:val="20"/>
          <w:szCs w:val="20"/>
        </w:rPr>
        <w:t xml:space="preserve">Keywords: possibility space · discovery methodology · Impossible-First Reasoning · adjacent possible · emergence · constraint analysis · autonomous AI agents · complex systems</w:t>
      </w:r>
    </w:p>
    <w:p>
      <w:pPr>
        <w:pStyle w:val="Heading1"/>
        <w:spacing w:after="120" w:before="360"/>
      </w:pPr>
      <w:r>
        <w:rPr>
          <w:rFonts w:ascii="Arial" w:cs="Arial" w:eastAsia="Arial" w:hAnsi="Arial"/>
          <w:b/>
          <w:bCs/>
          <w:color w:val="1F3864"/>
          <w:sz w:val="32"/>
          <w:szCs w:val="32"/>
        </w:rPr>
        <w:t xml:space="preserve">Abstract</w:t>
      </w:r>
    </w:p>
    <w:p>
      <w:pPr>
        <w:spacing w:after="80" w:before="60"/>
      </w:pPr>
      <w:r>
        <w:rPr>
          <w:rFonts w:ascii="Times New Roman" w:cs="Times New Roman" w:eastAsia="Times New Roman" w:hAnsi="Times New Roman"/>
          <w:sz w:val="24"/>
          <w:szCs w:val="24"/>
        </w:rPr>
        <w:t xml:space="preserve">This paper proposes a structural reinterpretation of non-existence. Rather than representing absolute absence, non-existence is understood as the domain of unrealized possibilities within a broader possibility space. Using a formal framework grounded in set theory and dynamic systems, the model describes how new structures emerge from unrealized possibilities through exploration, evaluation, and stability constraints. The framework connects ontological structure with processes observed in biological evolution, scientific discovery, technological innovation, and artificial intelligence.</w:t>
      </w:r>
    </w:p>
    <w:p>
      <w:pPr>
        <w:spacing w:after="0" w:before="0"/>
      </w:pPr>
      <w:r>
        <w:t xml:space="preserve"/>
      </w:r>
    </w:p>
    <w:p>
      <w:pPr>
        <w:spacing w:after="80" w:before="60"/>
      </w:pPr>
      <w:r>
        <w:rPr>
          <w:rFonts w:ascii="Times New Roman" w:cs="Times New Roman" w:eastAsia="Times New Roman" w:hAnsi="Times New Roman"/>
          <w:sz w:val="24"/>
          <w:szCs w:val="24"/>
        </w:rPr>
        <w:t xml:space="preserve">The paper's central contribution is a formal account of structured discovery through impossibility. When a target configuration appears impossible, that impossibility is not a terminal condition but a structured object of analysis: it marks a specific location in possibility space, bounded by identifiable constraints that may be contingent rather than absolute. This analysis is formalized through Impossible-First Reasoning (IFR), a three-stage discovery method in which radical imagination reveals constraint structure, constraint identification locates the boundary, and structural reframing — drawing on the Unification Method — reorganizes the generative conditions that produce the constraint. A worked historical case demonstrates the methodology. The paper also establishes formal correspondences between the mathematical framework and the Trinity Framework of Cognitive Systems, showing that the latter constitutes a natural cognitive architecture for navigating the possibility space formalized here.</w:t>
      </w:r>
    </w:p>
    <w:p>
      <w:pPr>
        <w:pStyle w:val="Heading1"/>
        <w:spacing w:after="120" w:before="360"/>
      </w:pPr>
      <w:r>
        <w:rPr>
          <w:rFonts w:ascii="Arial" w:cs="Arial" w:eastAsia="Arial" w:hAnsi="Arial"/>
          <w:b/>
          <w:bCs/>
          <w:color w:val="1F3864"/>
          <w:sz w:val="32"/>
          <w:szCs w:val="32"/>
        </w:rPr>
        <w:t xml:space="preserve">1. Introduction</w:t>
      </w:r>
    </w:p>
    <w:p>
      <w:pPr>
        <w:spacing w:after="80" w:before="60"/>
      </w:pPr>
      <w:r>
        <w:rPr>
          <w:rFonts w:ascii="Times New Roman" w:cs="Times New Roman" w:eastAsia="Times New Roman" w:hAnsi="Times New Roman"/>
          <w:sz w:val="24"/>
          <w:szCs w:val="24"/>
        </w:rPr>
        <w:t xml:space="preserve">Ontology traditionally distinguishes between existence (being) and non-existence (absence). This binary framing suggests that what does not exist is simply nothing.</w:t>
      </w:r>
    </w:p>
    <w:p>
      <w:pPr>
        <w:spacing w:after="80" w:before="60"/>
      </w:pPr>
      <w:r>
        <w:rPr>
          <w:rFonts w:ascii="Times New Roman" w:cs="Times New Roman" w:eastAsia="Times New Roman" w:hAnsi="Times New Roman"/>
          <w:sz w:val="24"/>
          <w:szCs w:val="24"/>
        </w:rPr>
        <w:t xml:space="preserve">However, conceptual systems operate through boundaries. When we define what exists within a framework, we implicitly create a complementary region outside that boundary. This region is typically interpreted as non-existence.</w:t>
      </w:r>
    </w:p>
    <w:p>
      <w:pPr>
        <w:spacing w:after="80" w:before="60"/>
      </w:pPr>
      <w:r>
        <w:rPr>
          <w:rFonts w:ascii="Times New Roman" w:cs="Times New Roman" w:eastAsia="Times New Roman" w:hAnsi="Times New Roman"/>
          <w:sz w:val="24"/>
          <w:szCs w:val="24"/>
        </w:rPr>
        <w:t xml:space="preserve">This paper proposes an alternative interpretation: non-existence is not an empty void but a structured domain of unrealized possibilities — a latent reservoir of configurations that may become realized as knowledge, technology, and systems evolve.</w:t>
      </w:r>
    </w:p>
    <w:p>
      <w:pPr>
        <w:spacing w:after="80" w:before="60"/>
      </w:pPr>
      <w:r>
        <w:rPr>
          <w:rFonts w:ascii="Times New Roman" w:cs="Times New Roman" w:eastAsia="Times New Roman" w:hAnsi="Times New Roman"/>
          <w:sz w:val="24"/>
          <w:szCs w:val="24"/>
        </w:rPr>
        <w:t xml:space="preserve">Within this view:</w:t>
      </w:r>
    </w:p>
    <w:p>
      <w:pPr>
        <w:spacing w:after="40" w:before="40"/>
        <w:ind w:left="720"/>
      </w:pPr>
      <w:r>
        <w:rPr>
          <w:rFonts w:ascii="Courier New" w:cs="Courier New" w:eastAsia="Courier New" w:hAnsi="Courier New"/>
          <w:sz w:val="22"/>
          <w:szCs w:val="22"/>
        </w:rPr>
        <w:t xml:space="preserve">Existence      --&gt;  realized configurations of a system</w:t>
      </w:r>
    </w:p>
    <w:p>
      <w:pPr>
        <w:spacing w:after="40" w:before="40"/>
        <w:ind w:left="720"/>
      </w:pPr>
      <w:r>
        <w:rPr>
          <w:rFonts w:ascii="Courier New" w:cs="Courier New" w:eastAsia="Courier New" w:hAnsi="Courier New"/>
          <w:sz w:val="22"/>
          <w:szCs w:val="22"/>
        </w:rPr>
        <w:t xml:space="preserve">Non-existence  --&gt;  configurations not yet realized</w:t>
      </w:r>
    </w:p>
    <w:p>
      <w:pPr>
        <w:spacing w:after="0" w:before="0"/>
      </w:pPr>
      <w:r>
        <w:t xml:space="preserve"/>
      </w:r>
    </w:p>
    <w:p>
      <w:pPr>
        <w:spacing w:after="80" w:before="60"/>
      </w:pPr>
      <w:r>
        <w:rPr>
          <w:rFonts w:ascii="Times New Roman" w:cs="Times New Roman" w:eastAsia="Times New Roman" w:hAnsi="Times New Roman"/>
          <w:sz w:val="24"/>
          <w:szCs w:val="24"/>
        </w:rPr>
        <w:t xml:space="preserve">Many processes that generate novelty — including biological evolution, scientific discovery, technological innovation, and artificial intelligence — can be understood as transitions from unrealized possibilities into realized structures.</w:t>
      </w:r>
    </w:p>
    <w:p>
      <w:pPr>
        <w:spacing w:after="80" w:before="60"/>
      </w:pPr>
      <w:r>
        <w:rPr>
          <w:rFonts w:ascii="Times New Roman" w:cs="Times New Roman" w:eastAsia="Times New Roman" w:hAnsi="Times New Roman"/>
          <w:sz w:val="24"/>
          <w:szCs w:val="24"/>
        </w:rPr>
        <w:t xml:space="preserve">This paper develops that structural claim into a formal framework and derives from it a discovery methodology: Impossible-First Reasoning (IFR). The methodology treats apparent impossibility as structured information about the possibility space, rather than as a terminal judgment. Sections 12 and 13 develop IFR formally, connect it to the Unification Method, and demonstrate its application through a historical case study.</w:t>
      </w:r>
    </w:p>
    <w:p>
      <w:pPr>
        <w:pStyle w:val="Heading1"/>
        <w:spacing w:after="120" w:before="360"/>
      </w:pPr>
      <w:r>
        <w:rPr>
          <w:rFonts w:ascii="Arial" w:cs="Arial" w:eastAsia="Arial" w:hAnsi="Arial"/>
          <w:b/>
          <w:bCs/>
          <w:color w:val="1F3864"/>
          <w:sz w:val="32"/>
          <w:szCs w:val="32"/>
        </w:rPr>
        <w:t xml:space="preserve">2. Conceptual Boundaries and Structural Symmetry</w:t>
      </w:r>
    </w:p>
    <w:p>
      <w:pPr>
        <w:spacing w:after="80" w:before="60"/>
      </w:pPr>
      <w:r>
        <w:rPr>
          <w:rFonts w:ascii="Times New Roman" w:cs="Times New Roman" w:eastAsia="Times New Roman" w:hAnsi="Times New Roman"/>
          <w:sz w:val="24"/>
          <w:szCs w:val="24"/>
        </w:rPr>
        <w:t xml:space="preserve">Conceptual systems operate through classification. When a concept is defined, a boundary separates what belongs inside the category from what lies outside it.</w:t>
      </w:r>
    </w:p>
    <w:p>
      <w:pPr>
        <w:spacing w:after="40" w:before="40"/>
        <w:ind w:left="720"/>
      </w:pPr>
      <w:r>
        <w:rPr>
          <w:rFonts w:ascii="Courier New" w:cs="Courier New" w:eastAsia="Courier New" w:hAnsi="Courier New"/>
          <w:sz w:val="22"/>
          <w:szCs w:val="22"/>
        </w:rPr>
        <w:t xml:space="preserve">Inside the boundary  --&gt;  recognized existence</w:t>
      </w:r>
    </w:p>
    <w:p>
      <w:pPr>
        <w:spacing w:after="40" w:before="40"/>
        <w:ind w:left="720"/>
      </w:pPr>
      <w:r>
        <w:rPr>
          <w:rFonts w:ascii="Courier New" w:cs="Courier New" w:eastAsia="Courier New" w:hAnsi="Courier New"/>
          <w:sz w:val="22"/>
          <w:szCs w:val="22"/>
        </w:rPr>
        <w:t xml:space="preserve">Outside the boundary --&gt;  unrealized possibility</w:t>
      </w:r>
    </w:p>
    <w:p>
      <w:pPr>
        <w:spacing w:after="0" w:before="0"/>
      </w:pPr>
      <w:r>
        <w:t xml:space="preserve"/>
      </w:r>
    </w:p>
    <w:p>
      <w:pPr>
        <w:spacing w:after="80" w:before="60"/>
      </w:pPr>
      <w:r>
        <w:rPr>
          <w:rFonts w:ascii="Times New Roman" w:cs="Times New Roman" w:eastAsia="Times New Roman" w:hAnsi="Times New Roman"/>
          <w:sz w:val="24"/>
          <w:szCs w:val="24"/>
        </w:rPr>
        <w:t xml:space="preserve">This boundary generates a structural symmetry: the shape of what we know determines the structure of what remains unknown.</w:t>
      </w:r>
    </w:p>
    <w:p>
      <w:pPr>
        <w:spacing w:after="80" w:before="60"/>
      </w:pPr>
      <w:r>
        <w:rPr>
          <w:rFonts w:ascii="Times New Roman" w:cs="Times New Roman" w:eastAsia="Times New Roman" w:hAnsi="Times New Roman"/>
          <w:sz w:val="24"/>
          <w:szCs w:val="24"/>
        </w:rPr>
        <w:t xml:space="preserve">Just as the shape of a hole determines the shape of the missing plug, the structure of existing knowledge defines the nearby regions of unrealized possibility. The unknown is not random — it is structured by the boundary of the known. This boundary symmetry is the foundational claim of the framework: non-existence has form, and that form is derivable from the structure of existence.</w:t>
      </w:r>
    </w:p>
    <w:p>
      <w:pPr>
        <w:spacing w:after="80" w:before="60"/>
      </w:pPr>
      <w:r>
        <w:rPr>
          <w:rFonts w:ascii="Times New Roman" w:cs="Times New Roman" w:eastAsia="Times New Roman" w:hAnsi="Times New Roman"/>
          <w:sz w:val="24"/>
          <w:szCs w:val="24"/>
        </w:rPr>
        <w:t xml:space="preserve">In many cases, what appears to be non-existent may also arise from limits in resolution or conceptual scale. A configuration may exist within the broader possibility space but remain unrecognized because our observational or conceptual resolution is too coarse to detect it. The apparent boundary of the known is therefore itself subject to revision.</w:t>
      </w:r>
    </w:p>
    <w:p>
      <w:pPr>
        <w:pStyle w:val="Heading1"/>
        <w:spacing w:after="120" w:before="360"/>
      </w:pPr>
      <w:r>
        <w:rPr>
          <w:rFonts w:ascii="Arial" w:cs="Arial" w:eastAsia="Arial" w:hAnsi="Arial"/>
          <w:b/>
          <w:bCs/>
          <w:color w:val="1F3864"/>
          <w:sz w:val="32"/>
          <w:szCs w:val="32"/>
        </w:rPr>
        <w:t xml:space="preserve">3. Possibility Space</w:t>
      </w:r>
    </w:p>
    <w:p>
      <w:pPr>
        <w:spacing w:after="80" w:before="60"/>
      </w:pPr>
      <w:r>
        <w:rPr>
          <w:rFonts w:ascii="Times New Roman" w:cs="Times New Roman" w:eastAsia="Times New Roman" w:hAnsi="Times New Roman"/>
          <w:sz w:val="24"/>
          <w:szCs w:val="24"/>
        </w:rPr>
        <w:t xml:space="preserve">Let U(t) denote the possibility space at time t. Each element x ∈ U(t) represents a possible configuration of a system. Examples include physical states, biological forms, technological designs, mathematical structures, and institutional systems.</w:t>
      </w:r>
    </w:p>
    <w:p>
      <w:pPr>
        <w:spacing w:after="80" w:before="60"/>
      </w:pPr>
      <w:r>
        <w:rPr>
          <w:rFonts w:ascii="Times New Roman" w:cs="Times New Roman" w:eastAsia="Times New Roman" w:hAnsi="Times New Roman"/>
          <w:sz w:val="24"/>
          <w:szCs w:val="24"/>
        </w:rPr>
        <w:t xml:space="preserve">Unlike static metaphysical models, possibility space is dynamic. As knowledge, technology, and scientific understanding expand, the reachable space of possibilities may also expand:</w:t>
      </w:r>
    </w:p>
    <w:p>
      <w:pPr>
        <w:spacing w:after="120" w:before="120"/>
        <w:jc w:val="center"/>
      </w:pPr>
      <w:r>
        <w:rPr>
          <w:rFonts w:ascii="Courier New" w:cs="Courier New" w:eastAsia="Courier New" w:hAnsi="Courier New"/>
          <w:sz w:val="22"/>
          <w:szCs w:val="22"/>
        </w:rPr>
        <w:t xml:space="preserve">U(t+1) ≥ U(t)</w:t>
      </w:r>
    </w:p>
    <w:p>
      <w:pPr>
        <w:spacing w:after="80" w:before="60"/>
      </w:pPr>
      <w:r>
        <w:rPr>
          <w:rFonts w:ascii="Times New Roman" w:cs="Times New Roman" w:eastAsia="Times New Roman" w:hAnsi="Times New Roman"/>
          <w:sz w:val="24"/>
          <w:szCs w:val="24"/>
        </w:rPr>
        <w:t xml:space="preserve">New discoveries can enlarge the effective possibility space itself. Before the discovery of semiconductors, modern computers were outside the reachable technological possibility space. After the emergence of semiconductor technology, they became reachable configurations. The possibility space had expanded — not because previously impossible things became possible, but because the generative conditions required for their realization were now present.</w:t>
      </w:r>
    </w:p>
    <w:p>
      <w:pPr>
        <w:pStyle w:val="Heading1"/>
        <w:spacing w:after="120" w:before="360"/>
      </w:pPr>
      <w:r>
        <w:rPr>
          <w:rFonts w:ascii="Arial" w:cs="Arial" w:eastAsia="Arial" w:hAnsi="Arial"/>
          <w:b/>
          <w:bCs/>
          <w:color w:val="1F3864"/>
          <w:sz w:val="32"/>
          <w:szCs w:val="32"/>
        </w:rPr>
        <w:t xml:space="preserve">4. Existence and Non-Existence</w:t>
      </w:r>
    </w:p>
    <w:p>
      <w:pPr>
        <w:spacing w:after="80" w:before="60"/>
      </w:pPr>
      <w:r>
        <w:rPr>
          <w:rFonts w:ascii="Times New Roman" w:cs="Times New Roman" w:eastAsia="Times New Roman" w:hAnsi="Times New Roman"/>
          <w:sz w:val="24"/>
          <w:szCs w:val="24"/>
        </w:rPr>
        <w:t xml:space="preserve">Within possibility space, define E(t) ⊆ U(t) as the set of realized structures at time t. The domain of non-existence is then:</w:t>
      </w:r>
    </w:p>
    <w:p>
      <w:pPr>
        <w:spacing w:after="120" w:before="120"/>
        <w:jc w:val="center"/>
      </w:pPr>
      <w:r>
        <w:rPr>
          <w:rFonts w:ascii="Courier New" w:cs="Courier New" w:eastAsia="Courier New" w:hAnsi="Courier New"/>
          <w:sz w:val="22"/>
          <w:szCs w:val="22"/>
        </w:rPr>
        <w:t xml:space="preserve">N(t) = U(t) − E(t)</w:t>
      </w:r>
    </w:p>
    <w:p>
      <w:pPr>
        <w:spacing w:after="80" w:before="60"/>
      </w:pPr>
      <w:r>
        <w:rPr>
          <w:rFonts w:ascii="Times New Roman" w:cs="Times New Roman" w:eastAsia="Times New Roman" w:hAnsi="Times New Roman"/>
          <w:sz w:val="24"/>
          <w:szCs w:val="24"/>
        </w:rPr>
        <w:t xml:space="preserve">Such that:</w:t>
      </w:r>
    </w:p>
    <w:p>
      <w:pPr>
        <w:spacing w:after="120" w:before="120"/>
        <w:jc w:val="center"/>
      </w:pPr>
      <w:r>
        <w:rPr>
          <w:rFonts w:ascii="Courier New" w:cs="Courier New" w:eastAsia="Courier New" w:hAnsi="Courier New"/>
          <w:sz w:val="22"/>
          <w:szCs w:val="22"/>
        </w:rPr>
        <w:t xml:space="preserve">U(t) = E(t) ∪ N(t)</w:t>
      </w:r>
    </w:p>
    <w:p>
      <w:pPr>
        <w:spacing w:after="120" w:before="120"/>
        <w:jc w:val="center"/>
      </w:pPr>
      <w:r>
        <w:rPr>
          <w:rFonts w:ascii="Courier New" w:cs="Courier New" w:eastAsia="Courier New" w:hAnsi="Courier New"/>
          <w:sz w:val="22"/>
          <w:szCs w:val="22"/>
        </w:rPr>
        <w:t xml:space="preserve">E(t) ∩ N(t) = ∅</w:t>
      </w:r>
    </w:p>
    <w:p>
      <w:pPr>
        <w:spacing w:after="0" w:before="0"/>
      </w:pPr>
      <w:r>
        <w:t xml:space="preserve"/>
      </w:r>
    </w:p>
    <w:p>
      <w:pPr>
        <w:spacing w:after="80" w:before="60"/>
      </w:pPr>
      <w:r>
        <w:rPr>
          <w:rFonts w:ascii="Times New Roman" w:cs="Times New Roman" w:eastAsia="Times New Roman" w:hAnsi="Times New Roman"/>
          <w:sz w:val="24"/>
          <w:szCs w:val="24"/>
        </w:rPr>
        <w:t xml:space="preserve">Within this framework, N(t) can be interpreted as the latent informational structure of a system — the set of configurations that could potentially become real but have not yet been instantiated. The domain of non-existence is not empty: it is structured by the same generative conditions that produced E(t).</w:t>
      </w:r>
    </w:p>
    <w:p>
      <w:pPr>
        <w:pStyle w:val="Heading1"/>
        <w:spacing w:after="120" w:before="360"/>
      </w:pPr>
      <w:r>
        <w:rPr>
          <w:rFonts w:ascii="Arial" w:cs="Arial" w:eastAsia="Arial" w:hAnsi="Arial"/>
          <w:b/>
          <w:bCs/>
          <w:color w:val="1F3864"/>
          <w:sz w:val="32"/>
          <w:szCs w:val="32"/>
        </w:rPr>
        <w:t xml:space="preserve">5. Types of Unrealized Possibilities</w:t>
      </w:r>
    </w:p>
    <w:p>
      <w:pPr>
        <w:spacing w:after="80" w:before="60"/>
      </w:pPr>
      <w:r>
        <w:rPr>
          <w:rFonts w:ascii="Times New Roman" w:cs="Times New Roman" w:eastAsia="Times New Roman" w:hAnsi="Times New Roman"/>
          <w:sz w:val="24"/>
          <w:szCs w:val="24"/>
        </w:rPr>
        <w:t xml:space="preserve">Unrealized possibilities are not uniform. We classify them into three categories: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AABCD0" w:sz="4"/>
              <w:left w:val="single" w:color="AABCD0" w:sz="4"/>
              <w:bottom w:val="single" w:color="AABCD0" w:sz="4"/>
              <w:right w:val="single" w:color="AABCD0" w:sz="4"/>
            </w:tcBorders>
            <w:shd w:fill="D9E2F3" w:val="clear"/>
            <w:tcMar>
              <w:top w:type="dxa" w:w="80"/>
              <w:left w:type="dxa" w:w="120"/>
              <w:bottom w:type="dxa" w:w="80"/>
              <w:right w:type="dxa" w:w="120"/>
            </w:tcMar>
          </w:tcPr>
          <w:p>
            <w:r>
              <w:rPr>
                <w:rFonts w:ascii="Arial" w:cs="Arial" w:eastAsia="Arial" w:hAnsi="Arial"/>
                <w:b/>
                <w:bCs/>
                <w:sz w:val="22"/>
                <w:szCs w:val="22"/>
              </w:rPr>
              <w:t xml:space="preserve">Category</w:t>
            </w:r>
          </w:p>
        </w:tc>
        <w:tc>
          <w:tcPr>
            <w:tcW w:type="dxa" w:w="3500"/>
            <w:tcBorders>
              <w:top w:val="single" w:color="AABCD0" w:sz="4"/>
              <w:left w:val="single" w:color="AABCD0" w:sz="4"/>
              <w:bottom w:val="single" w:color="AABCD0" w:sz="4"/>
              <w:right w:val="single" w:color="AABCD0" w:sz="4"/>
            </w:tcBorders>
            <w:shd w:fill="D9E2F3" w:val="clear"/>
            <w:tcMar>
              <w:top w:type="dxa" w:w="80"/>
              <w:left w:type="dxa" w:w="120"/>
              <w:bottom w:type="dxa" w:w="80"/>
              <w:right w:type="dxa" w:w="120"/>
            </w:tcMar>
          </w:tcPr>
          <w:p>
            <w:r>
              <w:rPr>
                <w:rFonts w:ascii="Arial" w:cs="Arial" w:eastAsia="Arial" w:hAnsi="Arial"/>
                <w:b/>
                <w:bCs/>
                <w:sz w:val="22"/>
                <w:szCs w:val="22"/>
              </w:rPr>
              <w:t xml:space="preserve">Definition</w:t>
            </w:r>
          </w:p>
        </w:tc>
        <w:tc>
          <w:tcPr>
            <w:tcW w:type="dxa" w:w="3660"/>
            <w:tcBorders>
              <w:top w:val="single" w:color="AABCD0" w:sz="4"/>
              <w:left w:val="single" w:color="AABCD0" w:sz="4"/>
              <w:bottom w:val="single" w:color="AABCD0" w:sz="4"/>
              <w:right w:val="single" w:color="AABCD0" w:sz="4"/>
            </w:tcBorders>
            <w:shd w:fill="D9E2F3" w:val="clear"/>
            <w:tcMar>
              <w:top w:type="dxa" w:w="80"/>
              <w:left w:type="dxa" w:w="120"/>
              <w:bottom w:type="dxa" w:w="80"/>
              <w:right w:type="dxa" w:w="120"/>
            </w:tcMar>
          </w:tcPr>
          <w:p>
            <w:r>
              <w:rPr>
                <w:rFonts w:ascii="Arial" w:cs="Arial" w:eastAsia="Arial" w:hAnsi="Arial"/>
                <w:b/>
                <w:bCs/>
                <w:sz w:val="22"/>
                <w:szCs w:val="22"/>
              </w:rPr>
              <w:t xml:space="preserve">Example</w:t>
            </w:r>
          </w:p>
        </w:tc>
      </w:tr>
      <w:tr>
        <w:tc>
          <w:tcPr>
            <w:tcW w:type="dxa" w:w="22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R — Reachable</w:t>
            </w:r>
          </w:p>
        </w:tc>
        <w:tc>
          <w:tcPr>
            <w:tcW w:type="dxa" w:w="35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Attainable through exploration and development</w:t>
            </w:r>
          </w:p>
        </w:tc>
        <w:tc>
          <w:tcPr>
            <w:tcW w:type="dxa" w:w="366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New vaccine variants derived from existing strains</w:t>
            </w:r>
          </w:p>
        </w:tc>
      </w:tr>
      <w:tr>
        <w:tc>
          <w:tcPr>
            <w:tcW w:type="dxa" w:w="22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D — Destabilizing</w:t>
            </w:r>
          </w:p>
        </w:tc>
        <w:tc>
          <w:tcPr>
            <w:tcW w:type="dxa" w:w="35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Viable but may destabilize adopting systems upon integration</w:t>
            </w:r>
          </w:p>
        </w:tc>
        <w:tc>
          <w:tcPr>
            <w:tcW w:type="dxa" w:w="366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Technologies that function but produce severe systemic risk</w:t>
            </w:r>
          </w:p>
        </w:tc>
      </w:tr>
      <w:tr>
        <w:tc>
          <w:tcPr>
            <w:tcW w:type="dxa" w:w="22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I — Inconsistent</w:t>
            </w:r>
          </w:p>
        </w:tc>
        <w:tc>
          <w:tcPr>
            <w:tcW w:type="dxa" w:w="35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Logically or physically self-contradictory structures</w:t>
            </w:r>
          </w:p>
        </w:tc>
        <w:tc>
          <w:tcPr>
            <w:tcW w:type="dxa" w:w="366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Perpetual motion machines violating thermodynamic laws</w:t>
            </w:r>
          </w:p>
        </w:tc>
      </w:tr>
    </w:tbl>
    <w:p>
      <w:pPr>
        <w:spacing w:after="0" w:before="0"/>
      </w:pPr>
      <w:r>
        <w:t xml:space="preserve"/>
      </w:r>
    </w:p>
    <w:p>
      <w:pPr>
        <w:spacing w:after="80" w:before="60"/>
      </w:pPr>
      <w:r>
        <w:rPr>
          <w:rFonts w:ascii="Times New Roman" w:cs="Times New Roman" w:eastAsia="Times New Roman" w:hAnsi="Times New Roman"/>
          <w:sz w:val="24"/>
          <w:szCs w:val="24"/>
        </w:rPr>
        <w:t xml:space="preserve">This classification is consequential for discovery methodology. An apparently impossible target structure is not uniformly beyond reach: it may be Reachable but currently outside the adjacent frontier, Destabilizing but manageable under appropriate stability constraints, or Inconsistent as stated but transformable through reformulation of the goal itself. The classification drives the appropriate discovery response, as formalized in Section 12.</w:t>
      </w:r>
    </w:p>
    <w:p>
      <w:pPr>
        <w:pStyle w:val="Heading1"/>
        <w:spacing w:after="120" w:before="360"/>
      </w:pPr>
      <w:r>
        <w:rPr>
          <w:rFonts w:ascii="Arial" w:cs="Arial" w:eastAsia="Arial" w:hAnsi="Arial"/>
          <w:b/>
          <w:bCs/>
          <w:color w:val="1F3864"/>
          <w:sz w:val="32"/>
          <w:szCs w:val="32"/>
        </w:rPr>
        <w:t xml:space="preserve">6. The Emergence Operator</w:t>
      </w:r>
    </w:p>
    <w:p>
      <w:pPr>
        <w:spacing w:after="80" w:before="60"/>
      </w:pPr>
      <w:r>
        <w:rPr>
          <w:rFonts w:ascii="Times New Roman" w:cs="Times New Roman" w:eastAsia="Times New Roman" w:hAnsi="Times New Roman"/>
          <w:sz w:val="24"/>
          <w:szCs w:val="24"/>
        </w:rPr>
        <w:t xml:space="preserve">New structures enter existence through processes of emergence. Define an emergence operator Φ such that:</w:t>
      </w:r>
    </w:p>
    <w:p>
      <w:pPr>
        <w:spacing w:after="120" w:before="120"/>
        <w:jc w:val="center"/>
      </w:pPr>
      <w:r>
        <w:rPr>
          <w:rFonts w:ascii="Courier New" w:cs="Courier New" w:eastAsia="Courier New" w:hAnsi="Courier New"/>
          <w:sz w:val="22"/>
          <w:szCs w:val="22"/>
        </w:rPr>
        <w:t xml:space="preserve">Φ : N(t) → E(t+1)</w:t>
      </w:r>
    </w:p>
    <w:p>
      <w:pPr>
        <w:spacing w:after="80" w:before="60"/>
      </w:pPr>
      <w:r>
        <w:rPr>
          <w:rFonts w:ascii="Times New Roman" w:cs="Times New Roman" w:eastAsia="Times New Roman" w:hAnsi="Times New Roman"/>
          <w:sz w:val="24"/>
          <w:szCs w:val="24"/>
        </w:rPr>
        <w:t xml:space="preserve">If x ∈ N(t) and a generative process G produces configuration x, then Φ(x) ∈ E(t+1). The operator Φ is not a single mechanism but a family of mechanisms instantiated differently across domains: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BCD0" w:sz="4"/>
              <w:left w:val="single" w:color="AABCD0" w:sz="4"/>
              <w:bottom w:val="single" w:color="AABCD0" w:sz="4"/>
              <w:right w:val="single" w:color="AABCD0" w:sz="4"/>
            </w:tcBorders>
            <w:shd w:fill="D9E2F3" w:val="clear"/>
            <w:tcMar>
              <w:top w:type="dxa" w:w="80"/>
              <w:left w:type="dxa" w:w="120"/>
              <w:bottom w:type="dxa" w:w="80"/>
              <w:right w:type="dxa" w:w="120"/>
            </w:tcMar>
          </w:tcPr>
          <w:p>
            <w:r>
              <w:rPr>
                <w:rFonts w:ascii="Arial" w:cs="Arial" w:eastAsia="Arial" w:hAnsi="Arial"/>
                <w:b/>
                <w:bCs/>
                <w:sz w:val="22"/>
                <w:szCs w:val="22"/>
              </w:rPr>
              <w:t xml:space="preserve">Domain</w:t>
            </w:r>
          </w:p>
        </w:tc>
        <w:tc>
          <w:tcPr>
            <w:tcW w:type="dxa" w:w="6960"/>
            <w:tcBorders>
              <w:top w:val="single" w:color="AABCD0" w:sz="4"/>
              <w:left w:val="single" w:color="AABCD0" w:sz="4"/>
              <w:bottom w:val="single" w:color="AABCD0" w:sz="4"/>
              <w:right w:val="single" w:color="AABCD0" w:sz="4"/>
            </w:tcBorders>
            <w:shd w:fill="D9E2F3" w:val="clear"/>
            <w:tcMar>
              <w:top w:type="dxa" w:w="80"/>
              <w:left w:type="dxa" w:w="120"/>
              <w:bottom w:type="dxa" w:w="80"/>
              <w:right w:type="dxa" w:w="120"/>
            </w:tcMar>
          </w:tcPr>
          <w:p>
            <w:r>
              <w:rPr>
                <w:rFonts w:ascii="Arial" w:cs="Arial" w:eastAsia="Arial" w:hAnsi="Arial"/>
                <w:b/>
                <w:bCs/>
                <w:sz w:val="22"/>
                <w:szCs w:val="22"/>
              </w:rPr>
              <w:t xml:space="preserve">Generative Mechanism G</w:t>
            </w:r>
          </w:p>
        </w:tc>
      </w:tr>
      <w:tr>
        <w:tc>
          <w:tcPr>
            <w:tcW w:type="dxa" w:w="24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Biology</w:t>
            </w:r>
          </w:p>
        </w:tc>
        <w:tc>
          <w:tcPr>
            <w:tcW w:type="dxa" w:w="696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Mutation followed by selection pressure</w:t>
            </w:r>
          </w:p>
        </w:tc>
      </w:tr>
      <w:tr>
        <w:tc>
          <w:tcPr>
            <w:tcW w:type="dxa" w:w="24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Technology</w:t>
            </w:r>
          </w:p>
        </w:tc>
        <w:tc>
          <w:tcPr>
            <w:tcW w:type="dxa" w:w="696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Directed design exploration within material and energetic constraints</w:t>
            </w:r>
          </w:p>
        </w:tc>
      </w:tr>
      <w:tr>
        <w:tc>
          <w:tcPr>
            <w:tcW w:type="dxa" w:w="24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Science</w:t>
            </w:r>
          </w:p>
        </w:tc>
        <w:tc>
          <w:tcPr>
            <w:tcW w:type="dxa" w:w="696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Hypothesis generation followed by experimental probe</w:t>
            </w:r>
          </w:p>
        </w:tc>
      </w:tr>
      <w:tr>
        <w:tc>
          <w:tcPr>
            <w:tcW w:type="dxa" w:w="24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Artificial Intelligence</w:t>
            </w:r>
          </w:p>
        </w:tc>
        <w:tc>
          <w:tcPr>
            <w:tcW w:type="dxa" w:w="696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Sampling from learned latent spaces under generative models</w:t>
            </w:r>
          </w:p>
        </w:tc>
      </w:tr>
    </w:tbl>
    <w:p>
      <w:pPr>
        <w:spacing w:after="0" w:before="0"/>
      </w:pPr>
      <w:r>
        <w:t xml:space="preserve"/>
      </w:r>
    </w:p>
    <w:p>
      <w:pPr>
        <w:spacing w:after="80" w:before="60"/>
      </w:pPr>
      <w:r>
        <w:rPr>
          <w:rFonts w:ascii="Times New Roman" w:cs="Times New Roman" w:eastAsia="Times New Roman" w:hAnsi="Times New Roman"/>
          <w:sz w:val="24"/>
          <w:szCs w:val="24"/>
        </w:rPr>
        <w:t xml:space="preserve">The Φ operator corresponds structurally to the Emergence Method (Yong Xian) described in the Trinity Framework of Cognitive Systems. Both describe processes in which rule interaction — rather than linear derivation — produces genuinely novel structures. The formal operator Φ provides the mathematical language for this generative process; the Emergence Method provides its cognitive architecture.</w:t>
      </w:r>
    </w:p>
    <w:p>
      <w:pPr>
        <w:pStyle w:val="Heading1"/>
        <w:spacing w:after="120" w:before="360"/>
      </w:pPr>
      <w:r>
        <w:rPr>
          <w:rFonts w:ascii="Arial" w:cs="Arial" w:eastAsia="Arial" w:hAnsi="Arial"/>
          <w:b/>
          <w:bCs/>
          <w:color w:val="1F3864"/>
          <w:sz w:val="32"/>
          <w:szCs w:val="32"/>
        </w:rPr>
        <w:t xml:space="preserve">7. The Adjacent Possible</w:t>
      </w:r>
    </w:p>
    <w:p>
      <w:pPr>
        <w:spacing w:after="80" w:before="60"/>
      </w:pPr>
      <w:r>
        <w:rPr>
          <w:rFonts w:ascii="Times New Roman" w:cs="Times New Roman" w:eastAsia="Times New Roman" w:hAnsi="Times New Roman"/>
          <w:sz w:val="24"/>
          <w:szCs w:val="24"/>
        </w:rPr>
        <w:t xml:space="preserve">In practice, systems rarely explore the entire possibility space directly. Exploration occurs primarily within a constrained frontier. Following Kauffman (2000), define the adjacent possible:</w:t>
      </w:r>
    </w:p>
    <w:p>
      <w:pPr>
        <w:spacing w:after="120" w:before="120"/>
        <w:jc w:val="center"/>
      </w:pPr>
      <w:r>
        <w:rPr>
          <w:rFonts w:ascii="Courier New" w:cs="Courier New" w:eastAsia="Courier New" w:hAnsi="Courier New"/>
          <w:sz w:val="22"/>
          <w:szCs w:val="22"/>
        </w:rPr>
        <w:t xml:space="preserve">A(E(t)) ⊆ N(t)</w:t>
      </w:r>
    </w:p>
    <w:p>
      <w:pPr>
        <w:spacing w:after="80" w:before="60"/>
      </w:pPr>
      <w:r>
        <w:rPr>
          <w:rFonts w:ascii="Times New Roman" w:cs="Times New Roman" w:eastAsia="Times New Roman" w:hAnsi="Times New Roman"/>
          <w:sz w:val="24"/>
          <w:szCs w:val="24"/>
        </w:rPr>
        <w:t xml:space="preserve">where A(E(t)) represents the set of possibilities directly reachable from existing structures via a single generative step. Innovation, evolution, and discovery typically occur within this frontier region.</w:t>
      </w:r>
    </w:p>
    <w:p>
      <w:pPr>
        <w:spacing w:after="80" w:before="60"/>
      </w:pPr>
      <w:r>
        <w:rPr>
          <w:rFonts w:ascii="Times New Roman" w:cs="Times New Roman" w:eastAsia="Times New Roman" w:hAnsi="Times New Roman"/>
          <w:sz w:val="24"/>
          <w:szCs w:val="24"/>
        </w:rPr>
        <w:t xml:space="preserve">The adjacent possible is not static. Each realization of a new structure x expands the frontier: A(E(t+1)) ⊃ A(E(t)) in general, because x itself creates new edges into unrealized possibility. This compounding expansion underlies the accelerating pace of technological and scientific development observed historically (Arthur, 2009; Johnson, 2010).</w:t>
      </w:r>
    </w:p>
    <w:p>
      <w:pPr>
        <w:spacing w:after="80" w:before="60"/>
      </w:pPr>
      <w:r>
        <w:rPr>
          <w:rFonts w:ascii="Times New Roman" w:cs="Times New Roman" w:eastAsia="Times New Roman" w:hAnsi="Times New Roman"/>
          <w:sz w:val="24"/>
          <w:szCs w:val="24"/>
        </w:rPr>
        <w:t xml:space="preserve">The boundary between A(E(t)) and the remainder of N(t) is the precise location at which discovery methodology becomes consequential. Structures in A(E(t)) can be realized through available generative processes. Structures outside A(E(t)) require the boundary itself to shift — through conceptual, technological, or institutional change — before they become reachable. Impossible-First Reasoning (Section 12) is a method for engineering that boundary shift.</w:t>
      </w:r>
    </w:p>
    <w:p>
      <w:pPr>
        <w:pStyle w:val="Heading1"/>
        <w:spacing w:after="120" w:before="360"/>
      </w:pPr>
      <w:r>
        <w:rPr>
          <w:rFonts w:ascii="Arial" w:cs="Arial" w:eastAsia="Arial" w:hAnsi="Arial"/>
          <w:b/>
          <w:bCs/>
          <w:color w:val="1F3864"/>
          <w:sz w:val="32"/>
          <w:szCs w:val="32"/>
        </w:rPr>
        <w:t xml:space="preserve">8. Evaluation of Emergent Structures</w:t>
      </w:r>
    </w:p>
    <w:p>
      <w:pPr>
        <w:spacing w:after="80" w:before="60"/>
      </w:pPr>
      <w:r>
        <w:rPr>
          <w:rFonts w:ascii="Times New Roman" w:cs="Times New Roman" w:eastAsia="Times New Roman" w:hAnsi="Times New Roman"/>
          <w:sz w:val="24"/>
          <w:szCs w:val="24"/>
        </w:rPr>
        <w:t xml:space="preserve">Not all emergent structures become stable components of existence. Define an evaluation function F(x) representing the viability of structure x within its domain context. A structure becomes a persistent component of existence only if:</w:t>
      </w:r>
    </w:p>
    <w:p>
      <w:pPr>
        <w:spacing w:after="120" w:before="120"/>
        <w:jc w:val="center"/>
      </w:pPr>
      <w:r>
        <w:rPr>
          <w:rFonts w:ascii="Courier New" w:cs="Courier New" w:eastAsia="Courier New" w:hAnsi="Courier New"/>
          <w:sz w:val="22"/>
          <w:szCs w:val="22"/>
        </w:rPr>
        <w:t xml:space="preserve">F(x) ≥ Fₘᵢⁿ</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AABCD0" w:sz="4"/>
              <w:left w:val="single" w:color="AABCD0" w:sz="4"/>
              <w:bottom w:val="single" w:color="AABCD0" w:sz="4"/>
              <w:right w:val="single" w:color="AABCD0" w:sz="4"/>
            </w:tcBorders>
            <w:shd w:fill="D9E2F3" w:val="clear"/>
            <w:tcMar>
              <w:top w:type="dxa" w:w="80"/>
              <w:left w:type="dxa" w:w="120"/>
              <w:bottom w:type="dxa" w:w="80"/>
              <w:right w:type="dxa" w:w="120"/>
            </w:tcMar>
          </w:tcPr>
          <w:p>
            <w:r>
              <w:rPr>
                <w:rFonts w:ascii="Arial" w:cs="Arial" w:eastAsia="Arial" w:hAnsi="Arial"/>
                <w:b/>
                <w:bCs/>
                <w:sz w:val="22"/>
                <w:szCs w:val="22"/>
              </w:rPr>
              <w:t xml:space="preserve">Domain</w:t>
            </w:r>
          </w:p>
        </w:tc>
        <w:tc>
          <w:tcPr>
            <w:tcW w:type="dxa" w:w="2800"/>
            <w:tcBorders>
              <w:top w:val="single" w:color="AABCD0" w:sz="4"/>
              <w:left w:val="single" w:color="AABCD0" w:sz="4"/>
              <w:bottom w:val="single" w:color="AABCD0" w:sz="4"/>
              <w:right w:val="single" w:color="AABCD0" w:sz="4"/>
            </w:tcBorders>
            <w:shd w:fill="D9E2F3" w:val="clear"/>
            <w:tcMar>
              <w:top w:type="dxa" w:w="80"/>
              <w:left w:type="dxa" w:w="120"/>
              <w:bottom w:type="dxa" w:w="80"/>
              <w:right w:type="dxa" w:w="120"/>
            </w:tcMar>
          </w:tcPr>
          <w:p>
            <w:r>
              <w:rPr>
                <w:rFonts w:ascii="Arial" w:cs="Arial" w:eastAsia="Arial" w:hAnsi="Arial"/>
                <w:b/>
                <w:bCs/>
                <w:sz w:val="22"/>
                <w:szCs w:val="22"/>
              </w:rPr>
              <w:t xml:space="preserve">Evaluation Mechanism</w:t>
            </w:r>
          </w:p>
        </w:tc>
        <w:tc>
          <w:tcPr>
            <w:tcW w:type="dxa" w:w="4560"/>
            <w:tcBorders>
              <w:top w:val="single" w:color="AABCD0" w:sz="4"/>
              <w:left w:val="single" w:color="AABCD0" w:sz="4"/>
              <w:bottom w:val="single" w:color="AABCD0" w:sz="4"/>
              <w:right w:val="single" w:color="AABCD0" w:sz="4"/>
            </w:tcBorders>
            <w:shd w:fill="D9E2F3" w:val="clear"/>
            <w:tcMar>
              <w:top w:type="dxa" w:w="80"/>
              <w:left w:type="dxa" w:w="120"/>
              <w:bottom w:type="dxa" w:w="80"/>
              <w:right w:type="dxa" w:w="120"/>
            </w:tcMar>
          </w:tcPr>
          <w:p>
            <w:r>
              <w:rPr>
                <w:rFonts w:ascii="Arial" w:cs="Arial" w:eastAsia="Arial" w:hAnsi="Arial"/>
                <w:b/>
                <w:bCs/>
                <w:sz w:val="22"/>
                <w:szCs w:val="22"/>
              </w:rPr>
              <w:t xml:space="preserve">Operational Proxy for F(x)</w:t>
            </w:r>
          </w:p>
        </w:tc>
      </w:tr>
      <w:tr>
        <w:tc>
          <w:tcPr>
            <w:tcW w:type="dxa" w:w="20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Biology</w:t>
            </w:r>
          </w:p>
        </w:tc>
        <w:tc>
          <w:tcPr>
            <w:tcW w:type="dxa" w:w="28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Natural selection</w:t>
            </w:r>
          </w:p>
        </w:tc>
        <w:tc>
          <w:tcPr>
            <w:tcW w:type="dxa" w:w="456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Differential reproductive fitness</w:t>
            </w:r>
          </w:p>
        </w:tc>
      </w:tr>
      <w:tr>
        <w:tc>
          <w:tcPr>
            <w:tcW w:type="dxa" w:w="20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Science</w:t>
            </w:r>
          </w:p>
        </w:tc>
        <w:tc>
          <w:tcPr>
            <w:tcW w:type="dxa" w:w="28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Experimental validation</w:t>
            </w:r>
          </w:p>
        </w:tc>
        <w:tc>
          <w:tcPr>
            <w:tcW w:type="dxa" w:w="456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Reproducibility and predictive accuracy</w:t>
            </w:r>
          </w:p>
        </w:tc>
      </w:tr>
      <w:tr>
        <w:tc>
          <w:tcPr>
            <w:tcW w:type="dxa" w:w="20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Technology</w:t>
            </w:r>
          </w:p>
        </w:tc>
        <w:tc>
          <w:tcPr>
            <w:tcW w:type="dxa" w:w="28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Functional performance</w:t>
            </w:r>
          </w:p>
        </w:tc>
        <w:tc>
          <w:tcPr>
            <w:tcW w:type="dxa" w:w="456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Utility relative to deployment cost</w:t>
            </w:r>
          </w:p>
        </w:tc>
      </w:tr>
      <w:tr>
        <w:tc>
          <w:tcPr>
            <w:tcW w:type="dxa" w:w="20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Institutions</w:t>
            </w:r>
          </w:p>
        </w:tc>
        <w:tc>
          <w:tcPr>
            <w:tcW w:type="dxa" w:w="28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Social or economic viability</w:t>
            </w:r>
          </w:p>
        </w:tc>
        <w:tc>
          <w:tcPr>
            <w:tcW w:type="dxa" w:w="456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Adoption rate and resource sustainability</w:t>
            </w:r>
          </w:p>
        </w:tc>
      </w:tr>
    </w:tbl>
    <w:p>
      <w:pPr>
        <w:spacing w:after="0" w:before="0"/>
      </w:pPr>
      <w:r>
        <w:t xml:space="preserve"/>
      </w:r>
    </w:p>
    <w:p>
      <w:pPr>
        <w:spacing w:after="80" w:before="60"/>
      </w:pPr>
      <w:r>
        <w:rPr>
          <w:rFonts w:ascii="Times New Roman" w:cs="Times New Roman" w:eastAsia="Times New Roman" w:hAnsi="Times New Roman"/>
          <w:sz w:val="24"/>
          <w:szCs w:val="24"/>
        </w:rPr>
        <w:t xml:space="preserve">F is not required to be a single scalar quantity. In many real systems it is a vector of criteria with context-dependent weighting. The condition F(x) ≥ Fₘᵢⁿ then becomes a satisficing condition across multiple evaluation dimensions simultaneously. Within the Trinity Framework, the ADPIE execution cycle — particularly its Evaluation stage — operationalizes the F condition by providing a structured feedback loop that measures realized outcomes against the original generative objectives.</w:t>
      </w:r>
    </w:p>
    <w:p>
      <w:pPr>
        <w:pStyle w:val="Heading1"/>
        <w:spacing w:after="120" w:before="360"/>
      </w:pPr>
      <w:r>
        <w:rPr>
          <w:rFonts w:ascii="Arial" w:cs="Arial" w:eastAsia="Arial" w:hAnsi="Arial"/>
          <w:b/>
          <w:bCs/>
          <w:color w:val="1F3864"/>
          <w:sz w:val="32"/>
          <w:szCs w:val="32"/>
        </w:rPr>
        <w:t xml:space="preserve">9. Stability Constraint</w:t>
      </w:r>
    </w:p>
    <w:p>
      <w:pPr>
        <w:spacing w:after="80" w:before="60"/>
      </w:pPr>
      <w:r>
        <w:rPr>
          <w:rFonts w:ascii="Times New Roman" w:cs="Times New Roman" w:eastAsia="Times New Roman" w:hAnsi="Times New Roman"/>
          <w:sz w:val="24"/>
          <w:szCs w:val="24"/>
        </w:rPr>
        <w:t xml:space="preserve">Some innovations may score highly on viability yet destabilize the systems that adopt them. Define S(E) as a measure of systemic stability. New structures are integrated only if:</w:t>
      </w:r>
    </w:p>
    <w:p>
      <w:pPr>
        <w:spacing w:after="120" w:before="120"/>
        <w:jc w:val="center"/>
      </w:pPr>
      <w:r>
        <w:rPr>
          <w:rFonts w:ascii="Courier New" w:cs="Courier New" w:eastAsia="Courier New" w:hAnsi="Courier New"/>
          <w:sz w:val="22"/>
          <w:szCs w:val="22"/>
        </w:rPr>
        <w:t xml:space="preserve">S(E(t) ∪ {x}) ≥ Sₘᵢⁿ</w:t>
      </w:r>
    </w:p>
    <w:p>
      <w:pPr>
        <w:spacing w:after="80" w:before="60"/>
      </w:pPr>
      <w:r>
        <w:rPr>
          <w:rFonts w:ascii="Times New Roman" w:cs="Times New Roman" w:eastAsia="Times New Roman" w:hAnsi="Times New Roman"/>
          <w:sz w:val="24"/>
          <w:szCs w:val="24"/>
        </w:rPr>
        <w:t xml:space="preserve">This condition introduces a fundamental tension between innovation and stability. Structures in category D (Section 5) are characterized precisely by high F(x) combined with failure of the stability condition. This tension is not a defect of the framework but a structural feature of complex systems: the boundary between generative novelty and systemic destabilization is real, and crossing it has consequences.</w:t>
      </w:r>
    </w:p>
    <w:p>
      <w:pPr>
        <w:spacing w:after="80" w:before="60"/>
      </w:pPr>
      <w:r>
        <w:rPr>
          <w:rFonts w:ascii="Times New Roman" w:cs="Times New Roman" w:eastAsia="Times New Roman" w:hAnsi="Times New Roman"/>
          <w:sz w:val="24"/>
          <w:szCs w:val="24"/>
        </w:rPr>
        <w:t xml:space="preserve">The Trinity Framework addresses this tension through the concept of Paradoxical Coherence — the simultaneous operation of multiple structural principles at different levels. A system in paradoxical coherence integrates the Unification impulse (structural insight) with the Emergence impulse (generative novelty) while maintaining the stability constraint S. This is not a balance or compromise; it is a higher-order operational mode in which both principles remain active without collapsing into each other.</w:t>
      </w:r>
    </w:p>
    <w:p>
      <w:pPr>
        <w:pStyle w:val="Heading1"/>
        <w:spacing w:after="120" w:before="360"/>
      </w:pPr>
      <w:r>
        <w:rPr>
          <w:rFonts w:ascii="Arial" w:cs="Arial" w:eastAsia="Arial" w:hAnsi="Arial"/>
          <w:b/>
          <w:bCs/>
          <w:color w:val="1F3864"/>
          <w:sz w:val="32"/>
          <w:szCs w:val="32"/>
        </w:rPr>
        <w:t xml:space="preserve">10. Dynamic Evolution of Existence</w:t>
      </w:r>
    </w:p>
    <w:p>
      <w:pPr>
        <w:spacing w:after="80" w:before="60"/>
      </w:pPr>
      <w:r>
        <w:rPr>
          <w:rFonts w:ascii="Times New Roman" w:cs="Times New Roman" w:eastAsia="Times New Roman" w:hAnsi="Times New Roman"/>
          <w:sz w:val="24"/>
          <w:szCs w:val="24"/>
        </w:rPr>
        <w:t xml:space="preserve">The evolution of existence can be expressed compactly as:</w:t>
      </w:r>
    </w:p>
    <w:p>
      <w:pPr>
        <w:spacing w:after="0" w:before="0"/>
      </w:pPr>
      <w:r>
        <w:t xml:space="preserve"/>
      </w:r>
    </w:p>
    <w:p>
      <w:pPr>
        <w:spacing w:after="120" w:before="120"/>
        <w:jc w:val="center"/>
      </w:pPr>
      <w:r>
        <w:rPr>
          <w:rFonts w:ascii="Courier New" w:cs="Courier New" w:eastAsia="Courier New" w:hAnsi="Courier New"/>
          <w:sz w:val="22"/>
          <w:szCs w:val="22"/>
        </w:rPr>
        <w:t xml:space="preserve">E(t+1) = E(t) ∪ {x ∈ Φ(A(E(t))) : F(x) ≥ Fₘᵢⁿ ∧ S(E(t) ∪ {x}) ≥ Sₘᵢⁿ}</w:t>
      </w:r>
    </w:p>
    <w:p>
      <w:pPr>
        <w:spacing w:after="0" w:before="0"/>
      </w:pPr>
      <w:r>
        <w:t xml:space="preserve"/>
      </w:r>
    </w:p>
    <w:p>
      <w:pPr>
        <w:spacing w:after="80" w:before="60"/>
      </w:pPr>
      <w:r>
        <w:rPr>
          <w:rFonts w:ascii="Times New Roman" w:cs="Times New Roman" w:eastAsia="Times New Roman" w:hAnsi="Times New Roman"/>
          <w:sz w:val="24"/>
          <w:szCs w:val="24"/>
        </w:rPr>
        <w:t xml:space="preserve">This equation summarizes the core mechanism of the framework. New structures emerge from the adjacent possible, pass an evaluation filter, satisfy a stability condition, and then expand the frontier further. The process is iterative and path-dependent: what enters E(t) reshapes A(E(t+1)), which constrains what can enter E(t+2).</w:t>
      </w:r>
    </w:p>
    <w:p>
      <w:pPr>
        <w:pStyle w:val="Heading1"/>
        <w:spacing w:after="120" w:before="360"/>
      </w:pPr>
      <w:r>
        <w:rPr>
          <w:rFonts w:ascii="Arial" w:cs="Arial" w:eastAsia="Arial" w:hAnsi="Arial"/>
          <w:b/>
          <w:bCs/>
          <w:color w:val="1F3864"/>
          <w:sz w:val="32"/>
          <w:szCs w:val="32"/>
        </w:rPr>
        <w:t xml:space="preserve">11. Structural Parallels Across Domains</w:t>
      </w:r>
    </w:p>
    <w:p>
      <w:pPr>
        <w:spacing w:after="80" w:before="60"/>
      </w:pPr>
      <w:r>
        <w:rPr>
          <w:rFonts w:ascii="Times New Roman" w:cs="Times New Roman" w:eastAsia="Times New Roman" w:hAnsi="Times New Roman"/>
          <w:sz w:val="24"/>
          <w:szCs w:val="24"/>
        </w:rPr>
        <w:t xml:space="preserve">The same Φ-F-S pattern appears across multiple domains:</w:t>
      </w:r>
    </w:p>
    <w:p>
      <w:pPr>
        <w:spacing w:after="0" w:before="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3000"/>
      </w:tblGrid>
      <w:tr>
        <w:tc>
          <w:tcPr>
            <w:tcW w:type="dxa" w:w="2400"/>
            <w:tcBorders>
              <w:top w:val="single" w:color="AABCD0" w:sz="4"/>
              <w:left w:val="single" w:color="AABCD0" w:sz="4"/>
              <w:bottom w:val="single" w:color="AABCD0" w:sz="4"/>
              <w:right w:val="single" w:color="AABCD0" w:sz="4"/>
            </w:tcBorders>
            <w:shd w:fill="D9E2F3" w:val="clear"/>
            <w:tcMar>
              <w:top w:type="dxa" w:w="80"/>
              <w:left w:type="dxa" w:w="120"/>
              <w:bottom w:type="dxa" w:w="80"/>
              <w:right w:type="dxa" w:w="120"/>
            </w:tcMar>
          </w:tcPr>
          <w:p>
            <w:r>
              <w:rPr>
                <w:rFonts w:ascii="Arial" w:cs="Arial" w:eastAsia="Arial" w:hAnsi="Arial"/>
                <w:b/>
                <w:bCs/>
                <w:sz w:val="22"/>
                <w:szCs w:val="22"/>
              </w:rPr>
              <w:t xml:space="preserve">Domain</w:t>
            </w:r>
          </w:p>
        </w:tc>
        <w:tc>
          <w:tcPr>
            <w:tcW w:type="dxa" w:w="2000"/>
            <w:tcBorders>
              <w:top w:val="single" w:color="AABCD0" w:sz="4"/>
              <w:left w:val="single" w:color="AABCD0" w:sz="4"/>
              <w:bottom w:val="single" w:color="AABCD0" w:sz="4"/>
              <w:right w:val="single" w:color="AABCD0" w:sz="4"/>
            </w:tcBorders>
            <w:shd w:fill="D9E2F3" w:val="clear"/>
            <w:tcMar>
              <w:top w:type="dxa" w:w="80"/>
              <w:left w:type="dxa" w:w="120"/>
              <w:bottom w:type="dxa" w:w="80"/>
              <w:right w:type="dxa" w:w="120"/>
            </w:tcMar>
          </w:tcPr>
          <w:p>
            <w:r>
              <w:rPr>
                <w:rFonts w:ascii="Arial" w:cs="Arial" w:eastAsia="Arial" w:hAnsi="Arial"/>
                <w:b/>
                <w:bCs/>
                <w:sz w:val="22"/>
                <w:szCs w:val="22"/>
              </w:rPr>
              <w:t xml:space="preserve">Emergence (Φ)</w:t>
            </w:r>
          </w:p>
        </w:tc>
        <w:tc>
          <w:tcPr>
            <w:tcW w:type="dxa" w:w="2000"/>
            <w:tcBorders>
              <w:top w:val="single" w:color="AABCD0" w:sz="4"/>
              <w:left w:val="single" w:color="AABCD0" w:sz="4"/>
              <w:bottom w:val="single" w:color="AABCD0" w:sz="4"/>
              <w:right w:val="single" w:color="AABCD0" w:sz="4"/>
            </w:tcBorders>
            <w:shd w:fill="D9E2F3" w:val="clear"/>
            <w:tcMar>
              <w:top w:type="dxa" w:w="80"/>
              <w:left w:type="dxa" w:w="120"/>
              <w:bottom w:type="dxa" w:w="80"/>
              <w:right w:type="dxa" w:w="120"/>
            </w:tcMar>
          </w:tcPr>
          <w:p>
            <w:r>
              <w:rPr>
                <w:rFonts w:ascii="Arial" w:cs="Arial" w:eastAsia="Arial" w:hAnsi="Arial"/>
                <w:b/>
                <w:bCs/>
                <w:sz w:val="22"/>
                <w:szCs w:val="22"/>
              </w:rPr>
              <w:t xml:space="preserve">Evaluation (F)</w:t>
            </w:r>
          </w:p>
        </w:tc>
        <w:tc>
          <w:tcPr>
            <w:tcW w:type="dxa" w:w="3000"/>
            <w:tcBorders>
              <w:top w:val="single" w:color="AABCD0" w:sz="4"/>
              <w:left w:val="single" w:color="AABCD0" w:sz="4"/>
              <w:bottom w:val="single" w:color="AABCD0" w:sz="4"/>
              <w:right w:val="single" w:color="AABCD0" w:sz="4"/>
            </w:tcBorders>
            <w:shd w:fill="D9E2F3" w:val="clear"/>
            <w:tcMar>
              <w:top w:type="dxa" w:w="80"/>
              <w:left w:type="dxa" w:w="120"/>
              <w:bottom w:type="dxa" w:w="80"/>
              <w:right w:type="dxa" w:w="120"/>
            </w:tcMar>
          </w:tcPr>
          <w:p>
            <w:r>
              <w:rPr>
                <w:rFonts w:ascii="Arial" w:cs="Arial" w:eastAsia="Arial" w:hAnsi="Arial"/>
                <w:b/>
                <w:bCs/>
                <w:sz w:val="22"/>
                <w:szCs w:val="22"/>
              </w:rPr>
              <w:t xml:space="preserve">Stability (S)</w:t>
            </w:r>
          </w:p>
        </w:tc>
      </w:tr>
      <w:tr>
        <w:tc>
          <w:tcPr>
            <w:tcW w:type="dxa" w:w="24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Biological evolution</w:t>
            </w:r>
          </w:p>
        </w:tc>
        <w:tc>
          <w:tcPr>
            <w:tcW w:type="dxa" w:w="20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Mutation</w:t>
            </w:r>
          </w:p>
        </w:tc>
        <w:tc>
          <w:tcPr>
            <w:tcW w:type="dxa" w:w="20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Natural selection</w:t>
            </w:r>
          </w:p>
        </w:tc>
        <w:tc>
          <w:tcPr>
            <w:tcW w:type="dxa" w:w="30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Population viability</w:t>
            </w:r>
          </w:p>
        </w:tc>
      </w:tr>
      <w:tr>
        <w:tc>
          <w:tcPr>
            <w:tcW w:type="dxa" w:w="24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Scientific discovery</w:t>
            </w:r>
          </w:p>
        </w:tc>
        <w:tc>
          <w:tcPr>
            <w:tcW w:type="dxa" w:w="20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Hypothesis formation</w:t>
            </w:r>
          </w:p>
        </w:tc>
        <w:tc>
          <w:tcPr>
            <w:tcW w:type="dxa" w:w="20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Experimental validation</w:t>
            </w:r>
          </w:p>
        </w:tc>
        <w:tc>
          <w:tcPr>
            <w:tcW w:type="dxa" w:w="30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Theoretical coherence</w:t>
            </w:r>
          </w:p>
        </w:tc>
      </w:tr>
      <w:tr>
        <w:tc>
          <w:tcPr>
            <w:tcW w:type="dxa" w:w="24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Technological innovation</w:t>
            </w:r>
          </w:p>
        </w:tc>
        <w:tc>
          <w:tcPr>
            <w:tcW w:type="dxa" w:w="20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Design and prototyping</w:t>
            </w:r>
          </w:p>
        </w:tc>
        <w:tc>
          <w:tcPr>
            <w:tcW w:type="dxa" w:w="20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Functional performance</w:t>
            </w:r>
          </w:p>
        </w:tc>
        <w:tc>
          <w:tcPr>
            <w:tcW w:type="dxa" w:w="30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System compatibility</w:t>
            </w:r>
          </w:p>
        </w:tc>
      </w:tr>
      <w:tr>
        <w:tc>
          <w:tcPr>
            <w:tcW w:type="dxa" w:w="24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Artificial intelligence</w:t>
            </w:r>
          </w:p>
        </w:tc>
        <w:tc>
          <w:tcPr>
            <w:tcW w:type="dxa" w:w="20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Latent space sampling</w:t>
            </w:r>
          </w:p>
        </w:tc>
        <w:tc>
          <w:tcPr>
            <w:tcW w:type="dxa" w:w="20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Task-specific scoring</w:t>
            </w:r>
          </w:p>
        </w:tc>
        <w:tc>
          <w:tcPr>
            <w:tcW w:type="dxa" w:w="30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Deployment stability</w:t>
            </w:r>
          </w:p>
        </w:tc>
      </w:tr>
    </w:tbl>
    <w:p>
      <w:pPr>
        <w:spacing w:after="0" w:before="0"/>
      </w:pPr>
      <w:r>
        <w:t xml:space="preserve"/>
      </w:r>
    </w:p>
    <w:p>
      <w:pPr>
        <w:spacing w:after="80" w:before="60"/>
      </w:pPr>
      <w:r>
        <w:rPr>
          <w:rFonts w:ascii="Times New Roman" w:cs="Times New Roman" w:eastAsia="Times New Roman" w:hAnsi="Times New Roman"/>
          <w:sz w:val="24"/>
          <w:szCs w:val="24"/>
        </w:rPr>
        <w:t xml:space="preserve">These structural parallels suggest that exploration of the adjacent possible is a general mechanism underlying novelty generation across domains. The framework functions as a meta-level model: it does not replace domain-specific theories but provides a common language for comparing their generative dynamics.</w:t>
      </w:r>
    </w:p>
    <w:p>
      <w:pPr>
        <w:pStyle w:val="Heading1"/>
        <w:spacing w:after="120" w:before="360"/>
      </w:pPr>
      <w:r>
        <w:rPr>
          <w:rFonts w:ascii="Arial" w:cs="Arial" w:eastAsia="Arial" w:hAnsi="Arial"/>
          <w:b/>
          <w:bCs/>
          <w:color w:val="1F3864"/>
          <w:sz w:val="32"/>
          <w:szCs w:val="32"/>
        </w:rPr>
        <w:t xml:space="preserve">12. Impossible-First Reasoning: Navigating the Domain of Non-Existence</w:t>
      </w:r>
    </w:p>
    <w:p>
      <w:pPr>
        <w:spacing w:after="80" w:before="60"/>
      </w:pPr>
      <w:r>
        <w:rPr>
          <w:rFonts w:ascii="Times New Roman" w:cs="Times New Roman" w:eastAsia="Times New Roman" w:hAnsi="Times New Roman"/>
          <w:sz w:val="24"/>
          <w:szCs w:val="24"/>
        </w:rPr>
        <w:t xml:space="preserve">If E(t) represents realized structures and N(t) represents unrealized possibilities, then discovery can be understood as deliberate navigation of N(t). This section formalizes a methodology for that navigation: Impossible-First Reasoning (IFR), first developed within the Trinity Framework of Cognitive Systems (Section 13).</w:t>
      </w:r>
    </w:p>
    <w:p>
      <w:pPr>
        <w:spacing w:after="80" w:before="60"/>
      </w:pPr>
      <w:r>
        <w:rPr>
          <w:rFonts w:ascii="Times New Roman" w:cs="Times New Roman" w:eastAsia="Times New Roman" w:hAnsi="Times New Roman"/>
          <w:sz w:val="24"/>
          <w:szCs w:val="24"/>
        </w:rPr>
        <w:t xml:space="preserve">The foundational insight of IFR is this: when a target structure x appears impossible, that impossibility is itself structured information. It indicates that x currently lies in N(t) and that specific constraints are responsible for its absence from A(E(t)). Rather than abandoning the goal, a structured analysis of those constraints may reveal that they are contingent — grounded in current knowledge or technology rather than in physical law — and therefore potentially removable.</w:t>
      </w:r>
    </w:p>
    <w:p>
      <w:pPr>
        <w:spacing w:after="80" w:before="60"/>
      </w:pPr>
      <w:r>
        <w:rPr>
          <w:rFonts w:ascii="Times New Roman" w:cs="Times New Roman" w:eastAsia="Times New Roman" w:hAnsi="Times New Roman"/>
          <w:sz w:val="24"/>
          <w:szCs w:val="24"/>
        </w:rPr>
        <w:t xml:space="preserve">IFR proceeds through three stages.</w:t>
      </w:r>
    </w:p>
    <w:p>
      <w:pPr>
        <w:spacing w:after="0" w:before="0"/>
      </w:pPr>
      <w:r>
        <w:t xml:space="preserve"/>
      </w:r>
    </w:p>
    <w:p>
      <w:pPr>
        <w:pStyle w:val="Heading2"/>
        <w:spacing w:after="80" w:before="280"/>
      </w:pPr>
      <w:r>
        <w:rPr>
          <w:rFonts w:ascii="Arial" w:cs="Arial" w:eastAsia="Arial" w:hAnsi="Arial"/>
          <w:b/>
          <w:bCs/>
          <w:color w:val="2E5596"/>
          <w:sz w:val="26"/>
          <w:szCs w:val="26"/>
        </w:rPr>
        <w:t xml:space="preserve">12.1 Stage 1 — Radical Imagination</w:t>
      </w:r>
    </w:p>
    <w:p>
      <w:pPr>
        <w:spacing w:after="80" w:before="60"/>
      </w:pPr>
      <w:r>
        <w:rPr>
          <w:rFonts w:ascii="Times New Roman" w:cs="Times New Roman" w:eastAsia="Times New Roman" w:hAnsi="Times New Roman"/>
          <w:sz w:val="24"/>
          <w:szCs w:val="24"/>
        </w:rPr>
        <w:t xml:space="preserve">The first stage deliberately explores scenarios that appear impossible under current understanding. Rather than beginning with what is known to be feasible, IFR begins by imagining target configurations x that lie beyond the current boundary of A(E(t)).</w:t>
      </w:r>
    </w:p>
    <w:p>
      <w:pPr>
        <w:spacing w:after="80" w:before="60"/>
      </w:pPr>
      <w:r>
        <w:rPr>
          <w:rFonts w:ascii="Times New Roman" w:cs="Times New Roman" w:eastAsia="Times New Roman" w:hAnsi="Times New Roman"/>
          <w:sz w:val="24"/>
          <w:szCs w:val="24"/>
        </w:rPr>
        <w:t xml:space="preserve">This stage is intentionally non-analytical. Its purpose is not to propose solutions but to function as a conceptual probe: by imagining x in full, the structure of the impossibility becomes visible. The form of the obstacle is revealed by the form of what is being attempted.</w:t>
      </w:r>
    </w:p>
    <w:p>
      <w:pPr>
        <w:spacing w:after="80" w:before="60"/>
      </w:pPr>
      <w:r>
        <w:rPr>
          <w:rFonts w:ascii="Times New Roman" w:cs="Times New Roman" w:eastAsia="Times New Roman" w:hAnsi="Times New Roman"/>
          <w:sz w:val="24"/>
          <w:szCs w:val="24"/>
        </w:rPr>
        <w:t xml:space="preserve">Within the possibility framework, this corresponds to selecting a target x ∈ N(t) \ A(E(t)) — a configuration that is unrealized and not yet adjacent — and treating the gap as an object of investigation rather than a terminal condition.</w:t>
      </w:r>
    </w:p>
    <w:p>
      <w:pPr>
        <w:spacing w:after="80" w:before="60"/>
      </w:pPr>
      <w:r>
        <w:rPr>
          <w:rFonts w:ascii="Times New Roman" w:cs="Times New Roman" w:eastAsia="Times New Roman" w:hAnsi="Times New Roman"/>
          <w:sz w:val="24"/>
          <w:szCs w:val="24"/>
        </w:rPr>
        <w:t xml:space="preserve">Speculative questions that characterize this stage include:</w:t>
      </w:r>
    </w:p>
    <w:p>
      <w:pPr>
        <w:spacing w:after="0" w:before="0"/>
      </w:pPr>
      <w:r>
        <w:t xml:space="preserve"/>
      </w:r>
    </w:p>
    <w:p>
      <w:pPr>
        <w:pStyle w:val="ListParagraph"/>
        <w:numPr>
          <w:ilvl w:val="0"/>
          <w:numId w:val="2"/>
        </w:numPr>
        <w:spacing w:after="40" w:before="40"/>
      </w:pPr>
      <w:r>
        <w:rPr>
          <w:rFonts w:ascii="Times New Roman" w:cs="Times New Roman" w:eastAsia="Times New Roman" w:hAnsi="Times New Roman"/>
          <w:sz w:val="24"/>
          <w:szCs w:val="24"/>
        </w:rPr>
        <w:t xml:space="preserve">How could a system gain influence over the rules governing its environment, rather than operating within them?</w:t>
      </w:r>
    </w:p>
    <w:p>
      <w:pPr>
        <w:pStyle w:val="ListParagraph"/>
        <w:numPr>
          <w:ilvl w:val="0"/>
          <w:numId w:val="2"/>
        </w:numPr>
        <w:spacing w:after="40" w:before="40"/>
      </w:pPr>
      <w:r>
        <w:rPr>
          <w:rFonts w:ascii="Times New Roman" w:cs="Times New Roman" w:eastAsia="Times New Roman" w:hAnsi="Times New Roman"/>
          <w:sz w:val="24"/>
          <w:szCs w:val="24"/>
        </w:rPr>
        <w:t xml:space="preserve">How could distributed microscopic agents collectively produce a global effect not achievable by any single agent?</w:t>
      </w:r>
    </w:p>
    <w:p>
      <w:pPr>
        <w:pStyle w:val="ListParagraph"/>
        <w:numPr>
          <w:ilvl w:val="0"/>
          <w:numId w:val="2"/>
        </w:numPr>
        <w:spacing w:after="40" w:before="40"/>
      </w:pPr>
      <w:r>
        <w:rPr>
          <w:rFonts w:ascii="Times New Roman" w:cs="Times New Roman" w:eastAsia="Times New Roman" w:hAnsi="Times New Roman"/>
          <w:sz w:val="24"/>
          <w:szCs w:val="24"/>
        </w:rPr>
        <w:t xml:space="preserve">How could a structure be reached by becoming part of it rather than acting upon it from outside?</w:t>
      </w:r>
    </w:p>
    <w:p>
      <w:pPr>
        <w:spacing w:after="0" w:before="0"/>
      </w:pPr>
      <w:r>
        <w:t xml:space="preserve"/>
      </w:r>
    </w:p>
    <w:p>
      <w:pPr>
        <w:spacing w:after="80" w:before="60"/>
      </w:pPr>
      <w:r>
        <w:rPr>
          <w:rFonts w:ascii="Times New Roman" w:cs="Times New Roman" w:eastAsia="Times New Roman" w:hAnsi="Times New Roman"/>
          <w:sz w:val="24"/>
          <w:szCs w:val="24"/>
        </w:rPr>
        <w:t xml:space="preserve">These questions do not assume their own answers. They function as probes that expose the topology of the boundary separating E(t) from the regions of N(t) that contain x.</w:t>
      </w:r>
    </w:p>
    <w:p>
      <w:pPr>
        <w:spacing w:after="0" w:before="0"/>
      </w:pPr>
      <w:r>
        <w:t xml:space="preserve"/>
      </w:r>
    </w:p>
    <w:p>
      <w:pPr>
        <w:pStyle w:val="Heading2"/>
        <w:spacing w:after="80" w:before="280"/>
      </w:pPr>
      <w:r>
        <w:rPr>
          <w:rFonts w:ascii="Arial" w:cs="Arial" w:eastAsia="Arial" w:hAnsi="Arial"/>
          <w:b/>
          <w:bCs/>
          <w:color w:val="2E5596"/>
          <w:sz w:val="26"/>
          <w:szCs w:val="26"/>
        </w:rPr>
        <w:t xml:space="preserve">12.2 Stage 2 — Constraint Identification</w:t>
      </w:r>
    </w:p>
    <w:p>
      <w:pPr>
        <w:spacing w:after="80" w:before="60"/>
      </w:pPr>
      <w:r>
        <w:rPr>
          <w:rFonts w:ascii="Times New Roman" w:cs="Times New Roman" w:eastAsia="Times New Roman" w:hAnsi="Times New Roman"/>
          <w:sz w:val="24"/>
          <w:szCs w:val="24"/>
        </w:rPr>
        <w:t xml:space="preserve">Once the impossible scenario has been imagined in sufficient detail, the second stage analyzes why it appears impossible. The goal is to identify the constraint set C = {c₁, c₂, ..., cₙ} that prevents x from being in A(E(t)).</w:t>
      </w:r>
    </w:p>
    <w:p>
      <w:pPr>
        <w:spacing w:after="80" w:before="60"/>
      </w:pPr>
      <w:r>
        <w:rPr>
          <w:rFonts w:ascii="Times New Roman" w:cs="Times New Roman" w:eastAsia="Times New Roman" w:hAnsi="Times New Roman"/>
          <w:sz w:val="24"/>
          <w:szCs w:val="24"/>
        </w:rPr>
        <w:t xml:space="preserve">Constraints that commonly produce impossibility include:</w:t>
      </w:r>
    </w:p>
    <w:p>
      <w:pPr>
        <w:spacing w:after="0" w:before="0"/>
      </w:pPr>
      <w:r>
        <w:t xml:space="preserve"/>
      </w:r>
    </w:p>
    <w:p>
      <w:pPr>
        <w:pStyle w:val="ListParagraph"/>
        <w:numPr>
          <w:ilvl w:val="0"/>
          <w:numId w:val="2"/>
        </w:numPr>
        <w:spacing w:after="40" w:before="40"/>
      </w:pPr>
      <w:r>
        <w:rPr>
          <w:rFonts w:ascii="Times New Roman" w:cs="Times New Roman" w:eastAsia="Times New Roman" w:hAnsi="Times New Roman"/>
          <w:sz w:val="24"/>
          <w:szCs w:val="24"/>
        </w:rPr>
        <w:t xml:space="preserve">Symmetry conditions: physical or logical invariances that preclude certain configurations</w:t>
      </w:r>
    </w:p>
    <w:p>
      <w:pPr>
        <w:pStyle w:val="ListParagraph"/>
        <w:numPr>
          <w:ilvl w:val="0"/>
          <w:numId w:val="2"/>
        </w:numPr>
        <w:spacing w:after="40" w:before="40"/>
      </w:pPr>
      <w:r>
        <w:rPr>
          <w:rFonts w:ascii="Times New Roman" w:cs="Times New Roman" w:eastAsia="Times New Roman" w:hAnsi="Times New Roman"/>
          <w:sz w:val="24"/>
          <w:szCs w:val="24"/>
        </w:rPr>
        <w:t xml:space="preserve">Conservation laws: quantities that cannot be created or destroyed by available generative processes</w:t>
      </w:r>
    </w:p>
    <w:p>
      <w:pPr>
        <w:pStyle w:val="ListParagraph"/>
        <w:numPr>
          <w:ilvl w:val="0"/>
          <w:numId w:val="2"/>
        </w:numPr>
        <w:spacing w:after="40" w:before="40"/>
      </w:pPr>
      <w:r>
        <w:rPr>
          <w:rFonts w:ascii="Times New Roman" w:cs="Times New Roman" w:eastAsia="Times New Roman" w:hAnsi="Times New Roman"/>
          <w:sz w:val="24"/>
          <w:szCs w:val="24"/>
        </w:rPr>
        <w:t xml:space="preserve">Equilibrium states: stable attractors that prevent systems from reaching target configurations</w:t>
      </w:r>
    </w:p>
    <w:p>
      <w:pPr>
        <w:pStyle w:val="ListParagraph"/>
        <w:numPr>
          <w:ilvl w:val="0"/>
          <w:numId w:val="2"/>
        </w:numPr>
        <w:spacing w:after="40" w:before="40"/>
      </w:pPr>
      <w:r>
        <w:rPr>
          <w:rFonts w:ascii="Times New Roman" w:cs="Times New Roman" w:eastAsia="Times New Roman" w:hAnsi="Times New Roman"/>
          <w:sz w:val="24"/>
          <w:szCs w:val="24"/>
        </w:rPr>
        <w:t xml:space="preserve">Rule-system definitions: constraints built into the conceptual framework used to describe the problem</w:t>
      </w:r>
    </w:p>
    <w:p>
      <w:pPr>
        <w:spacing w:after="0" w:before="0"/>
      </w:pPr>
      <w:r>
        <w:t xml:space="preserve"/>
      </w:r>
    </w:p>
    <w:p>
      <w:pPr>
        <w:spacing w:after="80" w:before="60"/>
      </w:pPr>
      <w:r>
        <w:rPr>
          <w:rFonts w:ascii="Times New Roman" w:cs="Times New Roman" w:eastAsia="Times New Roman" w:hAnsi="Times New Roman"/>
          <w:sz w:val="24"/>
          <w:szCs w:val="24"/>
        </w:rPr>
        <w:t xml:space="preserve">This stage produces a structural map of the impossibility: not a judgment that x cannot be realized, but a specification of what, precisely, would need to change for x to become reachable. The distinction is critical. An undifferentiated sense of impossibility contains no actionable information. A constraint map does.</w:t>
      </w:r>
    </w:p>
    <w:p>
      <w:pPr>
        <w:spacing w:after="80" w:before="60"/>
      </w:pPr>
      <w:r>
        <w:rPr>
          <w:rFonts w:ascii="Times New Roman" w:cs="Times New Roman" w:eastAsia="Times New Roman" w:hAnsi="Times New Roman"/>
          <w:sz w:val="24"/>
          <w:szCs w:val="24"/>
        </w:rPr>
        <w:t xml:space="preserve">Within the formal framework, this stage identifies which elements of the complement N(t) \ A(E(t)) are blocking the path to x, and what structural features of E(t) generate those blocking elements.</w:t>
      </w:r>
    </w:p>
    <w:p>
      <w:pPr>
        <w:spacing w:after="0" w:before="0"/>
      </w:pPr>
      <w:r>
        <w:t xml:space="preserve"/>
      </w:r>
    </w:p>
    <w:p>
      <w:pPr>
        <w:pStyle w:val="Heading2"/>
        <w:spacing w:after="80" w:before="280"/>
      </w:pPr>
      <w:r>
        <w:rPr>
          <w:rFonts w:ascii="Arial" w:cs="Arial" w:eastAsia="Arial" w:hAnsi="Arial"/>
          <w:b/>
          <w:bCs/>
          <w:color w:val="2E5596"/>
          <w:sz w:val="26"/>
          <w:szCs w:val="26"/>
        </w:rPr>
        <w:t xml:space="preserve">12.3 Stage 3 — Structural Reframing via the Unification Method</w:t>
      </w:r>
    </w:p>
    <w:p>
      <w:pPr>
        <w:spacing w:after="80" w:before="60"/>
      </w:pPr>
      <w:r>
        <w:rPr>
          <w:rFonts w:ascii="Times New Roman" w:cs="Times New Roman" w:eastAsia="Times New Roman" w:hAnsi="Times New Roman"/>
          <w:sz w:val="24"/>
          <w:szCs w:val="24"/>
        </w:rPr>
        <w:t xml:space="preserve">The third stage is the pivot of IFR. Having identified the constraint set C, the question becomes whether the constraints arise from a particular conceptual framework rather than from physical necessity. If so, reframing that framework may dissolve the constraint — not by violating it, but by changing the structural conditions that generate it.</w:t>
      </w:r>
    </w:p>
    <w:p>
      <w:pPr>
        <w:spacing w:after="80" w:before="60"/>
      </w:pPr>
      <w:r>
        <w:rPr>
          <w:rFonts w:ascii="Times New Roman" w:cs="Times New Roman" w:eastAsia="Times New Roman" w:hAnsi="Times New Roman"/>
          <w:sz w:val="24"/>
          <w:szCs w:val="24"/>
        </w:rPr>
        <w:t xml:space="preserve">This stage transitions naturally into the Unification Method (Section 13), which provides the cognitive toolkit for structural reframing. Five reframing strategies frequently emerge at this stage, corresponding to distinct mechanisms by which the boundary between E(t) and the target x can be reorganized: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AABCD0" w:sz="4"/>
              <w:left w:val="single" w:color="AABCD0" w:sz="4"/>
              <w:bottom w:val="single" w:color="AABCD0" w:sz="4"/>
              <w:right w:val="single" w:color="AABCD0" w:sz="4"/>
            </w:tcBorders>
            <w:shd w:fill="D9E2F3" w:val="clear"/>
            <w:tcMar>
              <w:top w:type="dxa" w:w="80"/>
              <w:left w:type="dxa" w:w="120"/>
              <w:bottom w:type="dxa" w:w="80"/>
              <w:right w:type="dxa" w:w="120"/>
            </w:tcMar>
          </w:tcPr>
          <w:p>
            <w:r>
              <w:rPr>
                <w:rFonts w:ascii="Arial" w:cs="Arial" w:eastAsia="Arial" w:hAnsi="Arial"/>
                <w:b/>
                <w:bCs/>
                <w:sz w:val="22"/>
                <w:szCs w:val="22"/>
              </w:rPr>
              <w:t xml:space="preserve">Reframing Strategy</w:t>
            </w:r>
          </w:p>
        </w:tc>
        <w:tc>
          <w:tcPr>
            <w:tcW w:type="dxa" w:w="3200"/>
            <w:tcBorders>
              <w:top w:val="single" w:color="AABCD0" w:sz="4"/>
              <w:left w:val="single" w:color="AABCD0" w:sz="4"/>
              <w:bottom w:val="single" w:color="AABCD0" w:sz="4"/>
              <w:right w:val="single" w:color="AABCD0" w:sz="4"/>
            </w:tcBorders>
            <w:shd w:fill="D9E2F3" w:val="clear"/>
            <w:tcMar>
              <w:top w:type="dxa" w:w="80"/>
              <w:left w:type="dxa" w:w="120"/>
              <w:bottom w:type="dxa" w:w="80"/>
              <w:right w:type="dxa" w:w="120"/>
            </w:tcMar>
          </w:tcPr>
          <w:p>
            <w:r>
              <w:rPr>
                <w:rFonts w:ascii="Arial" w:cs="Arial" w:eastAsia="Arial" w:hAnsi="Arial"/>
                <w:b/>
                <w:bCs/>
                <w:sz w:val="22"/>
                <w:szCs w:val="22"/>
              </w:rPr>
              <w:t xml:space="preserve">Mechanism</w:t>
            </w:r>
          </w:p>
        </w:tc>
        <w:tc>
          <w:tcPr>
            <w:tcW w:type="dxa" w:w="3960"/>
            <w:tcBorders>
              <w:top w:val="single" w:color="AABCD0" w:sz="4"/>
              <w:left w:val="single" w:color="AABCD0" w:sz="4"/>
              <w:bottom w:val="single" w:color="AABCD0" w:sz="4"/>
              <w:right w:val="single" w:color="AABCD0" w:sz="4"/>
            </w:tcBorders>
            <w:shd w:fill="D9E2F3" w:val="clear"/>
            <w:tcMar>
              <w:top w:type="dxa" w:w="80"/>
              <w:left w:type="dxa" w:w="120"/>
              <w:bottom w:type="dxa" w:w="80"/>
              <w:right w:type="dxa" w:w="120"/>
            </w:tcMar>
          </w:tcPr>
          <w:p>
            <w:r>
              <w:rPr>
                <w:rFonts w:ascii="Arial" w:cs="Arial" w:eastAsia="Arial" w:hAnsi="Arial"/>
                <w:b/>
                <w:bCs/>
                <w:sz w:val="22"/>
                <w:szCs w:val="22"/>
              </w:rPr>
              <w:t xml:space="preserve">Effect on Constraint</w:t>
            </w:r>
          </w:p>
        </w:tc>
      </w:tr>
      <w:tr>
        <w:tc>
          <w:tcPr>
            <w:tcW w:type="dxa" w:w="22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Structural Merge</w:t>
            </w:r>
          </w:p>
        </w:tc>
        <w:tc>
          <w:tcPr>
            <w:tcW w:type="dxa" w:w="32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Two opposing concepts are revealed as expressions of a common underlying structure</w:t>
            </w:r>
          </w:p>
        </w:tc>
        <w:tc>
          <w:tcPr>
            <w:tcW w:type="dxa" w:w="396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Constraint dissolves because the opposition generating it was not fundamental</w:t>
            </w:r>
          </w:p>
        </w:tc>
      </w:tr>
      <w:tr>
        <w:tc>
          <w:tcPr>
            <w:tcW w:type="dxa" w:w="22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Parameterization</w:t>
            </w:r>
          </w:p>
        </w:tc>
        <w:tc>
          <w:tcPr>
            <w:tcW w:type="dxa" w:w="32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A binary opposition is transformed into a continuous variable or parameter space</w:t>
            </w:r>
          </w:p>
        </w:tc>
        <w:tc>
          <w:tcPr>
            <w:tcW w:type="dxa" w:w="396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Constraint becomes a tunable parameter rather than a fixed boundary</w:t>
            </w:r>
          </w:p>
        </w:tc>
      </w:tr>
      <w:tr>
        <w:tc>
          <w:tcPr>
            <w:tcW w:type="dxa" w:w="22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Co-Generative Reframing</w:t>
            </w:r>
          </w:p>
        </w:tc>
        <w:tc>
          <w:tcPr>
            <w:tcW w:type="dxa" w:w="32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Opposing categories are recognized as mutually generating rather than mutually exclusive</w:t>
            </w:r>
          </w:p>
        </w:tc>
        <w:tc>
          <w:tcPr>
            <w:tcW w:type="dxa" w:w="396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Constraint revealed as a relational artifact, not an independent obstacle</w:t>
            </w:r>
          </w:p>
        </w:tc>
      </w:tr>
      <w:tr>
        <w:tc>
          <w:tcPr>
            <w:tcW w:type="dxa" w:w="22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Frame Exit</w:t>
            </w:r>
          </w:p>
        </w:tc>
        <w:tc>
          <w:tcPr>
            <w:tcW w:type="dxa" w:w="32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The conceptual framework producing the constraint is abandoned entirely</w:t>
            </w:r>
          </w:p>
        </w:tc>
        <w:tc>
          <w:tcPr>
            <w:tcW w:type="dxa" w:w="396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Constraint disappears because it was internal to the abandoned framework</w:t>
            </w:r>
          </w:p>
        </w:tc>
      </w:tr>
      <w:tr>
        <w:tc>
          <w:tcPr>
            <w:tcW w:type="dxa" w:w="22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Dimensional Shift</w:t>
            </w:r>
          </w:p>
        </w:tc>
        <w:tc>
          <w:tcPr>
            <w:tcW w:type="dxa" w:w="32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The evaluation dimension is changed, transforming what counts as the target</w:t>
            </w:r>
          </w:p>
        </w:tc>
        <w:tc>
          <w:tcPr>
            <w:tcW w:type="dxa" w:w="396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What appeared impossible in one dimension becomes reachable in another</w:t>
            </w:r>
          </w:p>
        </w:tc>
      </w:tr>
    </w:tbl>
    <w:p>
      <w:pPr>
        <w:spacing w:after="0" w:before="0"/>
      </w:pPr>
      <w:r>
        <w:t xml:space="preserve"/>
      </w:r>
    </w:p>
    <w:p>
      <w:pPr>
        <w:spacing w:after="80" w:before="60"/>
      </w:pPr>
      <w:r>
        <w:rPr>
          <w:rFonts w:ascii="Times New Roman" w:cs="Times New Roman" w:eastAsia="Times New Roman" w:hAnsi="Times New Roman"/>
          <w:sz w:val="24"/>
          <w:szCs w:val="24"/>
        </w:rPr>
        <w:t xml:space="preserve">The selection among these strategies is not arbitrary. It is guided by the nature of the constraint identified in Stage 2. Rule-system definition constraints typically respond to Frame Exit or Structural Merge. Equilibrium state constraints often yield to Parameterization or Dimensional Shift. Co-generative reframing is most relevant when the constraint arises from treating genuinely relational categories as independent.</w:t>
      </w:r>
    </w:p>
    <w:p>
      <w:pPr>
        <w:spacing w:after="80" w:before="60"/>
      </w:pPr>
      <w:r>
        <w:rPr>
          <w:rFonts w:ascii="Times New Roman" w:cs="Times New Roman" w:eastAsia="Times New Roman" w:hAnsi="Times New Roman"/>
          <w:sz w:val="24"/>
          <w:szCs w:val="24"/>
        </w:rPr>
        <w:t xml:space="preserve">Crucially, these reframing strategies do not guarantee that x becomes immediately realizable. They shift x closer to A(E(t)) by reorganizing the boundary structure. Repeated application across multiple constraints constructs a path through intermediate configurations — each a structure that can enter E at some time t, enabling the next step.</w:t>
      </w:r>
    </w:p>
    <w:p>
      <w:pPr>
        <w:spacing w:after="0" w:before="0"/>
      </w:pPr>
      <w:r>
        <w:t xml:space="preserve"/>
      </w:r>
    </w:p>
    <w:p>
      <w:pPr>
        <w:pStyle w:val="Heading2"/>
        <w:spacing w:after="80" w:before="280"/>
      </w:pPr>
      <w:r>
        <w:rPr>
          <w:rFonts w:ascii="Arial" w:cs="Arial" w:eastAsia="Arial" w:hAnsi="Arial"/>
          <w:b/>
          <w:bCs/>
          <w:color w:val="2E5596"/>
          <w:sz w:val="26"/>
          <w:szCs w:val="26"/>
        </w:rPr>
        <w:t xml:space="preserve">12.4 IFR as a Formal Discovery Protocol</w:t>
      </w:r>
    </w:p>
    <w:p>
      <w:pPr>
        <w:spacing w:after="80" w:before="60"/>
      </w:pPr>
      <w:r>
        <w:rPr>
          <w:rFonts w:ascii="Times New Roman" w:cs="Times New Roman" w:eastAsia="Times New Roman" w:hAnsi="Times New Roman"/>
          <w:sz w:val="24"/>
          <w:szCs w:val="24"/>
        </w:rPr>
        <w:t xml:space="preserve">The three-stage structure of IFR corresponds directly to operations within the formal framework:</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AABCD0" w:sz="4"/>
              <w:left w:val="single" w:color="AABCD0" w:sz="4"/>
              <w:bottom w:val="single" w:color="AABCD0" w:sz="4"/>
              <w:right w:val="single" w:color="AABCD0" w:sz="4"/>
            </w:tcBorders>
            <w:shd w:fill="D9E2F3" w:val="clear"/>
            <w:tcMar>
              <w:top w:type="dxa" w:w="80"/>
              <w:left w:type="dxa" w:w="120"/>
              <w:bottom w:type="dxa" w:w="80"/>
              <w:right w:type="dxa" w:w="120"/>
            </w:tcMar>
          </w:tcPr>
          <w:p>
            <w:r>
              <w:rPr>
                <w:rFonts w:ascii="Arial" w:cs="Arial" w:eastAsia="Arial" w:hAnsi="Arial"/>
                <w:b/>
                <w:bCs/>
                <w:sz w:val="22"/>
                <w:szCs w:val="22"/>
              </w:rPr>
              <w:t xml:space="preserve">IFR Stage</w:t>
            </w:r>
          </w:p>
        </w:tc>
        <w:tc>
          <w:tcPr>
            <w:tcW w:type="dxa" w:w="3200"/>
            <w:tcBorders>
              <w:top w:val="single" w:color="AABCD0" w:sz="4"/>
              <w:left w:val="single" w:color="AABCD0" w:sz="4"/>
              <w:bottom w:val="single" w:color="AABCD0" w:sz="4"/>
              <w:right w:val="single" w:color="AABCD0" w:sz="4"/>
            </w:tcBorders>
            <w:shd w:fill="D9E2F3" w:val="clear"/>
            <w:tcMar>
              <w:top w:type="dxa" w:w="80"/>
              <w:left w:type="dxa" w:w="120"/>
              <w:bottom w:type="dxa" w:w="80"/>
              <w:right w:type="dxa" w:w="120"/>
            </w:tcMar>
          </w:tcPr>
          <w:p>
            <w:r>
              <w:rPr>
                <w:rFonts w:ascii="Arial" w:cs="Arial" w:eastAsia="Arial" w:hAnsi="Arial"/>
                <w:b/>
                <w:bCs/>
                <w:sz w:val="22"/>
                <w:szCs w:val="22"/>
              </w:rPr>
              <w:t xml:space="preserve">Formal Operation</w:t>
            </w:r>
          </w:p>
        </w:tc>
        <w:tc>
          <w:tcPr>
            <w:tcW w:type="dxa" w:w="3360"/>
            <w:tcBorders>
              <w:top w:val="single" w:color="AABCD0" w:sz="4"/>
              <w:left w:val="single" w:color="AABCD0" w:sz="4"/>
              <w:bottom w:val="single" w:color="AABCD0" w:sz="4"/>
              <w:right w:val="single" w:color="AABCD0" w:sz="4"/>
            </w:tcBorders>
            <w:shd w:fill="D9E2F3" w:val="clear"/>
            <w:tcMar>
              <w:top w:type="dxa" w:w="80"/>
              <w:left w:type="dxa" w:w="120"/>
              <w:bottom w:type="dxa" w:w="80"/>
              <w:right w:type="dxa" w:w="120"/>
            </w:tcMar>
          </w:tcPr>
          <w:p>
            <w:r>
              <w:rPr>
                <w:rFonts w:ascii="Arial" w:cs="Arial" w:eastAsia="Arial" w:hAnsi="Arial"/>
                <w:b/>
                <w:bCs/>
                <w:sz w:val="22"/>
                <w:szCs w:val="22"/>
              </w:rPr>
              <w:t xml:space="preserve">Output</w:t>
            </w:r>
          </w:p>
        </w:tc>
      </w:tr>
      <w:tr>
        <w:tc>
          <w:tcPr>
            <w:tcW w:type="dxa" w:w="28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Stage 1: Radical Imagination</w:t>
            </w:r>
          </w:p>
        </w:tc>
        <w:tc>
          <w:tcPr>
            <w:tcW w:type="dxa" w:w="32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Select target x ∈ N(t) \ A(E(t))</w:t>
            </w:r>
          </w:p>
        </w:tc>
        <w:tc>
          <w:tcPr>
            <w:tcW w:type="dxa" w:w="336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Specification of the gap to be analyzed</w:t>
            </w:r>
          </w:p>
        </w:tc>
      </w:tr>
      <w:tr>
        <w:tc>
          <w:tcPr>
            <w:tcW w:type="dxa" w:w="28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Stage 2: Constraint Identification</w:t>
            </w:r>
          </w:p>
        </w:tc>
        <w:tc>
          <w:tcPr>
            <w:tcW w:type="dxa" w:w="32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Map constraint set C blocking x from A(E(t))</w:t>
            </w:r>
          </w:p>
        </w:tc>
        <w:tc>
          <w:tcPr>
            <w:tcW w:type="dxa" w:w="336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Structural description of the impossibility</w:t>
            </w:r>
          </w:p>
        </w:tc>
      </w:tr>
      <w:tr>
        <w:tc>
          <w:tcPr>
            <w:tcW w:type="dxa" w:w="28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Stage 3: Structural Reframing</w:t>
            </w:r>
          </w:p>
        </w:tc>
        <w:tc>
          <w:tcPr>
            <w:tcW w:type="dxa" w:w="32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Apply Unification strategies to dissolve or reclassify constraints in C</w:t>
            </w:r>
          </w:p>
        </w:tc>
        <w:tc>
          <w:tcPr>
            <w:tcW w:type="dxa" w:w="336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Expansion of A(E(t)) toward x, or reformulation of x itself</w:t>
            </w:r>
          </w:p>
        </w:tc>
      </w:tr>
    </w:tbl>
    <w:p>
      <w:pPr>
        <w:spacing w:after="0" w:before="0"/>
      </w:pPr>
      <w:r>
        <w:t xml:space="preserve"/>
      </w:r>
    </w:p>
    <w:p>
      <w:pPr>
        <w:spacing w:after="80" w:before="60"/>
      </w:pPr>
      <w:r>
        <w:rPr>
          <w:rFonts w:ascii="Times New Roman" w:cs="Times New Roman" w:eastAsia="Times New Roman" w:hAnsi="Times New Roman"/>
          <w:sz w:val="24"/>
          <w:szCs w:val="24"/>
        </w:rPr>
        <w:t xml:space="preserve">IFR does not guarantee discovery. It replaces an undifferentiated sense of impossibility with a structured decomposition: specific constraints, classifiable by type, addressable by targeted reframing strategies. The methodology transforms 'this cannot be done' into 'these specific structural conditions must change for this to become adjacent.'</w:t>
      </w:r>
    </w:p>
    <w:p>
      <w:pPr>
        <w:pStyle w:val="Heading1"/>
        <w:spacing w:after="120" w:before="360"/>
      </w:pPr>
      <w:r>
        <w:rPr>
          <w:rFonts w:ascii="Arial" w:cs="Arial" w:eastAsia="Arial" w:hAnsi="Arial"/>
          <w:b/>
          <w:bCs/>
          <w:color w:val="1F3864"/>
          <w:sz w:val="32"/>
          <w:szCs w:val="32"/>
        </w:rPr>
        <w:t xml:space="preserve">13. The Unification Method as Cognitive Infrastructure</w:t>
      </w:r>
    </w:p>
    <w:p>
      <w:pPr>
        <w:spacing w:after="80" w:before="60"/>
      </w:pPr>
      <w:r>
        <w:rPr>
          <w:rFonts w:ascii="Times New Roman" w:cs="Times New Roman" w:eastAsia="Times New Roman" w:hAnsi="Times New Roman"/>
          <w:sz w:val="24"/>
          <w:szCs w:val="24"/>
        </w:rPr>
        <w:t xml:space="preserve">The formal framework developed in Sections 1–11 describes what possibility space is and how new structures emerge. The Trinity Framework of Cognitive Systems — of which IFR and the Unification Method are components — describes how to navigate that space cognitively. This section establishes the formal correspondence between the two.</w:t>
      </w:r>
    </w:p>
    <w:p>
      <w:pPr>
        <w:spacing w:after="0" w:before="0"/>
      </w:pPr>
      <w:r>
        <w:t xml:space="preserve"/>
      </w:r>
    </w:p>
    <w:p>
      <w:pPr>
        <w:pStyle w:val="Heading2"/>
        <w:spacing w:after="80" w:before="280"/>
      </w:pPr>
      <w:r>
        <w:rPr>
          <w:rFonts w:ascii="Arial" w:cs="Arial" w:eastAsia="Arial" w:hAnsi="Arial"/>
          <w:b/>
          <w:bCs/>
          <w:color w:val="2E5596"/>
          <w:sz w:val="26"/>
          <w:szCs w:val="26"/>
        </w:rPr>
        <w:t xml:space="preserve">13.1 Analytical Differentiation and Its Structural Limit</w:t>
      </w:r>
    </w:p>
    <w:p>
      <w:pPr>
        <w:spacing w:after="80" w:before="60"/>
      </w:pPr>
      <w:r>
        <w:rPr>
          <w:rFonts w:ascii="Times New Roman" w:cs="Times New Roman" w:eastAsia="Times New Roman" w:hAnsi="Times New Roman"/>
          <w:sz w:val="24"/>
          <w:szCs w:val="24"/>
        </w:rPr>
        <w:t xml:space="preserve">The dominant mode of reasoning in modern science, engineering, and governance is Analytical Differentiation: the creation of conceptual boundaries, classification of phenomena into categories, and logical inference within those categories. This method has generated the structures that constitute E(t) in virtually every domain.</w:t>
      </w:r>
    </w:p>
    <w:p>
      <w:pPr>
        <w:spacing w:after="80" w:before="60"/>
      </w:pPr>
      <w:r>
        <w:rPr>
          <w:rFonts w:ascii="Times New Roman" w:cs="Times New Roman" w:eastAsia="Times New Roman" w:hAnsi="Times New Roman"/>
          <w:sz w:val="24"/>
          <w:szCs w:val="24"/>
        </w:rPr>
        <w:t xml:space="preserve">However, Analytical Differentiation has a structural limitation. When two classification systems produce opposing categories — freedom vs. security, centralization vs. autonomy, innovation vs. stability — the method can only argue within the existing boundaries. It cannot reorganize the boundaries themselves.</w:t>
      </w:r>
    </w:p>
    <w:p>
      <w:pPr>
        <w:spacing w:after="80" w:before="60"/>
      </w:pPr>
      <w:r>
        <w:rPr>
          <w:rFonts w:ascii="Times New Roman" w:cs="Times New Roman" w:eastAsia="Times New Roman" w:hAnsi="Times New Roman"/>
          <w:sz w:val="24"/>
          <w:szCs w:val="24"/>
        </w:rPr>
        <w:t xml:space="preserve">The formal expression of this limitation is straightforward: Analytical Differentiation cannot expand A(E(t)) by reorganizing the constraint set C. It can only select among configurations already within A(E(t)). Discovery of structures in N(t) \ A(E(t)) requires a different cognitive mode.</w:t>
      </w:r>
    </w:p>
    <w:p>
      <w:pPr>
        <w:spacing w:after="0" w:before="0"/>
      </w:pPr>
      <w:r>
        <w:t xml:space="preserve"/>
      </w:r>
    </w:p>
    <w:p>
      <w:pPr>
        <w:pStyle w:val="Heading2"/>
        <w:spacing w:after="80" w:before="280"/>
      </w:pPr>
      <w:r>
        <w:rPr>
          <w:rFonts w:ascii="Arial" w:cs="Arial" w:eastAsia="Arial" w:hAnsi="Arial"/>
          <w:b/>
          <w:bCs/>
          <w:color w:val="2E5596"/>
          <w:sz w:val="26"/>
          <w:szCs w:val="26"/>
        </w:rPr>
        <w:t xml:space="preserve">13.2 Three Layers of the Unification Method</w:t>
      </w:r>
    </w:p>
    <w:p>
      <w:pPr>
        <w:spacing w:after="80" w:before="60"/>
      </w:pPr>
      <w:r>
        <w:rPr>
          <w:rFonts w:ascii="Times New Roman" w:cs="Times New Roman" w:eastAsia="Times New Roman" w:hAnsi="Times New Roman"/>
          <w:sz w:val="24"/>
          <w:szCs w:val="24"/>
        </w:rPr>
        <w:t xml:space="preserve">The Unification Method operates through three sequential layers that correspond to progressively deeper reorganizations of the possibility space:</w:t>
      </w:r>
    </w:p>
    <w:p>
      <w:pPr>
        <w:spacing w:after="0" w:before="0"/>
      </w:pPr>
      <w:r>
        <w:t xml:space="preserve"/>
      </w:r>
    </w:p>
    <w:p>
      <w:pPr>
        <w:pStyle w:val="Heading3"/>
        <w:spacing w:after="60" w:before="200"/>
      </w:pPr>
      <w:r>
        <w:rPr>
          <w:rFonts w:ascii="Arial" w:cs="Arial" w:eastAsia="Arial" w:hAnsi="Arial"/>
          <w:b/>
          <w:bCs/>
          <w:color w:val="4A6FA5"/>
          <w:sz w:val="24"/>
          <w:szCs w:val="24"/>
        </w:rPr>
        <w:t xml:space="preserve">Layer 1 — Structural Abstraction (San Yuan Gui Er / 三元归二)</w:t>
      </w:r>
    </w:p>
    <w:p>
      <w:pPr>
        <w:spacing w:after="80" w:before="60"/>
      </w:pPr>
      <w:r>
        <w:rPr>
          <w:rFonts w:ascii="Times New Roman" w:cs="Times New Roman" w:eastAsia="Times New Roman" w:hAnsi="Times New Roman"/>
          <w:sz w:val="24"/>
          <w:szCs w:val="24"/>
        </w:rPr>
        <w:t xml:space="preserve">Multiple observable categories are traced back to a smaller set of underlying generative dimensions. The apparent diversity of configurations is revealed as variation produced by a compact set of structural parameters. Formally, this operation reduces the apparent dimensionality of the constraint set C by identifying shared generative sources across what appeared to be independent constraints.</w:t>
      </w:r>
    </w:p>
    <w:p>
      <w:pPr>
        <w:spacing w:after="80" w:before="60"/>
      </w:pPr>
      <w:r>
        <w:rPr>
          <w:rFonts w:ascii="Times New Roman" w:cs="Times New Roman" w:eastAsia="Times New Roman" w:hAnsi="Times New Roman"/>
          <w:sz w:val="24"/>
          <w:szCs w:val="24"/>
        </w:rPr>
        <w:t xml:space="preserve">The historical development of the periodic table provides a canonical example: the apparent diversity of chemical substances was revealed as variation along atomic structural parameters, reducing the constraint space for chemical synthesis dramatically.</w:t>
      </w:r>
    </w:p>
    <w:p>
      <w:pPr>
        <w:spacing w:after="0" w:before="0"/>
      </w:pPr>
      <w:r>
        <w:t xml:space="preserve"/>
      </w:r>
    </w:p>
    <w:p>
      <w:pPr>
        <w:pStyle w:val="Heading3"/>
        <w:spacing w:after="60" w:before="200"/>
      </w:pPr>
      <w:r>
        <w:rPr>
          <w:rFonts w:ascii="Arial" w:cs="Arial" w:eastAsia="Arial" w:hAnsi="Arial"/>
          <w:b/>
          <w:bCs/>
          <w:color w:val="4A6FA5"/>
          <w:sz w:val="24"/>
          <w:szCs w:val="24"/>
        </w:rPr>
        <w:t xml:space="preserve">Layer 2 — Paradox Dissolution (Er Yuan Gui Yi / 二元归一)</w:t>
      </w:r>
    </w:p>
    <w:p>
      <w:pPr>
        <w:spacing w:after="80" w:before="60"/>
      </w:pPr>
      <w:r>
        <w:rPr>
          <w:rFonts w:ascii="Times New Roman" w:cs="Times New Roman" w:eastAsia="Times New Roman" w:hAnsi="Times New Roman"/>
          <w:sz w:val="24"/>
          <w:szCs w:val="24"/>
        </w:rPr>
        <w:t xml:space="preserve">Binary oppositions are recognized as complementary expressions of a shared generative structure rather than as independent contradictions. When the deeper generative structure is identified, the apparent impossibility of having both sides simultaneously dissolves.</w:t>
      </w:r>
    </w:p>
    <w:p>
      <w:pPr>
        <w:spacing w:after="80" w:before="60"/>
      </w:pPr>
      <w:r>
        <w:rPr>
          <w:rFonts w:ascii="Times New Roman" w:cs="Times New Roman" w:eastAsia="Times New Roman" w:hAnsi="Times New Roman"/>
          <w:sz w:val="24"/>
          <w:szCs w:val="24"/>
        </w:rPr>
        <w:t xml:space="preserve">The formal meaning of this layer is precise: a constraint cᵢ ∈ C that appears as a fixed trade-off between two values may actually arise from a conceptual framework that treats those values as independent when they are not. Recognizing their co-generative relationship eliminates cᵢ from C without violating any physical or logical law.</w:t>
      </w:r>
    </w:p>
    <w:p>
      <w:pPr>
        <w:spacing w:after="80" w:before="60"/>
      </w:pPr>
      <w:r>
        <w:rPr>
          <w:rFonts w:ascii="Times New Roman" w:cs="Times New Roman" w:eastAsia="Times New Roman" w:hAnsi="Times New Roman"/>
          <w:sz w:val="24"/>
          <w:szCs w:val="24"/>
        </w:rPr>
        <w:t xml:space="preserve">Classical examples include the unification of space and time into spacetime (dissolving the apparent constraint that spatial and temporal measurements must be independently conserved), and wave-particle duality in quantum mechanics (dissolving the apparent constraint that a physical system must be exclusively one or the other).</w:t>
      </w:r>
    </w:p>
    <w:p>
      <w:pPr>
        <w:spacing w:after="0" w:before="0"/>
      </w:pPr>
      <w:r>
        <w:t xml:space="preserve"/>
      </w:r>
    </w:p>
    <w:p>
      <w:pPr>
        <w:pStyle w:val="Heading3"/>
        <w:spacing w:after="60" w:before="200"/>
      </w:pPr>
      <w:r>
        <w:rPr>
          <w:rFonts w:ascii="Arial" w:cs="Arial" w:eastAsia="Arial" w:hAnsi="Arial"/>
          <w:b/>
          <w:bCs/>
          <w:color w:val="4A6FA5"/>
          <w:sz w:val="24"/>
          <w:szCs w:val="24"/>
        </w:rPr>
        <w:t xml:space="preserve">Layer 3 — Conceptual Boundary Awareness (Yi Yuan Gui Dao / 一元归道)</w:t>
      </w:r>
    </w:p>
    <w:p>
      <w:pPr>
        <w:spacing w:after="80" w:before="60"/>
      </w:pPr>
      <w:r>
        <w:rPr>
          <w:rFonts w:ascii="Times New Roman" w:cs="Times New Roman" w:eastAsia="Times New Roman" w:hAnsi="Times New Roman"/>
          <w:sz w:val="24"/>
          <w:szCs w:val="24"/>
        </w:rPr>
        <w:t xml:space="preserve">The third layer operates at the meta-level. Even unified frameworks still rely on conceptual boundaries, and those boundaries are cognitive constructs rather than features of reality itself. The Dao De Jing's opening line captures this precisely:</w:t>
      </w:r>
    </w:p>
    <w:p>
      <w:pPr>
        <w:spacing w:after="80" w:before="80"/>
        <w:ind w:left="720" w:right="720"/>
      </w:pPr>
      <w:r>
        <w:rPr>
          <w:rFonts w:ascii="Times New Roman" w:cs="Times New Roman" w:eastAsia="Times New Roman" w:hAnsi="Times New Roman"/>
          <w:i/>
          <w:iCs/>
          <w:sz w:val="22"/>
          <w:szCs w:val="22"/>
        </w:rPr>
        <w:t xml:space="preserve">“The Dao that can be named is not the eternal Dao.”</w:t>
      </w:r>
    </w:p>
    <w:p>
      <w:pPr>
        <w:spacing w:after="80" w:before="60"/>
      </w:pPr>
      <w:r>
        <w:rPr>
          <w:rFonts w:ascii="Times New Roman" w:cs="Times New Roman" w:eastAsia="Times New Roman" w:hAnsi="Times New Roman"/>
          <w:sz w:val="24"/>
          <w:szCs w:val="24"/>
        </w:rPr>
        <w:t xml:space="preserve">Within the formal framework, this layer corresponds to the recognition that U(t) itself is a function of current conceptual and technological capacity. The boundary of U(t) — the outer limit of what counts as a possible configuration — is not fixed. It is itself subject to revision through the kind of conceptual boundary dissolution that Layer 3 makes possible. Formally: Layer 3 operations can produce U(t+1) &gt; U(t) not merely by realizing configurations already in U(t), but by expanding what counts as a possible configuration.</w:t>
      </w:r>
    </w:p>
    <w:p>
      <w:pPr>
        <w:spacing w:after="0" w:before="0"/>
      </w:pPr>
      <w:r>
        <w:t xml:space="preserve"/>
      </w:r>
    </w:p>
    <w:p>
      <w:pPr>
        <w:pStyle w:val="Heading2"/>
        <w:spacing w:after="80" w:before="280"/>
      </w:pPr>
      <w:r>
        <w:rPr>
          <w:rFonts w:ascii="Arial" w:cs="Arial" w:eastAsia="Arial" w:hAnsi="Arial"/>
          <w:b/>
          <w:bCs/>
          <w:color w:val="2E5596"/>
          <w:sz w:val="26"/>
          <w:szCs w:val="26"/>
        </w:rPr>
        <w:t xml:space="preserve">13.3 Formal Correspondence: Trinity Framework and Possibility Space</w:t>
      </w:r>
    </w:p>
    <w:p>
      <w:pPr>
        <w:spacing w:after="80" w:before="60"/>
      </w:pPr>
      <w:r>
        <w:rPr>
          <w:rFonts w:ascii="Times New Roman" w:cs="Times New Roman" w:eastAsia="Times New Roman" w:hAnsi="Times New Roman"/>
          <w:sz w:val="24"/>
          <w:szCs w:val="24"/>
        </w:rPr>
        <w:t xml:space="preserve">The formal correspondences between the possibility framework and the Trinity Framework can now be stated explicitly: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AABCD0" w:sz="4"/>
              <w:left w:val="single" w:color="AABCD0" w:sz="4"/>
              <w:bottom w:val="single" w:color="AABCD0" w:sz="4"/>
              <w:right w:val="single" w:color="AABCD0" w:sz="4"/>
            </w:tcBorders>
            <w:shd w:fill="D9E2F3" w:val="clear"/>
            <w:tcMar>
              <w:top w:type="dxa" w:w="80"/>
              <w:left w:type="dxa" w:w="120"/>
              <w:bottom w:type="dxa" w:w="80"/>
              <w:right w:type="dxa" w:w="120"/>
            </w:tcMar>
          </w:tcPr>
          <w:p>
            <w:r>
              <w:rPr>
                <w:rFonts w:ascii="Arial" w:cs="Arial" w:eastAsia="Arial" w:hAnsi="Arial"/>
                <w:b/>
                <w:bCs/>
                <w:sz w:val="22"/>
                <w:szCs w:val="22"/>
              </w:rPr>
              <w:t xml:space="preserve">Trinity Component</w:t>
            </w:r>
          </w:p>
        </w:tc>
        <w:tc>
          <w:tcPr>
            <w:tcW w:type="dxa" w:w="3200"/>
            <w:tcBorders>
              <w:top w:val="single" w:color="AABCD0" w:sz="4"/>
              <w:left w:val="single" w:color="AABCD0" w:sz="4"/>
              <w:bottom w:val="single" w:color="AABCD0" w:sz="4"/>
              <w:right w:val="single" w:color="AABCD0" w:sz="4"/>
            </w:tcBorders>
            <w:shd w:fill="D9E2F3" w:val="clear"/>
            <w:tcMar>
              <w:top w:type="dxa" w:w="80"/>
              <w:left w:type="dxa" w:w="120"/>
              <w:bottom w:type="dxa" w:w="80"/>
              <w:right w:type="dxa" w:w="120"/>
            </w:tcMar>
          </w:tcPr>
          <w:p>
            <w:r>
              <w:rPr>
                <w:rFonts w:ascii="Arial" w:cs="Arial" w:eastAsia="Arial" w:hAnsi="Arial"/>
                <w:b/>
                <w:bCs/>
                <w:sz w:val="22"/>
                <w:szCs w:val="22"/>
              </w:rPr>
              <w:t xml:space="preserve">Formal Correspondence</w:t>
            </w:r>
          </w:p>
        </w:tc>
        <w:tc>
          <w:tcPr>
            <w:tcW w:type="dxa" w:w="3560"/>
            <w:tcBorders>
              <w:top w:val="single" w:color="AABCD0" w:sz="4"/>
              <w:left w:val="single" w:color="AABCD0" w:sz="4"/>
              <w:bottom w:val="single" w:color="AABCD0" w:sz="4"/>
              <w:right w:val="single" w:color="AABCD0" w:sz="4"/>
            </w:tcBorders>
            <w:shd w:fill="D9E2F3" w:val="clear"/>
            <w:tcMar>
              <w:top w:type="dxa" w:w="80"/>
              <w:left w:type="dxa" w:w="120"/>
              <w:bottom w:type="dxa" w:w="80"/>
              <w:right w:type="dxa" w:w="120"/>
            </w:tcMar>
          </w:tcPr>
          <w:p>
            <w:r>
              <w:rPr>
                <w:rFonts w:ascii="Arial" w:cs="Arial" w:eastAsia="Arial" w:hAnsi="Arial"/>
                <w:b/>
                <w:bCs/>
                <w:sz w:val="22"/>
                <w:szCs w:val="22"/>
              </w:rPr>
              <w:t xml:space="preserve">Role in Discovery</w:t>
            </w:r>
          </w:p>
        </w:tc>
      </w:tr>
      <w:tr>
        <w:tc>
          <w:tcPr>
            <w:tcW w:type="dxa" w:w="26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Impossible-First Reasoning</w:t>
            </w:r>
          </w:p>
        </w:tc>
        <w:tc>
          <w:tcPr>
            <w:tcW w:type="dxa" w:w="32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Selection and analysis of x ∈ N(t) \ A(E(t))</w:t>
            </w:r>
          </w:p>
        </w:tc>
        <w:tc>
          <w:tcPr>
            <w:tcW w:type="dxa" w:w="356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Entry method: converts impossibility into structured constraint map</w:t>
            </w:r>
          </w:p>
        </w:tc>
      </w:tr>
      <w:tr>
        <w:tc>
          <w:tcPr>
            <w:tcW w:type="dxa" w:w="26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Unification Method — Layer 1</w:t>
            </w:r>
          </w:p>
        </w:tc>
        <w:tc>
          <w:tcPr>
            <w:tcW w:type="dxa" w:w="32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Structural abstraction of constraint set C</w:t>
            </w:r>
          </w:p>
        </w:tc>
        <w:tc>
          <w:tcPr>
            <w:tcW w:type="dxa" w:w="356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Reduces dimensionality of the obstacle</w:t>
            </w:r>
          </w:p>
        </w:tc>
      </w:tr>
      <w:tr>
        <w:tc>
          <w:tcPr>
            <w:tcW w:type="dxa" w:w="26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Unification Method — Layer 2</w:t>
            </w:r>
          </w:p>
        </w:tc>
        <w:tc>
          <w:tcPr>
            <w:tcW w:type="dxa" w:w="32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Paradox dissolution: reveals co-generative constraints</w:t>
            </w:r>
          </w:p>
        </w:tc>
        <w:tc>
          <w:tcPr>
            <w:tcW w:type="dxa" w:w="356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Eliminates apparent trade-offs from C</w:t>
            </w:r>
          </w:p>
        </w:tc>
      </w:tr>
      <w:tr>
        <w:tc>
          <w:tcPr>
            <w:tcW w:type="dxa" w:w="26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Unification Method — Layer 3</w:t>
            </w:r>
          </w:p>
        </w:tc>
        <w:tc>
          <w:tcPr>
            <w:tcW w:type="dxa" w:w="32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Boundary revision: expands U(t)</w:t>
            </w:r>
          </w:p>
        </w:tc>
        <w:tc>
          <w:tcPr>
            <w:tcW w:type="dxa" w:w="356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Extends the space of what counts as possible</w:t>
            </w:r>
          </w:p>
        </w:tc>
      </w:tr>
      <w:tr>
        <w:tc>
          <w:tcPr>
            <w:tcW w:type="dxa" w:w="26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Emergence Method (Φ)</w:t>
            </w:r>
          </w:p>
        </w:tc>
        <w:tc>
          <w:tcPr>
            <w:tcW w:type="dxa" w:w="32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Generative process producing new structures</w:t>
            </w:r>
          </w:p>
        </w:tc>
        <w:tc>
          <w:tcPr>
            <w:tcW w:type="dxa" w:w="356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Realizes configurations once constraints are reorganized</w:t>
            </w:r>
          </w:p>
        </w:tc>
      </w:tr>
      <w:tr>
        <w:tc>
          <w:tcPr>
            <w:tcW w:type="dxa" w:w="26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Paradoxical Coherence</w:t>
            </w:r>
          </w:p>
        </w:tc>
        <w:tc>
          <w:tcPr>
            <w:tcW w:type="dxa" w:w="32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Simultaneous operation of Φ and S</w:t>
            </w:r>
          </w:p>
        </w:tc>
        <w:tc>
          <w:tcPr>
            <w:tcW w:type="dxa" w:w="356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Maintains stability during generative expansion</w:t>
            </w:r>
          </w:p>
        </w:tc>
      </w:tr>
      <w:tr>
        <w:tc>
          <w:tcPr>
            <w:tcW w:type="dxa" w:w="26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ADPIE</w:t>
            </w:r>
          </w:p>
        </w:tc>
        <w:tc>
          <w:tcPr>
            <w:tcW w:type="dxa" w:w="32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Operationalization of F evaluation</w:t>
            </w:r>
          </w:p>
        </w:tc>
        <w:tc>
          <w:tcPr>
            <w:tcW w:type="dxa" w:w="356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Grounds abstract viability in measurable outcomes</w:t>
            </w:r>
          </w:p>
        </w:tc>
      </w:tr>
    </w:tbl>
    <w:p>
      <w:pPr>
        <w:spacing w:after="0" w:before="0"/>
      </w:pPr>
      <w:r>
        <w:t xml:space="preserve"/>
      </w:r>
    </w:p>
    <w:p>
      <w:pPr>
        <w:spacing w:after="80" w:before="60"/>
      </w:pPr>
      <w:r>
        <w:rPr>
          <w:rFonts w:ascii="Times New Roman" w:cs="Times New Roman" w:eastAsia="Times New Roman" w:hAnsi="Times New Roman"/>
          <w:sz w:val="24"/>
          <w:szCs w:val="24"/>
        </w:rPr>
        <w:t xml:space="preserve">This correspondence is not superficial. The Trinity Framework was developed as a cognitive system for navigating exactly the kind of structured impossibility that the formal framework describes. The formal framework provides the ontological language; the Trinity Framework provides the cognitive architecture for operating within it.</w:t>
      </w:r>
    </w:p>
    <w:p>
      <w:pPr>
        <w:pStyle w:val="Heading1"/>
        <w:spacing w:after="120" w:before="360"/>
      </w:pPr>
      <w:r>
        <w:rPr>
          <w:rFonts w:ascii="Arial" w:cs="Arial" w:eastAsia="Arial" w:hAnsi="Arial"/>
          <w:b/>
          <w:bCs/>
          <w:color w:val="1F3864"/>
          <w:sz w:val="32"/>
          <w:szCs w:val="32"/>
        </w:rPr>
        <w:t xml:space="preserve">14. Case Study: mRNA Vaccine Development</w:t>
      </w:r>
    </w:p>
    <w:p>
      <w:pPr>
        <w:spacing w:after="80" w:before="60"/>
      </w:pPr>
      <w:r>
        <w:rPr>
          <w:rFonts w:ascii="Times New Roman" w:cs="Times New Roman" w:eastAsia="Times New Roman" w:hAnsi="Times New Roman"/>
          <w:sz w:val="24"/>
          <w:szCs w:val="24"/>
        </w:rPr>
        <w:t xml:space="preserve">The development of mRNA vaccines provides a historical case to which IFR can be applied retrospectively. Before approximately 2005, mRNA-based vaccines were effectively in N(t): theoretically known as a biological mechanism but absent from A(E(t)).</w:t>
      </w:r>
    </w:p>
    <w:p>
      <w:pPr>
        <w:spacing w:after="0" w:before="0"/>
      </w:pPr>
      <w:r>
        <w:t xml:space="preserve"/>
      </w:r>
    </w:p>
    <w:p>
      <w:pPr>
        <w:pStyle w:val="Heading2"/>
        <w:spacing w:after="80" w:before="280"/>
      </w:pPr>
      <w:r>
        <w:rPr>
          <w:rFonts w:ascii="Arial" w:cs="Arial" w:eastAsia="Arial" w:hAnsi="Arial"/>
          <w:b/>
          <w:bCs/>
          <w:color w:val="2E5596"/>
          <w:sz w:val="26"/>
          <w:szCs w:val="26"/>
        </w:rPr>
        <w:t xml:space="preserve">14.1 Stage 1 — Radical Imagination</w:t>
      </w:r>
    </w:p>
    <w:p>
      <w:pPr>
        <w:spacing w:after="80" w:before="60"/>
      </w:pPr>
      <w:r>
        <w:rPr>
          <w:rFonts w:ascii="Times New Roman" w:cs="Times New Roman" w:eastAsia="Times New Roman" w:hAnsi="Times New Roman"/>
          <w:sz w:val="24"/>
          <w:szCs w:val="24"/>
        </w:rPr>
        <w:t xml:space="preserve">The target configuration x = a stable mRNA construct, deliverable to human cells, encoding a target antigen and producing a protective immune response, was imaginable in principle by the 1990s. The biological mechanisms — cellular uptake of mRNA, ribosomal translation, antigen presentation, adaptive immune activation — were all established science. The impossibility was not logical but practical: a gap between theoretical possibility and experimental realizability.</w:t>
      </w:r>
    </w:p>
    <w:p>
      <w:pPr>
        <w:spacing w:after="80" w:before="60"/>
      </w:pPr>
      <w:r>
        <w:rPr>
          <w:rFonts w:ascii="Times New Roman" w:cs="Times New Roman" w:eastAsia="Times New Roman" w:hAnsi="Times New Roman"/>
          <w:sz w:val="24"/>
          <w:szCs w:val="24"/>
        </w:rPr>
        <w:t xml:space="preserve">IFR Stage 1 requires holding this target in full specificity: not 'gene therapy is interesting' but the precise configuration x, with all its requirements. This specificity is what makes Stage 2 possible.</w:t>
      </w:r>
    </w:p>
    <w:p>
      <w:pPr>
        <w:spacing w:after="0" w:before="0"/>
      </w:pPr>
      <w:r>
        <w:t xml:space="preserve"/>
      </w:r>
    </w:p>
    <w:p>
      <w:pPr>
        <w:pStyle w:val="Heading2"/>
        <w:spacing w:after="80" w:before="280"/>
      </w:pPr>
      <w:r>
        <w:rPr>
          <w:rFonts w:ascii="Arial" w:cs="Arial" w:eastAsia="Arial" w:hAnsi="Arial"/>
          <w:b/>
          <w:bCs/>
          <w:color w:val="2E5596"/>
          <w:sz w:val="26"/>
          <w:szCs w:val="26"/>
        </w:rPr>
        <w:t xml:space="preserve">14.2 Stage 2 — Constraint Identification</w:t>
      </w:r>
    </w:p>
    <w:p>
      <w:pPr>
        <w:spacing w:after="80" w:before="60"/>
      </w:pPr>
      <w:r>
        <w:rPr>
          <w:rFonts w:ascii="Times New Roman" w:cs="Times New Roman" w:eastAsia="Times New Roman" w:hAnsi="Times New Roman"/>
          <w:sz w:val="24"/>
          <w:szCs w:val="24"/>
        </w:rPr>
        <w:t xml:space="preserve">Systematic analysis of why x was not in A(E(t)) identified three primary constraints:</w:t>
      </w:r>
    </w:p>
    <w:p>
      <w:pPr>
        <w:spacing w:after="0" w:before="0"/>
      </w:pPr>
      <w:r>
        <w:t xml:space="preserve"/>
      </w:r>
    </w:p>
    <w:p>
      <w:pPr>
        <w:pStyle w:val="ListParagraph"/>
        <w:numPr>
          <w:ilvl w:val="0"/>
          <w:numId w:val="2"/>
        </w:numPr>
        <w:spacing w:after="40" w:before="40"/>
      </w:pPr>
      <w:r>
        <w:rPr>
          <w:rFonts w:ascii="Times New Roman" w:cs="Times New Roman" w:eastAsia="Times New Roman" w:hAnsi="Times New Roman"/>
          <w:sz w:val="24"/>
          <w:szCs w:val="24"/>
        </w:rPr>
        <w:t xml:space="preserve">c₁: Exogenous mRNA degrades rapidly in biological environments due to ubiquitous ribonucleases</w:t>
      </w:r>
    </w:p>
    <w:p>
      <w:pPr>
        <w:pStyle w:val="ListParagraph"/>
        <w:numPr>
          <w:ilvl w:val="0"/>
          <w:numId w:val="2"/>
        </w:numPr>
        <w:spacing w:after="40" w:before="40"/>
      </w:pPr>
      <w:r>
        <w:rPr>
          <w:rFonts w:ascii="Times New Roman" w:cs="Times New Roman" w:eastAsia="Times New Roman" w:hAnsi="Times New Roman"/>
          <w:sz w:val="24"/>
          <w:szCs w:val="24"/>
        </w:rPr>
        <w:t xml:space="preserve">c₂: Naked mRNA triggers innate immune activation (via toll-like receptors), producing inflammatory clearance before reaching target cells</w:t>
      </w:r>
    </w:p>
    <w:p>
      <w:pPr>
        <w:pStyle w:val="ListParagraph"/>
        <w:numPr>
          <w:ilvl w:val="0"/>
          <w:numId w:val="2"/>
        </w:numPr>
        <w:spacing w:after="40" w:before="40"/>
      </w:pPr>
      <w:r>
        <w:rPr>
          <w:rFonts w:ascii="Times New Roman" w:cs="Times New Roman" w:eastAsia="Times New Roman" w:hAnsi="Times New Roman"/>
          <w:sz w:val="24"/>
          <w:szCs w:val="24"/>
        </w:rPr>
        <w:t xml:space="preserve">c₃: Efficient cellular uptake of exogenous mRNA required a delivery vehicle not yet available</w:t>
      </w:r>
    </w:p>
    <w:p>
      <w:pPr>
        <w:spacing w:after="0" w:before="0"/>
      </w:pPr>
      <w:r>
        <w:t xml:space="preserve"/>
      </w:r>
    </w:p>
    <w:p>
      <w:pPr>
        <w:spacing w:after="80" w:before="60"/>
      </w:pPr>
      <w:r>
        <w:rPr>
          <w:rFonts w:ascii="Times New Roman" w:cs="Times New Roman" w:eastAsia="Times New Roman" w:hAnsi="Times New Roman"/>
          <w:sz w:val="24"/>
          <w:szCs w:val="24"/>
        </w:rPr>
        <w:t xml:space="preserve">None of these constraints were violations of physical law. All three were equilibrium state constraints and rule-system constraints — features of biological systems operating under their normal parameters, and features of the available materials engineering toolkit. This classification is significant: it means the constraints are of the type that reframing strategies can address.</w:t>
      </w:r>
    </w:p>
    <w:p>
      <w:pPr>
        <w:spacing w:after="0" w:before="0"/>
      </w:pPr>
      <w:r>
        <w:t xml:space="preserve"/>
      </w:r>
    </w:p>
    <w:p>
      <w:pPr>
        <w:pStyle w:val="Heading2"/>
        <w:spacing w:after="80" w:before="280"/>
      </w:pPr>
      <w:r>
        <w:rPr>
          <w:rFonts w:ascii="Arial" w:cs="Arial" w:eastAsia="Arial" w:hAnsi="Arial"/>
          <w:b/>
          <w:bCs/>
          <w:color w:val="2E5596"/>
          <w:sz w:val="26"/>
          <w:szCs w:val="26"/>
        </w:rPr>
        <w:t xml:space="preserve">14.3 Stage 3 — Structural Reframing</w:t>
      </w:r>
    </w:p>
    <w:p>
      <w:pPr>
        <w:spacing w:after="80" w:before="60"/>
      </w:pPr>
      <w:r>
        <w:rPr>
          <w:rFonts w:ascii="Times New Roman" w:cs="Times New Roman" w:eastAsia="Times New Roman" w:hAnsi="Times New Roman"/>
          <w:sz w:val="24"/>
          <w:szCs w:val="24"/>
        </w:rPr>
        <w:t xml:space="preserve">For each constraint, the appropriate reframing strategy was identified:</w:t>
      </w:r>
    </w:p>
    <w:p>
      <w:pPr>
        <w:spacing w:after="0" w:before="0"/>
      </w:pPr>
      <w:r>
        <w:t xml:space="preserve"/>
      </w:r>
    </w:p>
    <w:p>
      <w:pPr>
        <w:pStyle w:val="ListParagraph"/>
        <w:numPr>
          <w:ilvl w:val="0"/>
          <w:numId w:val="2"/>
        </w:numPr>
        <w:spacing w:after="40" w:before="40"/>
      </w:pPr>
      <w:r>
        <w:rPr>
          <w:rFonts w:ascii="Times New Roman" w:cs="Times New Roman" w:eastAsia="Times New Roman" w:hAnsi="Times New Roman"/>
          <w:sz w:val="24"/>
          <w:szCs w:val="24"/>
        </w:rPr>
        <w:t xml:space="preserve">c₁ and c₃ — Parameterization: Rather than accepting the biological environment as a fixed parameter, encapsulation technology (lipid nanoparticles) reframed the delivery problem as a materials engineering challenge within a controllable parameter space. The constraint was transformed from a biological boundary into an engineering specification.</w:t>
      </w:r>
    </w:p>
    <w:p>
      <w:pPr>
        <w:pStyle w:val="ListParagraph"/>
        <w:numPr>
          <w:ilvl w:val="0"/>
          <w:numId w:val="2"/>
        </w:numPr>
        <w:spacing w:after="40" w:before="40"/>
      </w:pPr>
      <w:r>
        <w:rPr>
          <w:rFonts w:ascii="Times New Roman" w:cs="Times New Roman" w:eastAsia="Times New Roman" w:hAnsi="Times New Roman"/>
          <w:sz w:val="24"/>
          <w:szCs w:val="24"/>
        </w:rPr>
        <w:t xml:space="preserve">c₂ — Structural Merge: The work of Karamó and Weissman revealed that the immune response to exogenous mRNA was generated by specific nucleoside patterns rather than by mRNA per se. Modified nucleoside substitution (pseudouridine replacement) dissolved the constraint by revealing that immunogenicity and coding function were not inseparable — they arose from different structural features of the molecule that could be addressed independently.</w:t>
      </w:r>
    </w:p>
    <w:p>
      <w:pPr>
        <w:spacing w:after="0" w:before="0"/>
      </w:pPr>
      <w:r>
        <w:t xml:space="preserve"/>
      </w:r>
    </w:p>
    <w:p>
      <w:pPr>
        <w:spacing w:after="80" w:before="60"/>
      </w:pPr>
      <w:r>
        <w:rPr>
          <w:rFonts w:ascii="Times New Roman" w:cs="Times New Roman" w:eastAsia="Times New Roman" w:hAnsi="Times New Roman"/>
          <w:sz w:val="24"/>
          <w:szCs w:val="24"/>
        </w:rPr>
        <w:t xml:space="preserve">This is a precise example of Paradox Dissolution (Layer 2 of the Unification Method): what appeared as a single fixed property of mRNA — 'mRNA is immunogenic' — was revealed as arising from a specific structural feature (nucleoside pattern) that was independent of the coding function. The apparent constraint was not a property of mRNA but of a particular way of thinking about mRNA.</w:t>
      </w:r>
    </w:p>
    <w:p>
      <w:pPr>
        <w:spacing w:after="0" w:before="0"/>
      </w:pPr>
      <w:r>
        <w:t xml:space="preserve"/>
      </w:r>
    </w:p>
    <w:p>
      <w:pPr>
        <w:pStyle w:val="Heading2"/>
        <w:spacing w:after="80" w:before="280"/>
      </w:pPr>
      <w:r>
        <w:rPr>
          <w:rFonts w:ascii="Arial" w:cs="Arial" w:eastAsia="Arial" w:hAnsi="Arial"/>
          <w:b/>
          <w:bCs/>
          <w:color w:val="2E5596"/>
          <w:sz w:val="26"/>
          <w:szCs w:val="26"/>
        </w:rPr>
        <w:t xml:space="preserve">14.4 Outcome</w:t>
      </w:r>
    </w:p>
    <w:p>
      <w:pPr>
        <w:spacing w:after="80" w:before="60"/>
      </w:pPr>
      <w:r>
        <w:rPr>
          <w:rFonts w:ascii="Times New Roman" w:cs="Times New Roman" w:eastAsia="Times New Roman" w:hAnsi="Times New Roman"/>
          <w:sz w:val="24"/>
          <w:szCs w:val="24"/>
        </w:rPr>
        <w:t xml:space="preserve">By 2020, all three constraints had been resolved through the reframing strategies identified above. The target x had moved from N(t) into A(E(t)). When the SARS-CoV-2 viral sequence was published in January 2020, mRNA vaccine development proceeded to Phase 3 completion within eleven months — a timeline that would have been structurally impossible a decade earlier, not because the biology had changed, but because the constraint set C had been systematically reorganized over the intervening years.</w:t>
      </w:r>
    </w:p>
    <w:p>
      <w:pPr>
        <w:spacing w:after="80" w:before="60"/>
      </w:pPr>
      <w:r>
        <w:rPr>
          <w:rFonts w:ascii="Times New Roman" w:cs="Times New Roman" w:eastAsia="Times New Roman" w:hAnsi="Times New Roman"/>
          <w:sz w:val="24"/>
          <w:szCs w:val="24"/>
        </w:rPr>
        <w:t xml:space="preserve">The case demonstrates the core claim of IFR: apparent impossibility is a structured object. Its structure is analyzable, its constraints are classifiable, and at least some of those constraints are contingent — products of current frameworks rather than of nature itself.</w:t>
      </w:r>
    </w:p>
    <w:p>
      <w:pPr>
        <w:pStyle w:val="Heading1"/>
        <w:spacing w:after="120" w:before="360"/>
      </w:pPr>
      <w:r>
        <w:rPr>
          <w:rFonts w:ascii="Arial" w:cs="Arial" w:eastAsia="Arial" w:hAnsi="Arial"/>
          <w:b/>
          <w:bCs/>
          <w:color w:val="1F3864"/>
          <w:sz w:val="32"/>
          <w:szCs w:val="32"/>
        </w:rPr>
        <w:t xml:space="preserve">15. Prospective Case: Persistent Autonomous AI Agents</w:t>
      </w:r>
    </w:p>
    <w:p>
      <w:pPr>
        <w:spacing w:after="80" w:before="60"/>
      </w:pPr>
      <w:r>
        <w:rPr>
          <w:rFonts w:ascii="Times New Roman" w:cs="Times New Roman" w:eastAsia="Times New Roman" w:hAnsi="Times New Roman"/>
          <w:sz w:val="24"/>
          <w:szCs w:val="24"/>
        </w:rPr>
        <w:t xml:space="preserve">The preceding case study demonstrates the retrospective application of Impossible-First Reasoning (IFR). To evaluate whether IFR functions as a discovery methodology rather than solely as an explanatory framework, it must be applied prospectively to a target configuration that has not yet been fully realized.</w:t>
      </w:r>
    </w:p>
    <w:p>
      <w:pPr>
        <w:spacing w:after="80" w:before="60"/>
      </w:pPr>
      <w:r>
        <w:rPr>
          <w:rFonts w:ascii="Times New Roman" w:cs="Times New Roman" w:eastAsia="Times New Roman" w:hAnsi="Times New Roman"/>
          <w:sz w:val="24"/>
          <w:szCs w:val="24"/>
        </w:rPr>
        <w:t xml:space="preserve">This section applies IFR to a contemporary target within artificial intelligence: the development of persistent, autonomous AI agents capable of maintaining long-term goal coherence under open-ended environmental interaction.</w:t>
      </w:r>
    </w:p>
    <w:p>
      <w:pPr>
        <w:spacing w:after="0" w:before="0"/>
      </w:pPr>
      <w:r>
        <w:t xml:space="preserve"/>
      </w:r>
    </w:p>
    <w:p>
      <w:pPr>
        <w:pStyle w:val="Heading2"/>
        <w:spacing w:after="80" w:before="280"/>
      </w:pPr>
      <w:r>
        <w:rPr>
          <w:rFonts w:ascii="Arial" w:cs="Arial" w:eastAsia="Arial" w:hAnsi="Arial"/>
          <w:b/>
          <w:bCs/>
          <w:color w:val="2E5596"/>
          <w:sz w:val="26"/>
          <w:szCs w:val="26"/>
        </w:rPr>
        <w:t xml:space="preserve">15.1 Stage 1 — Radical Imagination</w:t>
      </w:r>
    </w:p>
    <w:p>
      <w:pPr>
        <w:spacing w:after="80" w:before="60"/>
      </w:pPr>
      <w:r>
        <w:rPr>
          <w:rFonts w:ascii="Times New Roman" w:cs="Times New Roman" w:eastAsia="Times New Roman" w:hAnsi="Times New Roman"/>
          <w:sz w:val="24"/>
          <w:szCs w:val="24"/>
        </w:rPr>
        <w:t xml:space="preserve">Define the target configuration:</w:t>
      </w:r>
    </w:p>
    <w:p>
      <w:pPr>
        <w:spacing w:after="0" w:before="0"/>
      </w:pPr>
      <w:r>
        <w:t xml:space="preserve"/>
      </w:r>
    </w:p>
    <w:p>
      <w:pPr>
        <w:spacing w:after="40" w:before="40"/>
        <w:ind w:left="720"/>
      </w:pPr>
      <w:r>
        <w:rPr>
          <w:rFonts w:ascii="Courier New" w:cs="Courier New" w:eastAsia="Courier New" w:hAnsi="Courier New"/>
          <w:sz w:val="22"/>
          <w:szCs w:val="22"/>
        </w:rPr>
        <w:t xml:space="preserve">x = a persistent autonomous AI agent capable of maintaining coherent</w:t>
      </w:r>
    </w:p>
    <w:p>
      <w:pPr>
        <w:spacing w:after="40" w:before="40"/>
        <w:ind w:left="720"/>
      </w:pPr>
      <w:r>
        <w:rPr>
          <w:rFonts w:ascii="Courier New" w:cs="Courier New" w:eastAsia="Courier New" w:hAnsi="Courier New"/>
          <w:sz w:val="22"/>
          <w:szCs w:val="22"/>
        </w:rPr>
        <w:t xml:space="preserve">    long-horizon objectives under iterative interaction with dynamic environments.</w:t>
      </w:r>
    </w:p>
    <w:p>
      <w:pPr>
        <w:spacing w:after="0" w:before="0"/>
      </w:pPr>
      <w:r>
        <w:t xml:space="preserve"/>
      </w:r>
    </w:p>
    <w:p>
      <w:pPr>
        <w:spacing w:after="80" w:before="60"/>
      </w:pPr>
      <w:r>
        <w:rPr>
          <w:rFonts w:ascii="Times New Roman" w:cs="Times New Roman" w:eastAsia="Times New Roman" w:hAnsi="Times New Roman"/>
          <w:sz w:val="24"/>
          <w:szCs w:val="24"/>
        </w:rPr>
        <w:t xml:space="preserve">Such a system would preserve goal coherence across extended sequences of actions, maintain stable internal state representations over time, and adapt to environmental variation without uncontrolled behavioral drift. Existing systems exhibit partial capabilities — planning, tool use, short-term memory — but fail to sustain coherent operation over extended horizons.</w:t>
      </w:r>
    </w:p>
    <w:p>
      <w:pPr>
        <w:spacing w:after="80" w:before="60"/>
      </w:pPr>
      <w:r>
        <w:rPr>
          <w:rFonts w:ascii="Times New Roman" w:cs="Times New Roman" w:eastAsia="Times New Roman" w:hAnsi="Times New Roman"/>
          <w:sz w:val="24"/>
          <w:szCs w:val="24"/>
        </w:rPr>
        <w:t xml:space="preserve">Within the formal framework, this target is classified as x ∈ N(t) \ A(E(t)): not inconsistent, but currently outside the adjacent possible.</w:t>
      </w:r>
    </w:p>
    <w:p>
      <w:pPr>
        <w:spacing w:after="0" w:before="0"/>
      </w:pPr>
      <w:r>
        <w:t xml:space="preserve"/>
      </w:r>
    </w:p>
    <w:p>
      <w:pPr>
        <w:pStyle w:val="Heading2"/>
        <w:spacing w:after="80" w:before="280"/>
      </w:pPr>
      <w:r>
        <w:rPr>
          <w:rFonts w:ascii="Arial" w:cs="Arial" w:eastAsia="Arial" w:hAnsi="Arial"/>
          <w:b/>
          <w:bCs/>
          <w:color w:val="2E5596"/>
          <w:sz w:val="26"/>
          <w:szCs w:val="26"/>
        </w:rPr>
        <w:t xml:space="preserve">15.2 Stage 2 — Constraint Identification</w:t>
      </w:r>
    </w:p>
    <w:p>
      <w:pPr>
        <w:spacing w:after="80" w:before="60"/>
      </w:pPr>
      <w:r>
        <w:rPr>
          <w:rFonts w:ascii="Times New Roman" w:cs="Times New Roman" w:eastAsia="Times New Roman" w:hAnsi="Times New Roman"/>
          <w:sz w:val="24"/>
          <w:szCs w:val="24"/>
        </w:rPr>
        <w:t xml:space="preserve">Analysis of the impossibility reveals a minimal constraint set C = {c₁, c₂, c₃}:</w:t>
      </w:r>
    </w:p>
    <w:p>
      <w:pPr>
        <w:spacing w:after="0" w:before="0"/>
      </w:pPr>
      <w:r>
        <w:t xml:space="preserve"/>
      </w:r>
    </w:p>
    <w:p>
      <w:pPr>
        <w:pStyle w:val="ListParagraph"/>
        <w:numPr>
          <w:ilvl w:val="0"/>
          <w:numId w:val="2"/>
        </w:numPr>
        <w:spacing w:after="40" w:before="40"/>
      </w:pPr>
      <w:r>
        <w:rPr>
          <w:rFonts w:ascii="Times New Roman" w:cs="Times New Roman" w:eastAsia="Times New Roman" w:hAnsi="Times New Roman"/>
          <w:sz w:val="24"/>
          <w:szCs w:val="24"/>
        </w:rPr>
        <w:t xml:space="preserve">c₁ — Goal Coherence Degradation: objective representations become unstable across long sequences, producing divergence between intended and executed behavior</w:t>
      </w:r>
    </w:p>
    <w:p>
      <w:pPr>
        <w:pStyle w:val="ListParagraph"/>
        <w:numPr>
          <w:ilvl w:val="0"/>
          <w:numId w:val="2"/>
        </w:numPr>
        <w:spacing w:after="40" w:before="40"/>
      </w:pPr>
      <w:r>
        <w:rPr>
          <w:rFonts w:ascii="Times New Roman" w:cs="Times New Roman" w:eastAsia="Times New Roman" w:hAnsi="Times New Roman"/>
          <w:sz w:val="24"/>
          <w:szCs w:val="24"/>
        </w:rPr>
        <w:t xml:space="preserve">c₂ — Memory Fragmentation: state representations degrade across time due to bounded context windows and unreliable long-term memory integration</w:t>
      </w:r>
    </w:p>
    <w:p>
      <w:pPr>
        <w:pStyle w:val="ListParagraph"/>
        <w:numPr>
          <w:ilvl w:val="0"/>
          <w:numId w:val="2"/>
        </w:numPr>
        <w:spacing w:after="40" w:before="40"/>
      </w:pPr>
      <w:r>
        <w:rPr>
          <w:rFonts w:ascii="Times New Roman" w:cs="Times New Roman" w:eastAsia="Times New Roman" w:hAnsi="Times New Roman"/>
          <w:sz w:val="24"/>
          <w:szCs w:val="24"/>
        </w:rPr>
        <w:t xml:space="preserve">c₃ — Error Accumulation in Iterative Execution: small deviations compound across steps, producing exponential divergence in long-horizon tasks</w:t>
      </w:r>
    </w:p>
    <w:p>
      <w:pPr>
        <w:spacing w:after="0" w:before="0"/>
      </w:pPr>
      <w:r>
        <w:t xml:space="preserve"/>
      </w:r>
    </w:p>
    <w:p>
      <w:pPr>
        <w:spacing w:after="80" w:before="60"/>
      </w:pPr>
      <w:r>
        <w:rPr>
          <w:rFonts w:ascii="Times New Roman" w:cs="Times New Roman" w:eastAsia="Times New Roman" w:hAnsi="Times New Roman"/>
          <w:sz w:val="24"/>
          <w:szCs w:val="24"/>
        </w:rPr>
        <w:t xml:space="preserve">These three constraints jointly prevent x from entering A(E(t)). The impossibility is structured and localized, not diffuse.</w:t>
      </w:r>
    </w:p>
    <w:p>
      <w:pPr>
        <w:spacing w:after="0" w:before="0"/>
      </w:pPr>
      <w:r>
        <w:t xml:space="preserve"/>
      </w:r>
    </w:p>
    <w:p>
      <w:pPr>
        <w:pStyle w:val="Heading2"/>
        <w:spacing w:after="80" w:before="280"/>
      </w:pPr>
      <w:r>
        <w:rPr>
          <w:rFonts w:ascii="Arial" w:cs="Arial" w:eastAsia="Arial" w:hAnsi="Arial"/>
          <w:b/>
          <w:bCs/>
          <w:color w:val="2E5596"/>
          <w:sz w:val="26"/>
          <w:szCs w:val="26"/>
        </w:rPr>
        <w:t xml:space="preserve">15.3 Constraint Classification</w:t>
      </w:r>
    </w:p>
    <w:p>
      <w:pPr>
        <w:spacing w:after="80" w:before="60"/>
      </w:pPr>
      <w:r>
        <w:rPr>
          <w:rFonts w:ascii="Times New Roman" w:cs="Times New Roman" w:eastAsia="Times New Roman" w:hAnsi="Times New Roman"/>
          <w:sz w:val="24"/>
          <w:szCs w:val="24"/>
        </w:rPr>
        <w:t xml:space="preserve">None of the identified constraints arise from physical law or logical contradiction. They are products of current architectural and computational limitations: bounded context windows, imperfect retrieval and memory systems, and the absence of stable long-horizon evaluation mechanisms.</w:t>
      </w:r>
    </w:p>
    <w:p>
      <w:pPr>
        <w:spacing w:after="80" w:before="60"/>
      </w:pPr>
      <w:r>
        <w:rPr>
          <w:rFonts w:ascii="Times New Roman" w:cs="Times New Roman" w:eastAsia="Times New Roman" w:hAnsi="Times New Roman"/>
          <w:sz w:val="24"/>
          <w:szCs w:val="24"/>
        </w:rPr>
        <w:t xml:space="preserve">Accordingly, c₁–c₃ are classified as contingent constraints. This implies that x is reachable in principle but currently blocked by specific, potentially removable system conditions.</w:t>
      </w:r>
    </w:p>
    <w:p>
      <w:pPr>
        <w:spacing w:after="0" w:before="0"/>
      </w:pPr>
      <w:r>
        <w:t xml:space="preserve"/>
      </w:r>
    </w:p>
    <w:p>
      <w:pPr>
        <w:pStyle w:val="Heading2"/>
        <w:spacing w:after="80" w:before="280"/>
      </w:pPr>
      <w:r>
        <w:rPr>
          <w:rFonts w:ascii="Arial" w:cs="Arial" w:eastAsia="Arial" w:hAnsi="Arial"/>
          <w:b/>
          <w:bCs/>
          <w:color w:val="2E5596"/>
          <w:sz w:val="26"/>
          <w:szCs w:val="26"/>
        </w:rPr>
        <w:t xml:space="preserve">15.4 Stage 3 — Structural Reframing and Path Construction</w:t>
      </w:r>
    </w:p>
    <w:p>
      <w:pPr>
        <w:spacing w:after="80" w:before="60"/>
      </w:pPr>
      <w:r>
        <w:rPr>
          <w:rFonts w:ascii="Times New Roman" w:cs="Times New Roman" w:eastAsia="Times New Roman" w:hAnsi="Times New Roman"/>
          <w:sz w:val="24"/>
          <w:szCs w:val="24"/>
        </w:rPr>
        <w:t xml:space="preserve">Resolution of the constraint set requires coordinated structural shifts rather than isolated improvements. A plausible path through intermediate configurations:</w:t>
      </w:r>
    </w:p>
    <w:p>
      <w:pPr>
        <w:spacing w:after="0" w:before="0"/>
      </w:pPr>
      <w:r>
        <w:t xml:space="preserve"/>
      </w:r>
    </w:p>
    <w:p>
      <w:pPr>
        <w:pStyle w:val="ListParagraph"/>
        <w:numPr>
          <w:ilvl w:val="0"/>
          <w:numId w:val="2"/>
        </w:numPr>
        <w:spacing w:after="40" w:before="40"/>
      </w:pPr>
      <w:r>
        <w:rPr>
          <w:rFonts w:ascii="Times New Roman" w:cs="Times New Roman" w:eastAsia="Times New Roman" w:hAnsi="Times New Roman"/>
          <w:sz w:val="24"/>
          <w:szCs w:val="24"/>
        </w:rPr>
        <w:t xml:space="preserve">x₁: Short-horizon agent with external verification loop — reduces error accumulation through stepwise correction (c₃)</w:t>
      </w:r>
    </w:p>
    <w:p>
      <w:pPr>
        <w:pStyle w:val="ListParagraph"/>
        <w:numPr>
          <w:ilvl w:val="0"/>
          <w:numId w:val="2"/>
        </w:numPr>
        <w:spacing w:after="40" w:before="40"/>
      </w:pPr>
      <w:r>
        <w:rPr>
          <w:rFonts w:ascii="Times New Roman" w:cs="Times New Roman" w:eastAsia="Times New Roman" w:hAnsi="Times New Roman"/>
          <w:sz w:val="24"/>
          <w:szCs w:val="24"/>
        </w:rPr>
        <w:t xml:space="preserve">x₂: Hierarchical goal representation — stabilizes objective structure across multiple time scales (c₁)</w:t>
      </w:r>
    </w:p>
    <w:p>
      <w:pPr>
        <w:pStyle w:val="ListParagraph"/>
        <w:numPr>
          <w:ilvl w:val="0"/>
          <w:numId w:val="2"/>
        </w:numPr>
        <w:spacing w:after="40" w:before="40"/>
      </w:pPr>
      <w:r>
        <w:rPr>
          <w:rFonts w:ascii="Times New Roman" w:cs="Times New Roman" w:eastAsia="Times New Roman" w:hAnsi="Times New Roman"/>
          <w:sz w:val="24"/>
          <w:szCs w:val="24"/>
        </w:rPr>
        <w:t xml:space="preserve">x₃: Persistent memory layer with retrieval consistency guarantees — reduces fragmentation and enables state continuity (c₂)</w:t>
      </w:r>
    </w:p>
    <w:p>
      <w:pPr>
        <w:pStyle w:val="ListParagraph"/>
        <w:numPr>
          <w:ilvl w:val="0"/>
          <w:numId w:val="2"/>
        </w:numPr>
        <w:spacing w:after="40" w:before="40"/>
      </w:pPr>
      <w:r>
        <w:rPr>
          <w:rFonts w:ascii="Times New Roman" w:cs="Times New Roman" w:eastAsia="Times New Roman" w:hAnsi="Times New Roman"/>
          <w:sz w:val="24"/>
          <w:szCs w:val="24"/>
        </w:rPr>
        <w:t xml:space="preserve">x₄: Integrated long-horizon agent system — combines stable memory, goal structure, and correction mechanisms into a closed-loop architecture</w:t>
      </w:r>
    </w:p>
    <w:p>
      <w:pPr>
        <w:spacing w:after="0" w:before="0"/>
      </w:pPr>
      <w:r>
        <w:t xml:space="preserve"/>
      </w:r>
    </w:p>
    <w:p>
      <w:pPr>
        <w:spacing w:after="80" w:before="60"/>
      </w:pPr>
      <w:r>
        <w:rPr>
          <w:rFonts w:ascii="Times New Roman" w:cs="Times New Roman" w:eastAsia="Times New Roman" w:hAnsi="Times New Roman"/>
          <w:sz w:val="24"/>
          <w:szCs w:val="24"/>
        </w:rPr>
        <w:t xml:space="preserve">Each intermediate step does not eliminate constraints directly but reorganizes the generative conditions under which they arise, progressively shifting x toward A(E(t)).</w:t>
      </w:r>
    </w:p>
    <w:p>
      <w:pPr>
        <w:spacing w:after="0" w:before="0"/>
      </w:pPr>
      <w:r>
        <w:t xml:space="preserve"/>
      </w:r>
    </w:p>
    <w:p>
      <w:pPr>
        <w:pStyle w:val="Heading2"/>
        <w:spacing w:after="80" w:before="280"/>
      </w:pPr>
      <w:r>
        <w:rPr>
          <w:rFonts w:ascii="Arial" w:cs="Arial" w:eastAsia="Arial" w:hAnsi="Arial"/>
          <w:b/>
          <w:bCs/>
          <w:color w:val="2E5596"/>
          <w:sz w:val="26"/>
          <w:szCs w:val="26"/>
        </w:rPr>
        <w:t xml:space="preserve">15.5 Testable Prediction</w:t>
      </w:r>
    </w:p>
    <w:p>
      <w:pPr>
        <w:spacing w:after="80" w:before="60"/>
      </w:pPr>
      <w:r>
        <w:rPr>
          <w:rFonts w:ascii="Times New Roman" w:cs="Times New Roman" w:eastAsia="Times New Roman" w:hAnsi="Times New Roman"/>
          <w:sz w:val="24"/>
          <w:szCs w:val="24"/>
        </w:rPr>
        <w:t xml:space="preserve">The IFR analysis generates a falsifiable prediction:</w:t>
      </w:r>
    </w:p>
    <w:p>
      <w:pPr>
        <w:spacing w:after="0" w:before="0"/>
      </w:pPr>
      <w:r>
        <w:t xml:space="preserve"/>
      </w:r>
    </w:p>
    <w:p>
      <w:pPr>
        <w:spacing w:after="80" w:before="80"/>
        <w:ind w:left="720" w:right="720"/>
      </w:pPr>
      <w:r>
        <w:rPr>
          <w:rFonts w:ascii="Times New Roman" w:cs="Times New Roman" w:eastAsia="Times New Roman" w:hAnsi="Times New Roman"/>
          <w:i/>
          <w:iCs/>
          <w:sz w:val="22"/>
          <w:szCs w:val="22"/>
        </w:rPr>
        <w:t xml:space="preserve">If (i) effective context coherence exceeds a threshold scale N, and (ii) external memory retrieval operates below latency threshold T with recall accuracy ≥ 95%, then agents built on such architectures will exhibit stable goal coherence over extended multi-step horizons (on the order of 10² or more sequential decision steps), even without explicit long-horizon training.</w:t>
      </w:r>
    </w:p>
    <w:p>
      <w:pPr>
        <w:spacing w:after="0" w:before="0"/>
      </w:pPr>
      <w:r>
        <w:t xml:space="preserve"/>
      </w:r>
    </w:p>
    <w:p>
      <w:pPr>
        <w:spacing w:after="80" w:before="60"/>
      </w:pPr>
      <w:r>
        <w:rPr>
          <w:rFonts w:ascii="Times New Roman" w:cs="Times New Roman" w:eastAsia="Times New Roman" w:hAnsi="Times New Roman"/>
          <w:sz w:val="24"/>
          <w:szCs w:val="24"/>
        </w:rPr>
        <w:t xml:space="preserve">This prediction is independent of the definition of x itself. It specifies measurable system conditions under which long-horizon coherence should emerge as a structural consequence of constraint resolution rather than as a trained capability.</w:t>
      </w:r>
    </w:p>
    <w:p>
      <w:pPr>
        <w:spacing w:after="80" w:before="60"/>
      </w:pPr>
      <w:r>
        <w:rPr>
          <w:rFonts w:ascii="Times New Roman" w:cs="Times New Roman" w:eastAsia="Times New Roman" w:hAnsi="Times New Roman"/>
          <w:sz w:val="24"/>
          <w:szCs w:val="24"/>
        </w:rPr>
        <w:t xml:space="preserve">The prediction is empirically falsifiable in both directions: if systems meeting conditions (i) and (ii) fail to demonstrate sustained coherence, the classification of c₁–c₃ as contingent is challenged; if such systems succeed, the transition of x into A(E(t)) is supported. The thresholds N and T are illustrative and require empirical calibration; the claim is structural, not parametric.</w:t>
      </w:r>
    </w:p>
    <w:p>
      <w:pPr>
        <w:spacing w:after="0" w:before="0"/>
      </w:pPr>
      <w:r>
        <w:t xml:space="preserve"/>
      </w:r>
    </w:p>
    <w:p>
      <w:pPr>
        <w:pStyle w:val="Heading2"/>
        <w:spacing w:after="80" w:before="280"/>
      </w:pPr>
      <w:r>
        <w:rPr>
          <w:rFonts w:ascii="Arial" w:cs="Arial" w:eastAsia="Arial" w:hAnsi="Arial"/>
          <w:b/>
          <w:bCs/>
          <w:color w:val="2E5596"/>
          <w:sz w:val="26"/>
          <w:szCs w:val="26"/>
        </w:rPr>
        <w:t xml:space="preserve">15.6 Implications</w:t>
      </w:r>
    </w:p>
    <w:p>
      <w:pPr>
        <w:spacing w:after="80" w:before="60"/>
      </w:pPr>
      <w:r>
        <w:rPr>
          <w:rFonts w:ascii="Times New Roman" w:cs="Times New Roman" w:eastAsia="Times New Roman" w:hAnsi="Times New Roman"/>
          <w:sz w:val="24"/>
          <w:szCs w:val="24"/>
        </w:rPr>
        <w:t xml:space="preserve">This prospective case demonstrates the core methodological claim of IFR: that impossibility can be decomposed into a minimal constraint set, that constraints can be classified as contingent or fixed, and that structural conditions for transition can be specified independently of the target itself.</w:t>
      </w:r>
    </w:p>
    <w:p>
      <w:pPr>
        <w:spacing w:after="80" w:before="60"/>
      </w:pPr>
      <w:r>
        <w:rPr>
          <w:rFonts w:ascii="Times New Roman" w:cs="Times New Roman" w:eastAsia="Times New Roman" w:hAnsi="Times New Roman"/>
          <w:sz w:val="24"/>
          <w:szCs w:val="24"/>
        </w:rPr>
        <w:t xml:space="preserve">Unlike retrospective analysis, this application exposes IFR to empirical risk. Its validity depends not on its ability to reinterpret past developments, but on whether the predicted boundary shift occurs under the specified conditions. This is the distinction between a descriptive framework and a scientific methodology.</w:t>
      </w:r>
    </w:p>
    <w:p>
      <w:pPr>
        <w:spacing w:after="0" w:before="0"/>
      </w:pPr>
      <w:r>
        <w:t xml:space="preserve"/>
      </w:r>
    </w:p>
    <w:p>
      <w:pPr>
        <w:pStyle w:val="Heading1"/>
        <w:spacing w:after="120" w:before="360"/>
      </w:pPr>
      <w:r>
        <w:rPr>
          <w:rFonts w:ascii="Arial" w:cs="Arial" w:eastAsia="Arial" w:hAnsi="Arial"/>
          <w:b/>
          <w:bCs/>
          <w:color w:val="1F3864"/>
          <w:sz w:val="32"/>
          <w:szCs w:val="32"/>
        </w:rPr>
        <w:t xml:space="preserve">16. Limitations and Future Work</w:t>
      </w:r>
    </w:p>
    <w:p>
      <w:pPr>
        <w:spacing w:after="80" w:before="60"/>
      </w:pPr>
      <w:r>
        <w:rPr>
          <w:rFonts w:ascii="Times New Roman" w:cs="Times New Roman" w:eastAsia="Times New Roman" w:hAnsi="Times New Roman"/>
          <w:sz w:val="24"/>
          <w:szCs w:val="24"/>
        </w:rPr>
        <w:t xml:space="preserve">This framework operates at a deliberately abstract level. Several limitations warrant acknowledgment.</w:t>
      </w:r>
    </w:p>
    <w:p>
      <w:pPr>
        <w:spacing w:after="80" w:before="60"/>
      </w:pPr>
      <w:r>
        <w:rPr>
          <w:rFonts w:ascii="Times New Roman" w:cs="Times New Roman" w:eastAsia="Times New Roman" w:hAnsi="Times New Roman"/>
          <w:sz w:val="24"/>
          <w:szCs w:val="24"/>
        </w:rPr>
        <w:t xml:space="preserve">First, the possibility space U(t) is not formally bounded in most domains. The space of conceivable configurations is effectively infinite, and the adjacency relation A(E(t)) is difficult to define precisely without domain-specific theory. The framework provides structural language but does not resolve the combinatorial challenge of large possibility spaces.</w:t>
      </w:r>
    </w:p>
    <w:p>
      <w:pPr>
        <w:spacing w:after="80" w:before="60"/>
      </w:pPr>
      <w:r>
        <w:rPr>
          <w:rFonts w:ascii="Times New Roman" w:cs="Times New Roman" w:eastAsia="Times New Roman" w:hAnsi="Times New Roman"/>
          <w:sz w:val="24"/>
          <w:szCs w:val="24"/>
        </w:rPr>
        <w:t xml:space="preserve">Second, the evaluation function F and stability measure S are domain-general placeholders. Their instantiation requires domain-specific theory and empirical grounding. The framework specifies the logical role of these functions without providing a universal recipe for their construction.</w:t>
      </w:r>
    </w:p>
    <w:p>
      <w:pPr>
        <w:spacing w:after="80" w:before="60"/>
      </w:pPr>
      <w:r>
        <w:rPr>
          <w:rFonts w:ascii="Times New Roman" w:cs="Times New Roman" w:eastAsia="Times New Roman" w:hAnsi="Times New Roman"/>
          <w:sz w:val="24"/>
          <w:szCs w:val="24"/>
        </w:rPr>
        <w:t xml:space="preserve">Third, the Unification Method's reframing strategies are presented here as a taxonomy derived from observed cases. A formal theory of which strategy applies under which structural conditions remains to be developed. The selection criterion described in Section 12.3 — matching strategy type to constraint type — is a heuristic, not a theorem.</w:t>
      </w:r>
    </w:p>
    <w:p>
      <w:pPr>
        <w:spacing w:after="80" w:before="60"/>
      </w:pPr>
      <w:r>
        <w:rPr>
          <w:rFonts w:ascii="Times New Roman" w:cs="Times New Roman" w:eastAsia="Times New Roman" w:hAnsi="Times New Roman"/>
          <w:sz w:val="24"/>
          <w:szCs w:val="24"/>
        </w:rPr>
        <w:t xml:space="preserve">Fourth, the formal correspondence between the Trinity Framework and the possibility framework (Section 13.3) is structural rather than derivational. The Trinity Framework was developed through a different methodology than the formal framework; the correspondence claimed here requires independent validation.</w:t>
      </w:r>
    </w:p>
    <w:p>
      <w:pPr>
        <w:spacing w:after="80" w:before="60"/>
      </w:pPr>
      <w:r>
        <w:rPr>
          <w:rFonts w:ascii="Times New Roman" w:cs="Times New Roman" w:eastAsia="Times New Roman" w:hAnsi="Times New Roman"/>
          <w:sz w:val="24"/>
          <w:szCs w:val="24"/>
        </w:rPr>
        <w:t xml:space="preserve">Future research directions include: (1) formal computational models of IFR using evolutionary algorithms or agent-based systems; (2) empirical analysis of historical innovation cases to test whether constraint classification predicts discovery timelines; (3) development of a formal theory of reframing strategy selection; (4) integration with complexity science literature on criticality and phase transitions; and (5) application to AI capability development, where the structure of capability possibility space is an active research question.</w:t>
      </w:r>
    </w:p>
    <w:p>
      <w:pPr>
        <w:pStyle w:val="Heading1"/>
        <w:spacing w:after="120" w:before="360"/>
      </w:pPr>
      <w:r>
        <w:rPr>
          <w:rFonts w:ascii="Arial" w:cs="Arial" w:eastAsia="Arial" w:hAnsi="Arial"/>
          <w:b/>
          <w:bCs/>
          <w:color w:val="1F3864"/>
          <w:sz w:val="32"/>
          <w:szCs w:val="32"/>
        </w:rPr>
        <w:t xml:space="preserve">17. Conclusion</w:t>
      </w:r>
    </w:p>
    <w:p>
      <w:pPr>
        <w:spacing w:after="80" w:before="60"/>
      </w:pPr>
      <w:r>
        <w:rPr>
          <w:rFonts w:ascii="Times New Roman" w:cs="Times New Roman" w:eastAsia="Times New Roman" w:hAnsi="Times New Roman"/>
          <w:sz w:val="24"/>
          <w:szCs w:val="24"/>
        </w:rPr>
        <w:t xml:space="preserve">The Domain of Non-Existence provides a structural reinterpretation of the relationship between existence and non-existence. Rather than representing metaphysical opposites, they form complementary regions within a dynamic possibility space:</w:t>
      </w:r>
    </w:p>
    <w:p>
      <w:pPr>
        <w:spacing w:after="40" w:before="40"/>
        <w:ind w:left="720"/>
      </w:pPr>
      <w:r>
        <w:rPr>
          <w:rFonts w:ascii="Courier New" w:cs="Courier New" w:eastAsia="Courier New" w:hAnsi="Courier New"/>
          <w:sz w:val="22"/>
          <w:szCs w:val="22"/>
        </w:rPr>
        <w:t xml:space="preserve">Existence      --&gt;  realized structures: E(t)</w:t>
      </w:r>
    </w:p>
    <w:p>
      <w:pPr>
        <w:spacing w:after="40" w:before="40"/>
        <w:ind w:left="720"/>
      </w:pPr>
      <w:r>
        <w:rPr>
          <w:rFonts w:ascii="Courier New" w:cs="Courier New" w:eastAsia="Courier New" w:hAnsi="Courier New"/>
          <w:sz w:val="22"/>
          <w:szCs w:val="22"/>
        </w:rPr>
        <w:t xml:space="preserve">Non-existence  --&gt;  unrealized possibilities: N(t)</w:t>
      </w:r>
    </w:p>
    <w:p>
      <w:pPr>
        <w:spacing w:after="0" w:before="0"/>
      </w:pPr>
      <w:r>
        <w:t xml:space="preserve"/>
      </w:r>
    </w:p>
    <w:p>
      <w:pPr>
        <w:spacing w:after="80" w:before="60"/>
      </w:pPr>
      <w:r>
        <w:rPr>
          <w:rFonts w:ascii="Times New Roman" w:cs="Times New Roman" w:eastAsia="Times New Roman" w:hAnsi="Times New Roman"/>
          <w:sz w:val="24"/>
          <w:szCs w:val="24"/>
        </w:rPr>
        <w:t xml:space="preserve">Reality evolves as new configurations emerge from the adjacent possible A(E(t)), pass evaluation filter F, satisfy stability condition S, and expand the frontier further. This is not merely a description of how novelty arises; it is a map of where discovery methodology has purchase.</w:t>
      </w:r>
    </w:p>
    <w:p>
      <w:pPr>
        <w:spacing w:after="80" w:before="60"/>
      </w:pPr>
      <w:r>
        <w:rPr>
          <w:rFonts w:ascii="Times New Roman" w:cs="Times New Roman" w:eastAsia="Times New Roman" w:hAnsi="Times New Roman"/>
          <w:sz w:val="24"/>
          <w:szCs w:val="24"/>
        </w:rPr>
        <w:t xml:space="preserve">The paper's central contribution is the formalization of that methodology. Impossible-First Reasoning converts the unstructured experience of impossibility into a tractable analysis: a constraint map, a classification of constraints by type, and a selection of reframing strategies drawn from the Unification Method. The Trinity Framework provides the cognitive architecture that makes this navigation possible.</w:t>
      </w:r>
    </w:p>
    <w:p>
      <w:pPr>
        <w:spacing w:after="80" w:before="60"/>
      </w:pPr>
      <w:r>
        <w:rPr>
          <w:rFonts w:ascii="Times New Roman" w:cs="Times New Roman" w:eastAsia="Times New Roman" w:hAnsi="Times New Roman"/>
          <w:sz w:val="24"/>
          <w:szCs w:val="24"/>
        </w:rPr>
        <w:t xml:space="preserve">The prospective AI case demonstrates that IFR does not merely reinterpret past transitions but generates testable hypotheses about future boundary shifts within possibility space. The prediction in Section 15.5 exposes the framework to empirical risk: its validity depends not on explanatory elegance but on whether the specified structural conditions produce the predicted behavioral consequence.</w:t>
      </w:r>
    </w:p>
    <w:p>
      <w:pPr>
        <w:spacing w:after="80" w:before="60"/>
      </w:pPr>
      <w:r>
        <w:rPr>
          <w:rFonts w:ascii="Times New Roman" w:cs="Times New Roman" w:eastAsia="Times New Roman" w:hAnsi="Times New Roman"/>
          <w:sz w:val="24"/>
          <w:szCs w:val="24"/>
        </w:rPr>
        <w:t xml:space="preserve">Under this interpretation, non-existence is not emptiness. It is the structured domain whose topology is determined by what already exists, whose constraints are at least partially contingent, and whose navigation is the fundamental act of discovery. The mRNA case demonstrates that this navigation is not metaphorical: between 1990 and 2020, a specific configuration moved from deep within N(t) into E(t) through a sequence of identifiable constraint reorganizations. That movement was not random. It was structured — and its structure was, in principle, analyzable in advance.</w:t>
      </w:r>
    </w:p>
    <w:p>
      <w:pPr>
        <w:pStyle w:val="Heading1"/>
        <w:spacing w:after="120" w:before="360"/>
      </w:pPr>
      <w:r>
        <w:rPr>
          <w:rFonts w:ascii="Arial" w:cs="Arial" w:eastAsia="Arial" w:hAnsi="Arial"/>
          <w:b/>
          <w:bCs/>
          <w:color w:val="1F3864"/>
          <w:sz w:val="32"/>
          <w:szCs w:val="32"/>
        </w:rPr>
        <w:t xml:space="preserve">References</w:t>
      </w:r>
    </w:p>
    <w:p>
      <w:pPr>
        <w:spacing w:after="40" w:before="60"/>
        <w:ind w:left="720" w:hanging="720"/>
      </w:pPr>
      <w:r>
        <w:rPr>
          <w:rFonts w:ascii="Times New Roman" w:cs="Times New Roman" w:eastAsia="Times New Roman" w:hAnsi="Times New Roman"/>
          <w:sz w:val="22"/>
          <w:szCs w:val="22"/>
        </w:rPr>
        <w:t xml:space="preserve">Arthur, W. B. (2009). The Nature of Technology: What It Is and How It Evolves. Free Press.</w:t>
      </w:r>
    </w:p>
    <w:p>
      <w:pPr>
        <w:spacing w:after="40" w:before="60"/>
        <w:ind w:left="720" w:hanging="720"/>
      </w:pPr>
      <w:r>
        <w:rPr>
          <w:rFonts w:ascii="Times New Roman" w:cs="Times New Roman" w:eastAsia="Times New Roman" w:hAnsi="Times New Roman"/>
          <w:sz w:val="22"/>
          <w:szCs w:val="22"/>
        </w:rPr>
        <w:t xml:space="preserve">Gell-Mann, M. (1994). The Quark and the Jaguar: Adventures in the Simple and the Complex. W. H. Freeman.</w:t>
      </w:r>
    </w:p>
    <w:p>
      <w:pPr>
        <w:spacing w:after="40" w:before="60"/>
        <w:ind w:left="720" w:hanging="720"/>
      </w:pPr>
      <w:r>
        <w:rPr>
          <w:rFonts w:ascii="Times New Roman" w:cs="Times New Roman" w:eastAsia="Times New Roman" w:hAnsi="Times New Roman"/>
          <w:sz w:val="22"/>
          <w:szCs w:val="22"/>
        </w:rPr>
        <w:t xml:space="preserve">Holland, J. H. (1975). Adaptation in Natural and Artificial Systems. University of Michigan Press.</w:t>
      </w:r>
    </w:p>
    <w:p>
      <w:pPr>
        <w:spacing w:after="40" w:before="60"/>
        <w:ind w:left="720" w:hanging="720"/>
      </w:pPr>
      <w:r>
        <w:rPr>
          <w:rFonts w:ascii="Times New Roman" w:cs="Times New Roman" w:eastAsia="Times New Roman" w:hAnsi="Times New Roman"/>
          <w:sz w:val="22"/>
          <w:szCs w:val="22"/>
        </w:rPr>
        <w:t xml:space="preserve">Johnson, S. (2010). Where Good Ideas Come From: The Natural History of Innovation. Riverhead Books.</w:t>
      </w:r>
    </w:p>
    <w:p>
      <w:pPr>
        <w:spacing w:after="40" w:before="60"/>
        <w:ind w:left="720" w:hanging="720"/>
      </w:pPr>
      <w:r>
        <w:rPr>
          <w:rFonts w:ascii="Times New Roman" w:cs="Times New Roman" w:eastAsia="Times New Roman" w:hAnsi="Times New Roman"/>
          <w:sz w:val="22"/>
          <w:szCs w:val="22"/>
        </w:rPr>
        <w:t xml:space="preserve">Karamó, D. &amp; Weissman, D. (2005). Suppression of RNA recognition by Toll-like receptors: the impact of nucleoside modification and the evolutionary origin of RNA. Immunity, 23(2), 165–175.</w:t>
      </w:r>
    </w:p>
    <w:p>
      <w:pPr>
        <w:spacing w:after="40" w:before="60"/>
        <w:ind w:left="720" w:hanging="720"/>
      </w:pPr>
      <w:r>
        <w:rPr>
          <w:rFonts w:ascii="Times New Roman" w:cs="Times New Roman" w:eastAsia="Times New Roman" w:hAnsi="Times New Roman"/>
          <w:sz w:val="22"/>
          <w:szCs w:val="22"/>
        </w:rPr>
        <w:t xml:space="preserve">Kauffman, S. A. (1993). The Origins of Order: Self-Organization and Selection in Evolution. Oxford University Press.</w:t>
      </w:r>
    </w:p>
    <w:p>
      <w:pPr>
        <w:spacing w:after="40" w:before="60"/>
        <w:ind w:left="720" w:hanging="720"/>
      </w:pPr>
      <w:r>
        <w:rPr>
          <w:rFonts w:ascii="Times New Roman" w:cs="Times New Roman" w:eastAsia="Times New Roman" w:hAnsi="Times New Roman"/>
          <w:sz w:val="22"/>
          <w:szCs w:val="22"/>
        </w:rPr>
        <w:t xml:space="preserve">Kauffman, S. A. (2000). Investigations. Oxford University Press.</w:t>
      </w:r>
    </w:p>
    <w:p>
      <w:pPr>
        <w:spacing w:after="40" w:before="60"/>
        <w:ind w:left="720" w:hanging="720"/>
      </w:pPr>
      <w:r>
        <w:rPr>
          <w:rFonts w:ascii="Times New Roman" w:cs="Times New Roman" w:eastAsia="Times New Roman" w:hAnsi="Times New Roman"/>
          <w:sz w:val="22"/>
          <w:szCs w:val="22"/>
        </w:rPr>
        <w:t xml:space="preserve">Lao Tzu. Tao Te Ching. (Multiple translations; D.C. Lau translation, Penguin Classics, 1963, referenced for philosophical context.)</w:t>
      </w:r>
    </w:p>
    <w:p>
      <w:pPr>
        <w:spacing w:after="40" w:before="60"/>
        <w:ind w:left="720" w:hanging="720"/>
      </w:pPr>
      <w:r>
        <w:rPr>
          <w:rFonts w:ascii="Times New Roman" w:cs="Times New Roman" w:eastAsia="Times New Roman" w:hAnsi="Times New Roman"/>
          <w:sz w:val="22"/>
          <w:szCs w:val="22"/>
        </w:rPr>
        <w:t xml:space="preserve">Strogatz, S. H. (2018). Nonlinear Dynamics and Chaos: With Applications to Physics, Biology, Chemistry, and Engineering (2nd ed.). Westview Press.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2026-04-03T18:11:00.443Z</dcterms:created>
  <dcterms:modified xsi:type="dcterms:W3CDTF">2026-04-03T18:11:00.444Z</dcterms:modified>
</cp:coreProperties>
</file>

<file path=docProps/custom.xml><?xml version="1.0" encoding="utf-8"?>
<Properties xmlns="http://schemas.openxmlformats.org/officeDocument/2006/custom-properties" xmlns:vt="http://schemas.openxmlformats.org/officeDocument/2006/docPropsVTypes"/>
</file>