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F3864"/>
          <w:sz w:val="56"/>
          <w:szCs w:val="56"/>
        </w:rPr>
        <w:t xml:space="preserve">Modern Money Theory</w:t>
      </w:r>
    </w:p>
    <w:p>
      <w:pPr>
        <w:spacing w:after="80" w:before="200"/>
        <w:jc w:val="center"/>
      </w:pPr>
      <w:r>
        <w:rPr>
          <w:rFonts w:ascii="Arial" w:cs="Arial" w:eastAsia="Arial" w:hAnsi="Arial"/>
          <w:i/>
          <w:iCs/>
          <w:color w:val="555555"/>
          <w:sz w:val="24"/>
          <w:szCs w:val="24"/>
        </w:rPr>
        <w:t xml:space="preserve">A Deep Educational Introduction</w:t>
      </w:r>
    </w:p>
    <w:p>
      <w:pPr>
        <w:spacing w:after="80" w:before="600"/>
        <w:jc w:val="center"/>
      </w:pPr>
      <w:r>
        <w:rPr>
          <w:rFonts w:ascii="Arial" w:cs="Arial" w:eastAsia="Arial" w:hAnsi="Arial"/>
          <w:color w:val="333333"/>
          <w:sz w:val="22"/>
          <w:szCs w:val="22"/>
        </w:rPr>
        <w:t xml:space="preserve">QianJun Yu</w:t>
      </w:r>
    </w:p>
    <w:p>
      <w:pPr>
        <w:spacing w:after="80" w:before="0"/>
        <w:jc w:val="center"/>
      </w:pPr>
      <w:r>
        <w:rPr>
          <w:rFonts w:ascii="Arial" w:cs="Arial" w:eastAsia="Arial" w:hAnsi="Arial"/>
          <w:color w:val="555555"/>
          <w:sz w:val="20"/>
          <w:szCs w:val="20"/>
        </w:rPr>
        <w:t xml:space="preserve">Independent Researcher</w:t>
      </w:r>
    </w:p>
    <w:p>
      <w:pPr>
        <w:spacing w:after="80" w:before="0"/>
        <w:jc w:val="center"/>
      </w:pPr>
      <w:r>
        <w:rPr>
          <w:rFonts w:ascii="Arial" w:cs="Arial" w:eastAsia="Arial" w:hAnsi="Arial"/>
          <w:color w:val="555555"/>
          <w:sz w:val="20"/>
          <w:szCs w:val="20"/>
        </w:rPr>
        <w:t xml:space="preserve">April 2026</w:t>
      </w:r>
    </w:p>
    <w:p>
      <w:pPr>
        <w:pageBreakBefore/>
      </w:pPr>
      <w:r>
        <w:t xml:space="preserve"/>
      </w:r>
    </w:p>
    <w:p>
      <w:pPr>
        <w:pStyle w:val="Heading1"/>
        <w:spacing w:after="120" w:before="360"/>
      </w:pPr>
      <w:r>
        <w:rPr>
          <w:rFonts w:ascii="Arial" w:cs="Arial" w:eastAsia="Arial" w:hAnsi="Arial"/>
          <w:b/>
          <w:bCs/>
          <w:color w:val="1F3864"/>
          <w:sz w:val="36"/>
          <w:szCs w:val="36"/>
        </w:rPr>
        <w:t xml:space="preserve">Modern Money Theory</w:t>
      </w:r>
    </w:p>
    <w:p>
      <w:pPr>
        <w:pStyle w:val="Heading2"/>
        <w:spacing w:after="100" w:before="280"/>
      </w:pPr>
      <w:r>
        <w:rPr>
          <w:rFonts w:ascii="Arial" w:cs="Arial" w:eastAsia="Arial" w:hAnsi="Arial"/>
          <w:b/>
          <w:bCs/>
          <w:color w:val="2E5596"/>
          <w:sz w:val="28"/>
          <w:szCs w:val="28"/>
        </w:rPr>
        <w:t xml:space="preserve">A Deep Educational Introduction</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Abstract</w:t>
      </w:r>
    </w:p>
    <w:p>
      <w:pPr>
        <w:spacing w:after="80" w:before="80" w:line="276"/>
      </w:pPr>
      <w:r>
        <w:rPr>
          <w:rFonts w:ascii="Times New Roman" w:cs="Times New Roman" w:eastAsia="Times New Roman" w:hAnsi="Times New Roman"/>
          <w:sz w:val="22"/>
          <w:szCs w:val="22"/>
        </w:rPr>
        <w:t xml:space="preserve">Modern Money Theory (MMT) is one of the most misunderstood — and most important — economic frameworks of the past century. It is not a political ideology. It is not a proposal to print money without limit. It is a description of how sovereign currency systems actually operate — and that description challenges assumptions most people carry without ever questioning them.</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This paper offers a deep educational introduction to MMT: where it comes from, what it observes, how it works mechanically, what it gets right, where its limits are, and why it matters for anyone who wants to understand how modern economies function.</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1. The Assumption Everyone Carries</w:t>
      </w:r>
    </w:p>
    <w:p>
      <w:pPr>
        <w:spacing w:after="80" w:before="80" w:line="276"/>
      </w:pPr>
      <w:r>
        <w:rPr>
          <w:rFonts w:ascii="Times New Roman" w:cs="Times New Roman" w:eastAsia="Times New Roman" w:hAnsi="Times New Roman"/>
          <w:sz w:val="22"/>
          <w:szCs w:val="22"/>
        </w:rPr>
        <w:t xml:space="preserve">Most people understand government finance the way they understand household finance. A household earns money, saves some, and spends what it has. If it spends more than it earns, it goes into debt. If it borrows too much, it goes bankrupt. The lesson seems obvious: you cannot spend what you do not have.</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This intuition is so deeply embedded that it shapes how politicians talk about budgets, how journalists cover deficits, and how voters evaluate economic policy. Phrases like "living within our means," "the national credit card," and "leaving debt to our children" all reflect the same household analogy.</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MMT's first and most important claim is simple: this analogy is wrong. Not wrong in a minor technical sense — wrong in a structural sense that changes everything that follows.</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A household cannot create the currency it uses. A sovereign government that issues its own currency can. That single difference has enormous implications.</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2. What Actually Happens When a Government Spends</w:t>
      </w:r>
    </w:p>
    <w:p>
      <w:pPr>
        <w:spacing w:after="80" w:before="80" w:line="276"/>
      </w:pPr>
      <w:r>
        <w:rPr>
          <w:rFonts w:ascii="Times New Roman" w:cs="Times New Roman" w:eastAsia="Times New Roman" w:hAnsi="Times New Roman"/>
          <w:sz w:val="22"/>
          <w:szCs w:val="22"/>
        </w:rPr>
        <w:t xml:space="preserve">To understand MMT, you need to understand the operational mechanics of government spending. This is not theory — it is accounting. It is what actually happens in the banking system when a government spends money.</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2.1 The Sequence</w:t>
      </w:r>
    </w:p>
    <w:p>
      <w:pPr>
        <w:spacing w:after="80" w:before="80" w:line="276"/>
      </w:pPr>
      <w:r>
        <w:rPr>
          <w:rFonts w:ascii="Times New Roman" w:cs="Times New Roman" w:eastAsia="Times New Roman" w:hAnsi="Times New Roman"/>
          <w:sz w:val="22"/>
          <w:szCs w:val="22"/>
        </w:rPr>
        <w:t xml:space="preserve">When a government like the United States decides to spend — say, to pay a contractor for building a road — the following sequence occurs:</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2"/>
          <w:szCs w:val="22"/>
        </w:rPr>
        <w:t xml:space="preserve">The Treasury instructs the Federal Reserve to credit the contractor's bank account.</w:t>
      </w:r>
    </w:p>
    <w:p>
      <w:pPr>
        <w:pStyle w:val="ListParagraph"/>
        <w:numPr>
          <w:ilvl w:val="0"/>
          <w:numId w:val="2"/>
        </w:numPr>
        <w:spacing w:after="60" w:before="60"/>
      </w:pPr>
      <w:r>
        <w:rPr>
          <w:rFonts w:ascii="Times New Roman" w:cs="Times New Roman" w:eastAsia="Times New Roman" w:hAnsi="Times New Roman"/>
          <w:sz w:val="22"/>
          <w:szCs w:val="22"/>
        </w:rPr>
        <w:t xml:space="preserve">The Federal Reserve marks up the number in that account. New money has been created.</w:t>
      </w:r>
    </w:p>
    <w:p>
      <w:pPr>
        <w:pStyle w:val="ListParagraph"/>
        <w:numPr>
          <w:ilvl w:val="0"/>
          <w:numId w:val="2"/>
        </w:numPr>
        <w:spacing w:after="60" w:before="60"/>
      </w:pPr>
      <w:r>
        <w:rPr>
          <w:rFonts w:ascii="Times New Roman" w:cs="Times New Roman" w:eastAsia="Times New Roman" w:hAnsi="Times New Roman"/>
          <w:sz w:val="22"/>
          <w:szCs w:val="22"/>
        </w:rPr>
        <w:t xml:space="preserve">The contractor's bank now holds more reserves. The contractor holds more dollars.</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No prior tax revenue was needed. No savings were drawn down. The spending itself created the money.</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In practice, the U.S. Treasury maintains a Treasury General Account (TGA) at the Federal Reserve and must keep it funded — via tax receipts or bond proceeds — before payments clear. MMT economists argue that at the consolidated level of government and central bank together, the underlying reality is as described above: the currency is created, not drawn from pre-existing savings. The institutional rules requiring TGA funding are self-imposed constraints layered on top of that underlying capacity, not evidence of a genuine revenue constraint.</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2.2 What Are Taxes For, Then?</w:t>
      </w:r>
    </w:p>
    <w:p>
      <w:pPr>
        <w:spacing w:after="80" w:before="80" w:line="276"/>
      </w:pPr>
      <w:r>
        <w:rPr>
          <w:rFonts w:ascii="Times New Roman" w:cs="Times New Roman" w:eastAsia="Times New Roman" w:hAnsi="Times New Roman"/>
          <w:sz w:val="22"/>
          <w:szCs w:val="22"/>
        </w:rPr>
        <w:t xml:space="preserve">This raises the obvious question: if governments create money when they spend, why do they collect taxes at all?</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MMT gives a precise answer: taxes are not how the government funds itself. Taxes serve two functions:</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2"/>
          <w:szCs w:val="22"/>
        </w:rPr>
        <w:t xml:space="preserve">They create demand for the currency. If citizens must pay taxes in dollars, they must acquire dollars. This gives the currency its value and ensures it circulates throughout the economy.</w:t>
      </w:r>
    </w:p>
    <w:p>
      <w:pPr>
        <w:pStyle w:val="ListParagraph"/>
        <w:numPr>
          <w:ilvl w:val="0"/>
          <w:numId w:val="2"/>
        </w:numPr>
        <w:spacing w:after="60" w:before="60"/>
      </w:pPr>
      <w:r>
        <w:rPr>
          <w:rFonts w:ascii="Times New Roman" w:cs="Times New Roman" w:eastAsia="Times New Roman" w:hAnsi="Times New Roman"/>
          <w:sz w:val="22"/>
          <w:szCs w:val="22"/>
        </w:rPr>
        <w:t xml:space="preserve">They regulate the amount of money in circulation. When the economy is overheating — when there is too much money chasing too few goods — taxes withdraw spending power and reduce inflationary pressure.</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Taxes drain money from the economy. They do not fill the government's coffers before spending can happen. The sequence always runs: government spends first, taxes drain later.</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2.3 What Are Government Bonds For?</w:t>
      </w:r>
    </w:p>
    <w:p>
      <w:pPr>
        <w:spacing w:after="80" w:before="80" w:line="276"/>
      </w:pPr>
      <w:r>
        <w:rPr>
          <w:rFonts w:ascii="Times New Roman" w:cs="Times New Roman" w:eastAsia="Times New Roman" w:hAnsi="Times New Roman"/>
          <w:sz w:val="22"/>
          <w:szCs w:val="22"/>
        </w:rPr>
        <w:t xml:space="preserve">If the government doesn't need tax revenue to fund spending, why does it issue bonds — government debt — at all?</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MMT explains that bonds are primarily a tool for managing interest rates, not for funding spending — though bonds also serve maturity management, market functioning, and institutional financing roles within the existing legal framework. When the government runs a deficit, it injects more money into the banking system than taxes remove. This excess of reserves tends to push overnight interest rates toward zero. If the central bank wants to maintain a higher interest rate target, it sells bonds — draining the excess reserves and replacing them with interest-bearing securities.</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Bonds are therefore a monetary tool, not a borrowing necessity. The government is not going to investors with a hat asking for money. It is offering an interest-bearing asset to drain reserves and maintain its interest rate target.</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3. QE and the Nuclear Option: What History Revealed</w:t>
      </w:r>
    </w:p>
    <w:p>
      <w:pPr>
        <w:spacing w:after="80" w:before="80" w:line="276"/>
      </w:pPr>
      <w:r>
        <w:rPr>
          <w:rFonts w:ascii="Times New Roman" w:cs="Times New Roman" w:eastAsia="Times New Roman" w:hAnsi="Times New Roman"/>
          <w:sz w:val="22"/>
          <w:szCs w:val="22"/>
        </w:rPr>
        <w:t xml:space="preserve">The 2008 financial crisis and its aftermath provided the most vivid real-world demonstration of MMT's core claims.</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3.1 Quantitative Easing</w:t>
      </w:r>
    </w:p>
    <w:p>
      <w:pPr>
        <w:spacing w:after="80" w:before="80" w:line="276"/>
      </w:pPr>
      <w:r>
        <w:rPr>
          <w:rFonts w:ascii="Times New Roman" w:cs="Times New Roman" w:eastAsia="Times New Roman" w:hAnsi="Times New Roman"/>
          <w:sz w:val="22"/>
          <w:szCs w:val="22"/>
        </w:rPr>
        <w:t xml:space="preserve">When the financial system collapsed in 2008, central banks around the world deployed a tool called Quantitative Easing (QE). The Federal Reserve, the Bank of England, the European Central Bank, and the Bank of Japan all created trillions of units of their respective currencies — not by printing physical banknotes, but by electronically crediting bank accounts — and used those funds to purchase government bonds and other financial assets.</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QE was controversial because it violated the conventional assumption that money creation would cause hyperinflation. Critics predicted disaster. What actually happened was instructive: inflation remained subdued for years. Mechanically, QE swapped interest-bearing bonds for bank reserves — reserves that sit on bank balance sheets and do not directly enter consumer spending. What it did trigger was the portfolio balance channel: investors who sold bonds to the central bank needed to redeploy that capital into other assets, bidding up equities, real estate, and corporate bonds. Asset prices rose dramatically. Consumer price inflation remained modest.</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The lesson: the constraint on money creation is not the act of creation itself. It is where the money goes and whether it encounters a real resource limit — goods, services, labor, materials — that cannot expand quickly enough to absorb it.</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3.2 The Nuclear Option</w:t>
      </w:r>
    </w:p>
    <w:p>
      <w:pPr>
        <w:spacing w:after="80" w:before="80" w:line="276"/>
      </w:pPr>
      <w:r>
        <w:rPr>
          <w:rFonts w:ascii="Times New Roman" w:cs="Times New Roman" w:eastAsia="Times New Roman" w:hAnsi="Times New Roman"/>
          <w:sz w:val="22"/>
          <w:szCs w:val="22"/>
        </w:rPr>
        <w:t xml:space="preserve">QE was unconventional but still operated through the banking system. What economists called the "nuclear option" went further: the direct coordination of fiscal and monetary policy — governments spending newly created money directly into the real economy, with central banks accommodating that spending by purchasing the resulting government debt.</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Japan had been operating close to this model for decades. During COVID-19, most major economies crossed this line. The U.S. government sent direct payments to citizens, funded businesses, and supported unemployment systems — all financed by Treasury debt that the Federal Reserve purchased at scale. The institutional fiction that monetary and fiscal policy must remain strictly separate was quietly suspended.</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Again, the predicted hyperinflationary collapse did not immediately materialize — though inflation did eventually rise. The causes were multiple: direct fiscal transfers generated a significant demand shock, shifting consumer spending sharply toward goods; supply chains simultaneously contracted; and energy costs rose sharply, partly due to the war in Ukraine. Both demand and supply factors drove the inflationary episode — which is exactly what MMT predicts should happen when large-scale spending encounters real resource constraints.</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4. Modern Money Theory: The Framework That Names What We Saw</w:t>
      </w:r>
    </w:p>
    <w:p>
      <w:pPr>
        <w:spacing w:after="80" w:before="80" w:line="276"/>
      </w:pPr>
      <w:r>
        <w:rPr>
          <w:rFonts w:ascii="Times New Roman" w:cs="Times New Roman" w:eastAsia="Times New Roman" w:hAnsi="Times New Roman"/>
          <w:sz w:val="22"/>
          <w:szCs w:val="22"/>
        </w:rPr>
        <w:t xml:space="preserve">MMT did not invent these mechanics. It named and systematized observations about how sovereign currency systems actually operate. The key figures in developing MMT include Warren Mosler, L. Randall Wray, Stephanie Kelton, and Bill Mitchell — drawing on earlier work by Abba Lerner's "Functional Finance" and Hyman Minsky's analysis of banking and money. The accounting foundations of MMT draw heavily on Wynne Godley's sectoral balances framework and Stock-Flow Consistent modeling, which formalized the relationship between government deficits, private sector surpluses, and current account balances.</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4.1 Core Claims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MMT Claim</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What It Means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Monetary sovereignty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 government that issues its own currency — and whose debts are denominated in that currency — cannot involuntarily run out of money.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Spending precedes taxation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Operationally, governments spend first by creating money, then drain money back through taxation. Tax revenue does not fund spending.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real constraint is inflation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limit on government spending is not funding availability. It is whether additional spending will cause prices to rise by pushing demand beyond the economy's productive capacity.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The deficit is not the problem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 government deficit means the private sector has more money than it started with. A surplus means the private sector has less. Neither is inherently good or bad — the question is whether the deficit is too large or too small relative to the economy's needs.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Unemployment is a policy choice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 a system where the government is the currency issuer, persistent involuntary unemployment reflects a choice not to spend enough to employ available workers.</w:t>
            </w:r>
          </w:p>
        </w:tc>
      </w:tr>
    </w:tbl>
    <w:p>
      <w:pPr>
        <w:spacing w:after="60" w:before="60"/>
      </w:pPr>
      <w:r>
        <w:t xml:space="preserve"/>
      </w:r>
    </w:p>
    <w:p>
      <w:pPr>
        <w:pStyle w:val="Heading2"/>
        <w:spacing w:after="100" w:before="280"/>
      </w:pPr>
      <w:r>
        <w:rPr>
          <w:rFonts w:ascii="Arial" w:cs="Arial" w:eastAsia="Arial" w:hAnsi="Arial"/>
          <w:b/>
          <w:bCs/>
          <w:color w:val="2E5596"/>
          <w:sz w:val="28"/>
          <w:szCs w:val="28"/>
        </w:rPr>
        <w:t xml:space="preserve">5. The Real Constraint: Inflation and Real Resources</w:t>
      </w:r>
    </w:p>
    <w:p>
      <w:pPr>
        <w:spacing w:after="80" w:before="80" w:line="276"/>
      </w:pPr>
      <w:r>
        <w:rPr>
          <w:rFonts w:ascii="Times New Roman" w:cs="Times New Roman" w:eastAsia="Times New Roman" w:hAnsi="Times New Roman"/>
          <w:sz w:val="22"/>
          <w:szCs w:val="22"/>
        </w:rPr>
        <w:t xml:space="preserve">This is where many people misread MMT — and where honest engagement requires precision.</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MMT does not say governments can spend without limit. It says the limit is real, not monetary. The constraint is inflation — and inflation arises when spending demand exceeds the economy's productive capacity to supply goods and services.</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5.1 Understanding the Inflation Constraint</w:t>
      </w:r>
    </w:p>
    <w:p>
      <w:pPr>
        <w:spacing w:after="80" w:before="80" w:line="276"/>
      </w:pPr>
      <w:r>
        <w:rPr>
          <w:rFonts w:ascii="Times New Roman" w:cs="Times New Roman" w:eastAsia="Times New Roman" w:hAnsi="Times New Roman"/>
          <w:sz w:val="22"/>
          <w:szCs w:val="22"/>
        </w:rPr>
        <w:t xml:space="preserve">Imagine an economy where all workers are employed and all factories are running at full capacity. If the government injects additional spending into this economy, it cannot produce more — so prices rise instead. This is demand-pull inflation: too much money chasing a fixed supply of real goods.</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Now imagine an economy with significant unemployment and idle industrial capacity. Additional government spending can employ those workers and activate that capacity — producing real output. In this case, spending does not cause inflation because the real economy can expand to meet the demand.</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The MMT policy implication follows directly: the appropriate level of government spending is determined by how close the economy is to full capacity — not by an arbitrary deficit target or a fixed debt-to-GDP ratio.</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5.2 Real Resource Limits</w:t>
      </w:r>
    </w:p>
    <w:p>
      <w:pPr>
        <w:spacing w:after="80" w:before="80" w:line="276"/>
      </w:pPr>
      <w:r>
        <w:rPr>
          <w:rFonts w:ascii="Times New Roman" w:cs="Times New Roman" w:eastAsia="Times New Roman" w:hAnsi="Times New Roman"/>
          <w:sz w:val="22"/>
          <w:szCs w:val="22"/>
        </w:rPr>
        <w:t xml:space="preserve">Beyond labor and industrial capacity, there are other real resource constraints:</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2"/>
          <w:szCs w:val="22"/>
        </w:rPr>
        <w:t xml:space="preserve">Supply chains: If critical inputs — energy, raw materials, semiconductors — are scarce globally, domestic spending cannot conjure them into existence. Spending into a supply-constrained economy causes inflation regardless of domestic productive capacity.</w:t>
      </w:r>
    </w:p>
    <w:p>
      <w:pPr>
        <w:pStyle w:val="ListParagraph"/>
        <w:numPr>
          <w:ilvl w:val="0"/>
          <w:numId w:val="2"/>
        </w:numPr>
        <w:spacing w:after="60" w:before="60"/>
      </w:pPr>
      <w:r>
        <w:rPr>
          <w:rFonts w:ascii="Times New Roman" w:cs="Times New Roman" w:eastAsia="Times New Roman" w:hAnsi="Times New Roman"/>
          <w:sz w:val="22"/>
          <w:szCs w:val="22"/>
        </w:rPr>
        <w:t xml:space="preserve">Exchange rates: For countries that are not reserve currency issuers, excessive money creation can cause currency depreciation, which raises the cost of imports and generates imported inflation.</w:t>
      </w:r>
    </w:p>
    <w:p>
      <w:pPr>
        <w:pStyle w:val="ListParagraph"/>
        <w:numPr>
          <w:ilvl w:val="0"/>
          <w:numId w:val="2"/>
        </w:numPr>
        <w:spacing w:after="60" w:before="60"/>
      </w:pPr>
      <w:r>
        <w:rPr>
          <w:rFonts w:ascii="Times New Roman" w:cs="Times New Roman" w:eastAsia="Times New Roman" w:hAnsi="Times New Roman"/>
          <w:sz w:val="22"/>
          <w:szCs w:val="22"/>
        </w:rPr>
        <w:t xml:space="preserve">Foreign-denominated debt: Countries that borrow in currencies they do not issue face genuine solvency constraints. Greece could not simply create euros to service its debt. Argentina cannot simply create dollars to service its dollar-denominated bonds. MMT's full claims apply specifically to sovereign currency issuers with floating exchange rates and no significant foreign-currency debt.</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6. Limitations and Honest Critiques</w:t>
      </w:r>
    </w:p>
    <w:p>
      <w:pPr>
        <w:spacing w:after="80" w:before="80" w:line="276"/>
      </w:pPr>
      <w:r>
        <w:rPr>
          <w:rFonts w:ascii="Times New Roman" w:cs="Times New Roman" w:eastAsia="Times New Roman" w:hAnsi="Times New Roman"/>
          <w:sz w:val="22"/>
          <w:szCs w:val="22"/>
        </w:rPr>
        <w:t xml:space="preserve">MMT is a serious intellectual framework that deserves serious critique. The following are genuine limitations, not political objections.</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6.1 The Political Economy Problem</w:t>
      </w:r>
    </w:p>
    <w:p>
      <w:pPr>
        <w:spacing w:after="80" w:before="80" w:line="276"/>
      </w:pPr>
      <w:r>
        <w:rPr>
          <w:rFonts w:ascii="Times New Roman" w:cs="Times New Roman" w:eastAsia="Times New Roman" w:hAnsi="Times New Roman"/>
          <w:sz w:val="22"/>
          <w:szCs w:val="22"/>
        </w:rPr>
        <w:t xml:space="preserve">MMT is correct that the real constraint on spending is inflation, not funding. But it does not solve the political economy problem: who decides whether the economy has sufficient capacity to absorb additional spending? In practice, these decisions are made by elected governments under electoral pressure, not by neutral economists reading output gap estimates. MMT's framework is technically sound but does not answer the question of how to prevent political misuse of the knowledge that governments can always create more money.</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6.2 Distributional Questions</w:t>
      </w:r>
    </w:p>
    <w:p>
      <w:pPr>
        <w:spacing w:after="80" w:before="80" w:line="276"/>
      </w:pPr>
      <w:r>
        <w:rPr>
          <w:rFonts w:ascii="Times New Roman" w:cs="Times New Roman" w:eastAsia="Times New Roman" w:hAnsi="Times New Roman"/>
          <w:sz w:val="22"/>
          <w:szCs w:val="22"/>
        </w:rPr>
        <w:t xml:space="preserve">MMT focuses on aggregate demand and productive capacity. It is less developed on distributional questions: even if total spending is within inflation constraints, the pattern of spending matters enormously for who benefits. Money creation that flows primarily into asset markets — as QE did — does not violate MMT's inflation constraint but does produce profound distributional consequences, widening inequality between asset owners and non-owners.</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6.3 Applicability Limits</w:t>
      </w:r>
    </w:p>
    <w:p>
      <w:pPr>
        <w:spacing w:after="80" w:before="80" w:line="276"/>
      </w:pPr>
      <w:r>
        <w:rPr>
          <w:rFonts w:ascii="Times New Roman" w:cs="Times New Roman" w:eastAsia="Times New Roman" w:hAnsi="Times New Roman"/>
          <w:sz w:val="22"/>
          <w:szCs w:val="22"/>
        </w:rPr>
        <w:t xml:space="preserve">As noted above, MMT's strongest claims apply to a specific institutional configuration: a government that issues its own currency, whose debts are denominated in that currency, with a floating exchange rate, and no significant foreign-currency liabilities. This describes the United States, Japan, the United Kingdom, Australia, and Canada. It does not fully describe the Eurozone countries (which do not issue their own currency), developing economies with significant dollar-denominated debt, or countries with pegged exchange rates. Among sovereign issuers, the United States holds a distinct empirical advantage as the issuer of the global reserve currency, providing a substantially larger buffer against exchange rate depreciation and imported inflation than other countries in this group.</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6.4 The Job Guarantee</w:t>
      </w:r>
    </w:p>
    <w:p>
      <w:pPr>
        <w:spacing w:after="80" w:before="80" w:line="276"/>
      </w:pPr>
      <w:r>
        <w:rPr>
          <w:rFonts w:ascii="Times New Roman" w:cs="Times New Roman" w:eastAsia="Times New Roman" w:hAnsi="Times New Roman"/>
          <w:sz w:val="22"/>
          <w:szCs w:val="22"/>
        </w:rPr>
        <w:t xml:space="preserve">MMT's standard policy proposal for addressing unemployment is the Job Guarantee — a government-funded employer-of-last-resort program that offers a job to anyone willing and able to work at a fixed base wage. MMT economists argue this approach can maintain full employment without causing inflation, because the Job Guarantee pool expands during downturns (absorbing unemployed workers) and contracts during recoveries (releasing workers to the private sector), acting as an automatic stabilizer. This proposal is controversial and is presented here descriptively, not as an endorsement — but understanding it is important for understanding how MMT proposes to act on its own core claim that unemployment is a policy choice, not an economic inevitability.</w:t>
      </w:r>
    </w:p>
    <w:p>
      <w:pPr>
        <w:spacing w:after="60" w:before="60"/>
      </w:pPr>
      <w:r>
        <w:t xml:space="preserve"/>
      </w:r>
    </w:p>
    <w:p>
      <w:pPr>
        <w:pStyle w:val="Heading3"/>
        <w:spacing w:after="80" w:before="200"/>
      </w:pPr>
      <w:r>
        <w:rPr>
          <w:rFonts w:ascii="Arial" w:cs="Arial" w:eastAsia="Arial" w:hAnsi="Arial"/>
          <w:b/>
          <w:bCs/>
          <w:color w:val="4A6FA5"/>
          <w:sz w:val="24"/>
          <w:szCs w:val="24"/>
        </w:rPr>
        <w:t xml:space="preserve">6.5 The Transition Problem</w:t>
      </w:r>
    </w:p>
    <w:p>
      <w:pPr>
        <w:spacing w:after="80" w:before="80" w:line="276"/>
      </w:pPr>
      <w:r>
        <w:rPr>
          <w:rFonts w:ascii="Times New Roman" w:cs="Times New Roman" w:eastAsia="Times New Roman" w:hAnsi="Times New Roman"/>
          <w:sz w:val="22"/>
          <w:szCs w:val="22"/>
        </w:rPr>
        <w:t xml:space="preserve">MMT explains the current system accurately. It is less clear about how to transition from a system where governments behave as if they are constrained by revenue to one where they openly operate according to MMT principles. The institutional structures — central bank independence, deficit limits, debt ceilings — exist in part because of legitimate concerns about political abuse of monetary sovereignty. Dismantling them without replacement is not a neutral technical operation.</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7. Why MMT Matters for Everyone</w:t>
      </w:r>
    </w:p>
    <w:p>
      <w:pPr>
        <w:spacing w:after="80" w:before="80" w:line="276"/>
      </w:pPr>
      <w:r>
        <w:rPr>
          <w:rFonts w:ascii="Times New Roman" w:cs="Times New Roman" w:eastAsia="Times New Roman" w:hAnsi="Times New Roman"/>
          <w:sz w:val="22"/>
          <w:szCs w:val="22"/>
        </w:rPr>
        <w:t xml:space="preserve">MMT is not just an academic theory. It has direct implications for how citizens understand the debates happening in their societies right now.</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2"/>
          <w:szCs w:val="22"/>
        </w:rPr>
        <w:t xml:space="preserve">When politicians say a social program "cannot be afforded," MMT asks: is there a real resource constraint, or only a self-imposed monetary one?</w:t>
      </w:r>
    </w:p>
    <w:p>
      <w:pPr>
        <w:pStyle w:val="ListParagraph"/>
        <w:numPr>
          <w:ilvl w:val="0"/>
          <w:numId w:val="2"/>
        </w:numPr>
        <w:spacing w:after="60" w:before="60"/>
      </w:pPr>
      <w:r>
        <w:rPr>
          <w:rFonts w:ascii="Times New Roman" w:cs="Times New Roman" w:eastAsia="Times New Roman" w:hAnsi="Times New Roman"/>
          <w:sz w:val="22"/>
          <w:szCs w:val="22"/>
        </w:rPr>
        <w:t xml:space="preserve">When economists warn about "government debt burdening future generations," MMT points out that a government's nominal debt in its own currency is not comparable to a household's debt — the government created those dollars; households did not create their mortgage currency.</w:t>
      </w:r>
    </w:p>
    <w:p>
      <w:pPr>
        <w:pStyle w:val="ListParagraph"/>
        <w:numPr>
          <w:ilvl w:val="0"/>
          <w:numId w:val="2"/>
        </w:numPr>
        <w:spacing w:after="60" w:before="60"/>
      </w:pPr>
      <w:r>
        <w:rPr>
          <w:rFonts w:ascii="Times New Roman" w:cs="Times New Roman" w:eastAsia="Times New Roman" w:hAnsi="Times New Roman"/>
          <w:sz w:val="22"/>
          <w:szCs w:val="22"/>
        </w:rPr>
        <w:t xml:space="preserve">When central banks announce new rounds of asset purchases, MMT helps explain the mechanics and the distributional consequences of those decisions.</w:t>
      </w:r>
    </w:p>
    <w:p>
      <w:pPr>
        <w:pStyle w:val="ListParagraph"/>
        <w:numPr>
          <w:ilvl w:val="0"/>
          <w:numId w:val="2"/>
        </w:numPr>
        <w:spacing w:after="60" w:before="60"/>
      </w:pPr>
      <w:r>
        <w:rPr>
          <w:rFonts w:ascii="Times New Roman" w:cs="Times New Roman" w:eastAsia="Times New Roman" w:hAnsi="Times New Roman"/>
          <w:sz w:val="22"/>
          <w:szCs w:val="22"/>
        </w:rPr>
        <w:t xml:space="preserve">When inflation rises, MMT provides a precise framework for asking: is this demand exceeding real capacity? Is it a supply constraint? Is it imported through currency depreciation? Each cause requires a different response.</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The deeper contribution of MMT is not policy prescription. It is intellectual honesty: forcing a confrontation with assumptions about money that most people have absorbed without examination. Whether or not one agrees with every MMT policy proposal, understanding its core mechanical claims makes one a more capable thinker about economics, governance, and civilizational design.</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8. Where the Logic Leads: A Structural Note</w:t>
      </w:r>
    </w:p>
    <w:p>
      <w:pPr>
        <w:spacing w:after="80" w:before="80" w:line="276"/>
      </w:pPr>
      <w:r>
        <w:rPr>
          <w:rFonts w:ascii="Times New Roman" w:cs="Times New Roman" w:eastAsia="Times New Roman" w:hAnsi="Times New Roman"/>
          <w:sz w:val="22"/>
          <w:szCs w:val="22"/>
        </w:rPr>
        <w:t xml:space="preserve">MMT operates within a system where money mediates the allocation of resources. It challenges the assumption that governments are revenue-constrained — but it still assumes that currency is the primary mechanism through which individuals access goods, services, and survival.</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There is a further question that MMT does not address: what happens when production capacity grows so large — through automation, artificial intelligence, and advanced energy systems — that the gap between what civilization can produce and what is needed for basic human survival becomes very wide?</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In that scenario, the constraint shifts further. It is no longer primarily a question of whether governments can create money, or whether spending exceeds productive capacity. It becomes a question of whether the currency-mediated allocation mechanism itself remains the right organizational structure for distributing the outputs of an economy of abundance.</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MMT accurately describes the current system and identifies the real limits on collective action within it. But it does not resolve this deeper structural question — which belongs to a different and larger conversation about how advanced civilizations organize the relationship between production, distribution, and survival. That conversation is only beginning.</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Conclusion</w:t>
      </w:r>
    </w:p>
    <w:p>
      <w:pPr>
        <w:spacing w:after="80" w:before="80" w:line="276"/>
      </w:pPr>
      <w:r>
        <w:rPr>
          <w:rFonts w:ascii="Times New Roman" w:cs="Times New Roman" w:eastAsia="Times New Roman" w:hAnsi="Times New Roman"/>
          <w:sz w:val="22"/>
          <w:szCs w:val="22"/>
        </w:rPr>
        <w:t xml:space="preserve">Modern Money Theory is not a radical fringe idea. It is a careful description of how sovereign currency systems actually operate — a description that challenges the household analogy that most people apply to government finance without questioning it.</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Its core claims are mechanically precise: governments that issue their own currency spend by creating money, not by drawing on tax revenue; taxes regulate inflation and create currency demand, not fund expenditure; and the real constraint on government spending is the productive capacity of the economy — not an arbitrary monetary limit.</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Its honest limitations are equally important: it does not solve the political economy problem of who decides spending levels; its distributional implications deserve more development; and its full claims apply most cleanly to sovereign currency issuers with floating exchange rates.</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Understanding MMT does not require agreeing with every policy proposal advanced under its name. It requires only the willingness to look carefully at what money actually is, how governments actually operate, and what the real limits on collective action in a modern economy actually are.</w:t>
      </w:r>
    </w:p>
    <w:p>
      <w:pPr>
        <w:spacing w:after="60" w:before="60"/>
      </w:pPr>
      <w:r>
        <w:t xml:space="preserve"/>
      </w:r>
    </w:p>
    <w:p>
      <w:pPr>
        <w:spacing w:after="80" w:before="80" w:line="276"/>
      </w:pPr>
      <w:r>
        <w:rPr>
          <w:rFonts w:ascii="Times New Roman" w:cs="Times New Roman" w:eastAsia="Times New Roman" w:hAnsi="Times New Roman"/>
          <w:sz w:val="22"/>
          <w:szCs w:val="22"/>
        </w:rPr>
        <w:t xml:space="preserve">That kind of careful looking is what good thinking requires — in economics, as in everything else.</w:t>
      </w:r>
    </w:p>
    <w:p>
      <w:pPr>
        <w:spacing w:after="60" w:before="60"/>
      </w:pPr>
      <w:r>
        <w:t xml:space="preserve"/>
      </w:r>
    </w:p>
    <w:p>
      <w:pPr>
        <w:pStyle w:val="Heading2"/>
        <w:spacing w:after="100" w:before="280"/>
      </w:pPr>
      <w:r>
        <w:rPr>
          <w:rFonts w:ascii="Arial" w:cs="Arial" w:eastAsia="Arial" w:hAnsi="Arial"/>
          <w:b/>
          <w:bCs/>
          <w:color w:val="2E5596"/>
          <w:sz w:val="28"/>
          <w:szCs w:val="28"/>
        </w:rPr>
        <w:t xml:space="preserve">Key References and Further Reading</w:t>
      </w:r>
    </w:p>
    <w:p>
      <w:pPr>
        <w:pStyle w:val="ListParagraph"/>
        <w:numPr>
          <w:ilvl w:val="0"/>
          <w:numId w:val="2"/>
        </w:numPr>
        <w:spacing w:after="60" w:before="60"/>
      </w:pPr>
      <w:r>
        <w:rPr>
          <w:rFonts w:ascii="Times New Roman" w:cs="Times New Roman" w:eastAsia="Times New Roman" w:hAnsi="Times New Roman"/>
          <w:sz w:val="22"/>
          <w:szCs w:val="22"/>
        </w:rPr>
        <w:t xml:space="preserve">Kelton, Stephanie. The Deficit Myth. PublicAffairs, 2020.</w:t>
      </w:r>
    </w:p>
    <w:p>
      <w:pPr>
        <w:pStyle w:val="ListParagraph"/>
        <w:numPr>
          <w:ilvl w:val="0"/>
          <w:numId w:val="2"/>
        </w:numPr>
        <w:spacing w:after="60" w:before="60"/>
      </w:pPr>
      <w:r>
        <w:rPr>
          <w:rFonts w:ascii="Times New Roman" w:cs="Times New Roman" w:eastAsia="Times New Roman" w:hAnsi="Times New Roman"/>
          <w:sz w:val="22"/>
          <w:szCs w:val="22"/>
        </w:rPr>
        <w:t xml:space="preserve">Wray, L. Randall. Modern Money Theory: A Primer on Macroeconomics for Sovereign Monetary Systems. Palgrave Macmillan, 2012.</w:t>
      </w:r>
    </w:p>
    <w:p>
      <w:pPr>
        <w:pStyle w:val="ListParagraph"/>
        <w:numPr>
          <w:ilvl w:val="0"/>
          <w:numId w:val="2"/>
        </w:numPr>
        <w:spacing w:after="60" w:before="60"/>
      </w:pPr>
      <w:r>
        <w:rPr>
          <w:rFonts w:ascii="Times New Roman" w:cs="Times New Roman" w:eastAsia="Times New Roman" w:hAnsi="Times New Roman"/>
          <w:sz w:val="22"/>
          <w:szCs w:val="22"/>
        </w:rPr>
        <w:t xml:space="preserve">Mitchell, William, L. Randall Wray, and Martin Watts. Macroeconomics. Red Globe Press, 2019.</w:t>
      </w:r>
    </w:p>
    <w:p>
      <w:pPr>
        <w:pStyle w:val="ListParagraph"/>
        <w:numPr>
          <w:ilvl w:val="0"/>
          <w:numId w:val="2"/>
        </w:numPr>
        <w:spacing w:after="60" w:before="60"/>
      </w:pPr>
      <w:r>
        <w:rPr>
          <w:rFonts w:ascii="Times New Roman" w:cs="Times New Roman" w:eastAsia="Times New Roman" w:hAnsi="Times New Roman"/>
          <w:sz w:val="22"/>
          <w:szCs w:val="22"/>
        </w:rPr>
        <w:t xml:space="preserve">Mosler, Warren. Soft Currency Economics II. CreateSpace, 2012.</w:t>
      </w:r>
    </w:p>
    <w:p>
      <w:pPr>
        <w:pStyle w:val="ListParagraph"/>
        <w:numPr>
          <w:ilvl w:val="0"/>
          <w:numId w:val="2"/>
        </w:numPr>
        <w:spacing w:after="60" w:before="60"/>
      </w:pPr>
      <w:r>
        <w:rPr>
          <w:rFonts w:ascii="Times New Roman" w:cs="Times New Roman" w:eastAsia="Times New Roman" w:hAnsi="Times New Roman"/>
          <w:sz w:val="22"/>
          <w:szCs w:val="22"/>
        </w:rPr>
        <w:t xml:space="preserve">Godley, Wynne and Marc Lavoie. Monetary Economics: An Integrated Approach to Credit, Money, Income, Production and Wealth. Palgrave Macmillan, 2007.</w:t>
      </w:r>
    </w:p>
    <w:p>
      <w:pPr>
        <w:pStyle w:val="ListParagraph"/>
        <w:numPr>
          <w:ilvl w:val="0"/>
          <w:numId w:val="2"/>
        </w:numPr>
        <w:spacing w:after="60" w:before="60"/>
      </w:pPr>
      <w:r>
        <w:rPr>
          <w:rFonts w:ascii="Times New Roman" w:cs="Times New Roman" w:eastAsia="Times New Roman" w:hAnsi="Times New Roman"/>
          <w:sz w:val="22"/>
          <w:szCs w:val="22"/>
        </w:rPr>
        <w:t xml:space="preserve">Lerner, Abba P. "Functional Finance and the Federal Debt." Social Research, 1943.</w:t>
      </w:r>
    </w:p>
    <w:p>
      <w:pPr>
        <w:pStyle w:val="ListParagraph"/>
        <w:numPr>
          <w:ilvl w:val="0"/>
          <w:numId w:val="2"/>
        </w:numPr>
        <w:spacing w:after="60" w:before="60"/>
      </w:pPr>
      <w:r>
        <w:rPr>
          <w:rFonts w:ascii="Times New Roman" w:cs="Times New Roman" w:eastAsia="Times New Roman" w:hAnsi="Times New Roman"/>
          <w:sz w:val="22"/>
          <w:szCs w:val="22"/>
        </w:rPr>
        <w:t xml:space="preserve">Minsky, Hyman P. Stabilizing an Unstable Economy. McGraw-Hill, 1986.</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5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2026-04-29T11:43:40.406Z</dcterms:created>
  <dcterms:modified xsi:type="dcterms:W3CDTF">2026-04-29T11:43:40.407Z</dcterms:modified>
</cp:coreProperties>
</file>

<file path=docProps/custom.xml><?xml version="1.0" encoding="utf-8"?>
<Properties xmlns="http://schemas.openxmlformats.org/officeDocument/2006/custom-properties" xmlns:vt="http://schemas.openxmlformats.org/officeDocument/2006/docPropsVTypes"/>
</file>