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C01 · Trust Integrity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v2.0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v1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Integrity Layer v1.1 (2026-04-25)</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 in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Load-bearing base. T(t) is the primary state variable. All other components read from or write to T(t).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C03 Disturbance Buffer (receives D_effective) · C05 SSL (receives I(t)) · C02 Recovery Engine (receives R(t)) · C06 Governance Module (receives G(t) indirectly via coupling)</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C02 Recovery Engine · C04 Stability Lock · C06 Governance Module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Update mode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ASYNCHRONOUS — LOCKED v2.0. Nodes update T independently. No global clock assumed.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Node identity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UNSPECIFIED — deliberately deferred to implementation layer</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What TIL Does</w:t>
      </w:r>
    </w:p>
    <w:p>
      <w:pPr>
        <w:spacing w:after="80" w:before="80"/>
      </w:pPr>
      <w:r>
        <w:rPr>
          <w:rFonts w:ascii="Times New Roman" w:cs="Times New Roman" w:eastAsia="Times New Roman" w:hAnsi="Times New Roman"/>
          <w:sz w:val="22"/>
          <w:szCs w:val="22"/>
        </w:rPr>
        <w:t xml:space="preserve">The Trust Integrity Layer maintains T(t) — the trust state variable — for each node in the network. It receives disturbance inputs, identity inputs, cognitive distortion inputs, and recovery inputs, and computes the net rate of change of trust at each timestep. It is not a passive tracker — it is an active integration layer that determines whether the system is moving toward or away from stable function.</w:t>
      </w:r>
    </w:p>
    <w:p>
      <w:pPr>
        <w:spacing w:after="60" w:before="60"/>
      </w:pPr>
      <w:r>
        <w:t xml:space="preserve"/>
      </w:r>
    </w:p>
    <w:p>
      <w:pPr>
        <w:spacing w:after="80" w:before="80"/>
      </w:pPr>
      <w:r>
        <w:rPr>
          <w:rFonts w:ascii="Times New Roman" w:cs="Times New Roman" w:eastAsia="Times New Roman" w:hAnsi="Times New Roman"/>
          <w:sz w:val="22"/>
          <w:szCs w:val="22"/>
        </w:rPr>
        <w:t xml:space="preserve">Everything else in the architecture depends on T(t). The Recovery Engine reads T to determine recovery mode. The Stability Lock reads S(t) = g(T) to determine lock state. The Governance Module's effectiveness is T-conditional. If TIL fails — if T collapses without recovery — the entire architecture collapses with 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LOAD-BEARING: T(t) is the single most critical state variable in the architecture. All five other components are either inputs to TIL or consumers of TIL output. No component can substitute for TIL.</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Core Equation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dT/dt = -a·D_effective(t)  +  b·I(t)  -  c·C(t)  +  R(T,t)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T(t+1) = clip( T(t) + dT/dt · dt,  T_floor,  T_ceiling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 ∈ [T_floor, T_ceiling]   where T_floor &gt; 0 (prevents permanent collapse)</w:t>
            </w:r>
          </w:p>
          <w:p>
            <w:r>
              <w:rPr>
                <w:rFonts w:ascii="Courier New" w:cs="Courier New" w:eastAsia="Courier New" w:hAnsi="Courier New"/>
                <w:sz w:val="20"/>
                <w:szCs w:val="20"/>
              </w:rPr>
              <w:t xml:space="preserve">T_ceiling = 1.0            (normalized maximum trust)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Term</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Name</w:t>
            </w:r>
          </w:p>
        </w:tc>
        <w:tc>
          <w:tcPr>
            <w:tcW w:type="dxa" w:w="3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Source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-a·D_eff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decay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erodes trust. D_effective is already damped by C03 — TIL never receives raw disturbance. Rate a &gt;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C03 Disturbance Buffer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Identity support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Identity stability supports trust maintenance. Higher I → slower trust decay under disturbance. Rate b &gt;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C05 Structural Support Layer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Cognitive distortion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Cognitive distortion (misinformation, narrative capture, distorted perception) erodes trust independently of external disturbance. Rate c &gt;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Internal — TIL tracks 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+R(T,t)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Recovery input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Active trust restoration. Composite of R_internal, R_network, R_gov, R_base. T-dependent — recovery weakens as T falls toward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C02 Recovery Engine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Parameters a, b, c are unspecified. Must be calibrated such that: (1) collapse rate exceeds natural recovery rate under high disturbance (Simulation Law 3), (2) identity support b·I provides meaningful stabilization but cannot alone prevent collapse under sustained high D.</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Asymmetric Dynamics — Locked</w:t>
      </w:r>
    </w:p>
    <w:p>
      <w:pPr>
        <w:spacing w:after="80" w:before="80"/>
      </w:pPr>
      <w:r>
        <w:rPr>
          <w:rFonts w:ascii="Times New Roman" w:cs="Times New Roman" w:eastAsia="Times New Roman" w:hAnsi="Times New Roman"/>
          <w:sz w:val="22"/>
          <w:szCs w:val="22"/>
        </w:rPr>
        <w:t xml:space="preserve">The following dynamic properties are locked by simulation. They are not assumptions — they are empirical constraints that any institutional trust mechanism must reproduce: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4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Collapse faster than recovery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Under high disturbance, dT/dt &lt; 0 dominates. The -a·D term outpaces +R(T,t). Natural trust restoration is slower than disturbance-driven erosion. Institutional recovery mechanisms must be asymmetrically strong to compensate.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Sim Law 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T-conditional recovery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R(T,t) weakens as T → 0. Recovery becomes harder the lower trust falls — the system is not linearly reversible. This is not a calibration choice — it is a structural property.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RE v1.2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primacy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94–100% of high-stress collapses are disturbance-first. Trust erosion via -a·D_eff is the primary failure pathway. Identity and cognitive distortion are secondary.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v13/v14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T_floor &gt; 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Complete trust collapse to zero is a terminal state — recovery from T = 0 requires external intervention (R_base). T_floor prevents permanent collapse but does not prevent functional collapse (trust can be too low to sustain governance while remaining above T_floor).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architecture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Cognitive Distortion C(t)</w:t>
      </w:r>
    </w:p>
    <w:p>
      <w:pPr>
        <w:spacing w:after="80" w:before="80"/>
      </w:pPr>
      <w:r>
        <w:rPr>
          <w:rFonts w:ascii="Times New Roman" w:cs="Times New Roman" w:eastAsia="Times New Roman" w:hAnsi="Times New Roman"/>
          <w:sz w:val="22"/>
          <w:szCs w:val="22"/>
        </w:rPr>
        <w:t xml:space="preserve">C(t) is the cognitive distortion term — the degree to which nodes have systematically distorted perception of the system state. It is not the same as disturbance. Disturbance is an external shock. Cognitive distortion is an internal state that amplifies the effect of disturbance and persists after disturbance ends.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C(t) ∈ [0,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 = undistorted perception. 1 = maximum distortion — node cannot accurately perceive system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C(t) is node-local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Each node has its own C(t). Network-level cognitive distortion is the aggregate — not a single shared 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C(t) evolves independently of 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Cognitive distortion can rise even when trust is stable — through misinformation, narrative capture, or isolation. It is a separate attack surface.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C(t) amplifies -a·D effect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 node with high C(t) misinterprets disturbance signals — amplifying their effect on T. This is the mechanism by which misinformation accelerates trust collapse.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C(t) is slow to reverse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Cognitive distortion is sticky — once established, it resists correction even when accurate information is available. Recovery of C(t) is slower than recovery of 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dC/dt = +e·M(t)  -  f·E(t)  -  g·C(t)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M(t) = misinformation exposure rate</w:t>
            </w:r>
          </w:p>
          <w:p>
            <w:r>
              <w:rPr>
                <w:rFonts w:ascii="Courier New" w:cs="Courier New" w:eastAsia="Courier New" w:hAnsi="Courier New"/>
                <w:sz w:val="20"/>
                <w:szCs w:val="20"/>
              </w:rPr>
              <w:t xml:space="preserve">E(t) = accurate information exposure rate (correction signal)</w:t>
            </w:r>
          </w:p>
          <w:p>
            <w:r>
              <w:rPr>
                <w:rFonts w:ascii="Courier New" w:cs="Courier New" w:eastAsia="Courier New" w:hAnsi="Courier New"/>
                <w:sz w:val="20"/>
                <w:szCs w:val="20"/>
              </w:rPr>
              <w:t xml:space="preserve">g·C(t) = natural decay (slow)</w:t>
            </w:r>
          </w:p>
          <w:p>
            <w:r>
              <w:rPr>
                <w:rFonts w:ascii="Courier New" w:cs="Courier New" w:eastAsia="Courier New" w:hAnsi="Courier New"/>
                <w:sz w:val="20"/>
                <w:szCs w:val="20"/>
              </w:rPr>
              <w:t xml:space="preserve">e, f, g &gt; 0  —  UNSPECIFIED, calibration pending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C(t) dynamics (e, f, g) are unspecified. The institutional v2 question is: what are the concrete mechanisms that drive M(t) up and E(t) up? These correspond to real institutional processes — information environment management, transparency mechanisms, corrective communication structures.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Asynchronous Update Architecture — LOCKED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LOCKED — v2.0. T(t) updates asynchronously. Nodes update trust independently based on local conditions and interaction events. No global clock. No synchronization required.</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Async update has the following structural consequences: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Consequence</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Implication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 is node-local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Each node maintains its own T_i(t). Network trust is not a single number — it is a distribution across nodes. TIL tracks T_i for each node 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T_i updates on interaction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T_i changes when node i receives disturbance, engages in trust-relevant interaction, or receives recovery input. Not on a fixed schedule.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Phase lag across network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Different nodes will be at different T values at any given moment. This is realistic — it is also a monitoring challenge.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S_network(t) requires aggregation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Stability Lock cannot read a single T — it must aggregate T_i across all nodes to compute S_network(t). This aggregation method must be specified (see C04).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Recovery propagates with lag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When the Recovery Engine activates, its effect reaches different nodes at different times. Network-wide recovery is not instantaneous.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Collapse can be localized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 subset of nodes can collapse (T_i → T_floor) while the rest remain stable. This is the star topology masking scenario — hub stable, peripherals collapsed.</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6. Required Institutional Properties</w:t>
      </w:r>
    </w:p>
    <w:p>
      <w:pPr>
        <w:spacing w:after="80" w:before="80"/>
      </w:pPr>
      <w:r>
        <w:rPr>
          <w:rFonts w:ascii="Times New Roman" w:cs="Times New Roman" w:eastAsia="Times New Roman" w:hAnsi="Times New Roman"/>
          <w:sz w:val="22"/>
          <w:szCs w:val="22"/>
        </w:rPr>
        <w:t xml:space="preserve">The v2 question for C01 is: what institutional properties must any trust measure satisfy to be compatible with TIL dynamics? The following are necessary properties — not sufficient. They constrain what can count as a valid T(t) proxy in a real deployment.</w:t>
      </w:r>
    </w:p>
    <w:p>
      <w:pPr>
        <w:spacing w:after="60" w:before="60"/>
      </w:pPr>
      <w:r>
        <w:t xml:space="preserve"/>
      </w:r>
    </w:p>
    <w:p>
      <w:pPr>
        <w:spacing w:after="120" w:before="240"/>
      </w:pPr>
      <w:r>
        <w:rPr>
          <w:rFonts w:ascii="Arial" w:cs="Arial" w:eastAsia="Arial" w:hAnsi="Arial"/>
          <w:b/>
          <w:bCs/>
          <w:color w:val="2E5596"/>
          <w:sz w:val="26"/>
          <w:szCs w:val="26"/>
        </w:rPr>
        <w:t xml:space="preserve">6.1 Observable</w:t>
      </w:r>
    </w:p>
    <w:p>
      <w:pPr>
        <w:spacing w:after="80" w:before="80"/>
      </w:pPr>
      <w:r>
        <w:rPr>
          <w:rFonts w:ascii="Times New Roman" w:cs="Times New Roman" w:eastAsia="Times New Roman" w:hAnsi="Times New Roman"/>
          <w:sz w:val="22"/>
          <w:szCs w:val="22"/>
        </w:rPr>
        <w:t xml:space="preserve">T(t) must be measurable, not inferred from outcomes. If trust can only be detected after it has collapsed (e.g., through behavioral breakdown), the system has no early warning. The institutional mechanism must provide a signal while T is still in the recoverable range.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What observable proxy captures trust state with sufficient lead time before collapse? This is the primary open question for any real deployment. Candidates: interaction frequency, compliance rate, escalation rate, voluntary participation rate, information-sharing behavior. None are yet specified.</w:t>
            </w:r>
          </w:p>
        </w:tc>
      </w:tr>
    </w:tbl>
    <w:p>
      <w:pPr>
        <w:spacing w:after="60" w:before="60"/>
      </w:pPr>
      <w:r>
        <w:t xml:space="preserve"/>
      </w:r>
    </w:p>
    <w:p>
      <w:pPr>
        <w:spacing w:after="120" w:before="240"/>
      </w:pPr>
      <w:r>
        <w:rPr>
          <w:rFonts w:ascii="Arial" w:cs="Arial" w:eastAsia="Arial" w:hAnsi="Arial"/>
          <w:b/>
          <w:bCs/>
          <w:color w:val="2E5596"/>
          <w:sz w:val="26"/>
          <w:szCs w:val="26"/>
        </w:rPr>
        <w:t xml:space="preserve">6.2 Continuous</w:t>
      </w:r>
    </w:p>
    <w:p>
      <w:pPr>
        <w:spacing w:after="80" w:before="80"/>
      </w:pPr>
      <w:r>
        <w:rPr>
          <w:rFonts w:ascii="Times New Roman" w:cs="Times New Roman" w:eastAsia="Times New Roman" w:hAnsi="Times New Roman"/>
          <w:sz w:val="22"/>
          <w:szCs w:val="22"/>
        </w:rPr>
        <w:t xml:space="preserve">T(t) is a continuous variable, not a binary state. The institutional measure must be capable of detecting gradual trust erosion — not just absence vs presence of trust. Binary measures (trusted / not trusted) are architecturally incompatible with TIL.</w:t>
      </w:r>
    </w:p>
    <w:p>
      <w:pPr>
        <w:spacing w:after="60" w:before="60"/>
      </w:pPr>
      <w:r>
        <w:t xml:space="preserve"/>
      </w:r>
    </w:p>
    <w:p>
      <w:pPr>
        <w:spacing w:after="120" w:before="240"/>
      </w:pPr>
      <w:r>
        <w:rPr>
          <w:rFonts w:ascii="Arial" w:cs="Arial" w:eastAsia="Arial" w:hAnsi="Arial"/>
          <w:b/>
          <w:bCs/>
          <w:color w:val="2E5596"/>
          <w:sz w:val="26"/>
          <w:szCs w:val="26"/>
        </w:rPr>
        <w:t xml:space="preserve">6.3 Node-local</w:t>
      </w:r>
    </w:p>
    <w:p>
      <w:pPr>
        <w:spacing w:after="80" w:before="80"/>
      </w:pPr>
      <w:r>
        <w:rPr>
          <w:rFonts w:ascii="Times New Roman" w:cs="Times New Roman" w:eastAsia="Times New Roman" w:hAnsi="Times New Roman"/>
          <w:sz w:val="22"/>
          <w:szCs w:val="22"/>
        </w:rPr>
        <w:t xml:space="preserve">Trust is tracked per node, not as a system average. The institutional measure must be capable of distinguishing which nodes are in trust decline from which are stable. System-average trust measures mask local collapse — this is the hub-stability masking problem at the measurement level.</w:t>
      </w:r>
    </w:p>
    <w:p>
      <w:pPr>
        <w:spacing w:after="60" w:before="60"/>
      </w:pPr>
      <w:r>
        <w:t xml:space="preserve"/>
      </w:r>
    </w:p>
    <w:p>
      <w:pPr>
        <w:spacing w:after="120" w:before="240"/>
      </w:pPr>
      <w:r>
        <w:rPr>
          <w:rFonts w:ascii="Arial" w:cs="Arial" w:eastAsia="Arial" w:hAnsi="Arial"/>
          <w:b/>
          <w:bCs/>
          <w:color w:val="2E5596"/>
          <w:sz w:val="26"/>
          <w:szCs w:val="26"/>
        </w:rPr>
        <w:t xml:space="preserve">6.4 Directional</w:t>
      </w:r>
    </w:p>
    <w:p>
      <w:pPr>
        <w:spacing w:after="80" w:before="80"/>
      </w:pPr>
      <w:r>
        <w:rPr>
          <w:rFonts w:ascii="Times New Roman" w:cs="Times New Roman" w:eastAsia="Times New Roman" w:hAnsi="Times New Roman"/>
          <w:sz w:val="22"/>
          <w:szCs w:val="22"/>
        </w:rPr>
        <w:t xml:space="preserve">The measure must distinguish trust rising from trust falling. Rate of change dT/dt is as important as level T(t). An institution that can only measure current trust level — not trajectory — cannot distinguish a node in stable low-trust from a node in collapse.</w:t>
      </w:r>
    </w:p>
    <w:p>
      <w:pPr>
        <w:spacing w:after="60" w:before="60"/>
      </w:pPr>
      <w:r>
        <w:t xml:space="preserve"/>
      </w:r>
    </w:p>
    <w:p>
      <w:pPr>
        <w:spacing w:after="120" w:before="240"/>
      </w:pPr>
      <w:r>
        <w:rPr>
          <w:rFonts w:ascii="Arial" w:cs="Arial" w:eastAsia="Arial" w:hAnsi="Arial"/>
          <w:b/>
          <w:bCs/>
          <w:color w:val="2E5596"/>
          <w:sz w:val="26"/>
          <w:szCs w:val="26"/>
        </w:rPr>
        <w:t xml:space="preserve">6.5 Asymmetrically sensitive to decline</w:t>
      </w:r>
    </w:p>
    <w:p>
      <w:pPr>
        <w:spacing w:after="80" w:before="80"/>
      </w:pPr>
      <w:r>
        <w:rPr>
          <w:rFonts w:ascii="Times New Roman" w:cs="Times New Roman" w:eastAsia="Times New Roman" w:hAnsi="Times New Roman"/>
          <w:sz w:val="22"/>
          <w:szCs w:val="22"/>
        </w:rPr>
        <w:t xml:space="preserve">Consistent with Simulation Law 3: the measure must be more sensitive to trust decline than to trust increase. A measure that treats a 10% drop the same as a 10% gain is miscalibrated — collapse dynamics are faster and the monitoring system must reflect this.</w:t>
      </w:r>
    </w:p>
    <w:p>
      <w:pPr>
        <w:spacing w:after="60" w:before="60"/>
      </w:pPr>
      <w:r>
        <w:t xml:space="preserve"/>
      </w:r>
    </w:p>
    <w:p>
      <w:pPr>
        <w:spacing w:after="120" w:before="240"/>
      </w:pPr>
      <w:r>
        <w:rPr>
          <w:rFonts w:ascii="Arial" w:cs="Arial" w:eastAsia="Arial" w:hAnsi="Arial"/>
          <w:b/>
          <w:bCs/>
          <w:color w:val="2E5596"/>
          <w:sz w:val="26"/>
          <w:szCs w:val="26"/>
        </w:rPr>
        <w:t xml:space="preserve">6.6 Network-scoped</w:t>
      </w:r>
    </w:p>
    <w:p>
      <w:pPr>
        <w:spacing w:after="80" w:before="80"/>
      </w:pPr>
      <w:r>
        <w:rPr>
          <w:rFonts w:ascii="Times New Roman" w:cs="Times New Roman" w:eastAsia="Times New Roman" w:hAnsi="Times New Roman"/>
          <w:sz w:val="22"/>
          <w:szCs w:val="22"/>
        </w:rPr>
        <w:t xml:space="preserve">Per the hub-stability masking finding (v15): trust monitoring cannot be hub-scoped. The institutional measure must aggregate across all nodes, with minimum-node weighting available as an option for star-adjacent structures. A central reporting structure that only collects trust signals from the hub node is architecturally unsafe.</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7. Processing Pipeline — v2</w:t>
      </w:r>
    </w:p>
    <w:p>
      <w:pPr>
        <w:spacing w:after="80" w:before="80"/>
      </w:pPr>
      <w:r>
        <w:rPr>
          <w:rFonts w:ascii="Times New Roman" w:cs="Times New Roman" w:eastAsia="Times New Roman" w:hAnsi="Times New Roman"/>
          <w:sz w:val="22"/>
          <w:szCs w:val="22"/>
        </w:rPr>
        <w:t xml:space="preserve">TIL sits at the center of the processing pipeline. The sequence 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Step 0: Topology detection → ceiling set selection (C03)</w:t>
            </w:r>
          </w:p>
          <w:p>
            <w:r>
              <w:rPr>
                <w:rFonts w:ascii="Courier New" w:cs="Courier New" w:eastAsia="Courier New" w:hAnsi="Courier New"/>
                <w:sz w:val="20"/>
                <w:szCs w:val="20"/>
              </w:rPr>
              <w:t xml:space="preserve">Step 1: D_raw(t) enters C03 → D_effective(t) exits C03</w:t>
            </w:r>
          </w:p>
          <w:p>
            <w:r>
              <w:rPr>
                <w:rFonts w:ascii="Courier New" w:cs="Courier New" w:eastAsia="Courier New" w:hAnsi="Courier New"/>
                <w:sz w:val="20"/>
                <w:szCs w:val="20"/>
              </w:rPr>
              <w:t xml:space="preserve">Step 2: I(t) updated by C05 (slow-moving — not every step)</w:t>
            </w:r>
          </w:p>
          <w:p>
            <w:r>
              <w:rPr>
                <w:rFonts w:ascii="Courier New" w:cs="Courier New" w:eastAsia="Courier New" w:hAnsi="Courier New"/>
                <w:sz w:val="20"/>
                <w:szCs w:val="20"/>
              </w:rPr>
              <w:t xml:space="preserve">Step 3: C(t) updated by TIL internal dynamics</w:t>
            </w:r>
          </w:p>
          <w:p>
            <w:r>
              <w:rPr>
                <w:rFonts w:ascii="Courier New" w:cs="Courier New" w:eastAsia="Courier New" w:hAnsi="Courier New"/>
                <w:sz w:val="20"/>
                <w:szCs w:val="20"/>
              </w:rPr>
              <w:t xml:space="preserve">Step 4: R(T,t) computed by C02 based on current T_i</w:t>
            </w:r>
          </w:p>
          <w:p>
            <w:r>
              <w:rPr>
                <w:rFonts w:ascii="Courier New" w:cs="Courier New" w:eastAsia="Courier New" w:hAnsi="Courier New"/>
                <w:sz w:val="20"/>
                <w:szCs w:val="20"/>
              </w:rPr>
              <w:t xml:space="preserve">Step 5: TIL integrates: dT_i/dt = -a·D_eff + b·I_i - c·C_i + R(T_i,t)</w:t>
            </w:r>
          </w:p>
          <w:p>
            <w:r>
              <w:rPr>
                <w:rFonts w:ascii="Courier New" w:cs="Courier New" w:eastAsia="Courier New" w:hAnsi="Courier New"/>
                <w:sz w:val="20"/>
                <w:szCs w:val="20"/>
              </w:rPr>
              <w:t xml:space="preserve">Step 6: T_i(t+1) = clip(T_i + dT_i/dt, T_floor, T_ceiling)</w:t>
            </w:r>
          </w:p>
          <w:p>
            <w:r>
              <w:rPr>
                <w:rFonts w:ascii="Courier New" w:cs="Courier New" w:eastAsia="Courier New" w:hAnsi="Courier New"/>
                <w:sz w:val="20"/>
                <w:szCs w:val="20"/>
              </w:rPr>
              <w:t xml:space="preserve">Step 7: S_i(t) = g(T_i(t)) → read by C04 for lock state</w:t>
            </w:r>
          </w:p>
          <w:p>
            <w:r>
              <w:rPr>
                <w:rFonts w:ascii="Courier New" w:cs="Courier New" w:eastAsia="Courier New" w:hAnsi="Courier New"/>
                <w:sz w:val="20"/>
                <w:szCs w:val="20"/>
              </w:rPr>
              <w:t xml:space="preserve">Step 8: G(t) updated by C06 based on T (network aggregate)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Steps 2 and 8 update on slower timescales than Steps 1 and 5.</w:t>
            </w:r>
          </w:p>
          <w:p>
            <w:r>
              <w:rPr>
                <w:rFonts w:ascii="Courier New" w:cs="Courier New" w:eastAsia="Courier New" w:hAnsi="Courier New"/>
                <w:sz w:val="20"/>
                <w:szCs w:val="20"/>
              </w:rPr>
              <w:t xml:space="preserve">All steps are asynchronous across nodes.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8. TIL-Specific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TIL-A: Measurement masking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proxy captures hub-level trust only. Node-level collapse invisible. System appears stable while network degrades.</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 v15. Requires node-local measurement.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TIL-B: Proxy drift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institutional trust proxy diverges from actual T(t) over time — measuring something correlated with trust but not trust itself. Produces false readings.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not yet tested. Requires periodic proxy validation.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TIL-C: C(t) masking T decline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cognitive distortion causes nodes to report high trust while behaviorally exhibiting low-trust patterns. Proxy captures reported trust, not actual trust.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requires behavioral vs self-report distinction in proxy design.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TIL-D: Recovery signal lag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R(T,t) input from C02 reaches different nodes at different times under async updates. Some nodes begin recovering while others continue declining.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 — inherent in async architecture. Monitoring must account for this.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9.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The following items are open for future specification. None block v2 framing — they are deferred to implementation layer or future simulation rounds.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Open Item</w:t>
            </w:r>
          </w:p>
        </w:tc>
        <w:tc>
          <w:tcPr>
            <w:tcW w:type="dxa" w:w="4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Detail</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Parameters a, b, 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dynamics rates. Must satisfy: collapse faster than recovery under high D. Calibration requires simulation sweep with institutional proxy values.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T_floor value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Minimum trust floor. Must be &gt; 0 but low enough that near-zero trust reflects functional collapse. Not yet quantified.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Institutional trust proxy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observable measure tracks T(t) in a real deployment? Must satisfy all six properties in Section 6. Not yet 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blocks deployment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C(t) parameters e, f, 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Cognitive distortion dynamics. M(t) and E(t) institutional sources not yet identified.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T_i aggregation method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How are node-level T_i values aggregated for network-level readings by C04 and C06? Minimum, weighted average, or other?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needed for C04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 identity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entities are nodes? Individuals, institutions, geographic units, roles? Deliberately unspecified at v2. Implementation layer decides.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DEFERRED</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C01: Trust Integrity Layer</w:t>
      </w:r>
    </w:p>
    <w:p>
      <w:pPr>
        <w:jc w:val="center"/>
      </w:pPr>
      <w:r>
        <w:rPr>
          <w:rFonts w:ascii="Arial" w:cs="Arial" w:eastAsia="Arial" w:hAnsi="Arial"/>
          <w:b/>
          <w:bCs/>
          <w:color w:val="1F3864"/>
          <w:sz w:val="18"/>
          <w:szCs w:val="18"/>
        </w:rPr>
        <w:t xml:space="preserve">v2.0 · 2026-05-01 · Async update locked · Node identity deferred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2026-05-01T17:53:30.633Z</dcterms:created>
  <dcterms:modified xsi:type="dcterms:W3CDTF">2026-05-01T17:53:30.635Z</dcterms:modified>
</cp:coreProperties>
</file>

<file path=docProps/custom.xml><?xml version="1.0" encoding="utf-8"?>
<Properties xmlns="http://schemas.openxmlformats.org/officeDocument/2006/custom-properties" xmlns:vt="http://schemas.openxmlformats.org/officeDocument/2006/docPropsVTypes"/>
</file>