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80" w:before="480"/>
        <w:jc w:val="center"/>
      </w:pPr>
      <w:r>
        <w:rPr>
          <w:rFonts w:ascii="Arial" w:cs="Arial" w:eastAsia="Arial" w:hAnsi="Arial"/>
          <w:b/>
          <w:bCs/>
          <w:color w:val="1F3864"/>
          <w:sz w:val="40"/>
          <w:szCs w:val="40"/>
        </w:rPr>
        <w:t xml:space="preserve">SYSTEM OF ETERNITY</w:t>
      </w:r>
    </w:p>
    <w:p>
      <w:pPr>
        <w:spacing w:after="80" w:before="0"/>
        <w:jc w:val="center"/>
      </w:pPr>
      <w:r>
        <w:rPr>
          <w:rFonts w:ascii="Arial" w:cs="Arial" w:eastAsia="Arial" w:hAnsi="Arial"/>
          <w:color w:val="2E5596"/>
          <w:sz w:val="28"/>
          <w:szCs w:val="28"/>
        </w:rPr>
        <w:t xml:space="preserve">Architecture Design v1</w:t>
      </w:r>
    </w:p>
    <w:p>
      <w:pPr>
        <w:spacing w:after="160" w:before="0"/>
        <w:jc w:val="center"/>
      </w:pPr>
      <w:r>
        <w:rPr>
          <w:rFonts w:ascii="Arial" w:cs="Arial" w:eastAsia="Arial" w:hAnsi="Arial"/>
          <w:b/>
          <w:bCs/>
          <w:color w:val="4A6FA5"/>
          <w:sz w:val="26"/>
          <w:szCs w:val="26"/>
        </w:rPr>
        <w:t xml:space="preserve">Component 06  ·  Governance Module</w:t>
      </w:r>
    </w:p>
    <w:p>
      <w:pPr>
        <w:spacing w:after="240" w:before="0"/>
        <w:jc w:val="center"/>
      </w:pPr>
      <w:r>
        <w:rPr>
          <w:rFonts w:ascii="Arial" w:cs="Arial" w:eastAsia="Arial" w:hAnsi="Arial"/>
          <w:b/>
          <w:bCs/>
          <w:color w:val="C00000"/>
          <w:sz w:val="24"/>
          <w:szCs w:val="24"/>
        </w:rPr>
        <w:t xml:space="preserve">[ BRACKETED — PENDING VALIDATION ]</w:t>
      </w:r>
    </w:p>
    <w:p>
      <w:pPr>
        <w:pBdr>
          <w:bottom w:val="single" w:color="2E5596" w:sz="4"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Status</w:t>
            </w:r>
          </w:p>
        </w:tc>
        <w:tc>
          <w:tcPr>
            <w:tcW w:type="dxa" w:w="6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BRACKETED — Not lockable until governance null result resolved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Source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SOE v4.1 Ch. 2 (G(t) reference) · Ch. 4 (Governance Architecture) · Simulation Log v12 (Governance Null Addendum)</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Version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v1.0  ·  2026-04-25</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Depends 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Trust Integrity Layer (governance effectiveness gated by T) · Meta Governance (constraint layer)</w:t>
            </w:r>
          </w:p>
        </w:tc>
      </w:tr>
      <w:tr>
        <w:tc>
          <w:tcPr>
            <w:tcW w:type="dxa" w:w="3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Required By</w:t>
            </w:r>
          </w:p>
        </w:tc>
        <w:tc>
          <w:tcPr>
            <w:tcW w:type="dxa" w:w="6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Recovery Engine (R_gov = k_g · G(t)) — dependency declared but unvalidated</w:t>
            </w:r>
          </w:p>
        </w:tc>
      </w:tr>
      <w:tr>
        <w:tc>
          <w:tcPr>
            <w:tcW w:type="dxa" w:w="3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Block Reason</w:t>
            </w:r>
          </w:p>
        </w:tc>
        <w:tc>
          <w:tcPr>
            <w:tcW w:type="dxa" w:w="6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Governance null result: +40% governance_capacity produced +0.002 effect on cooperation. Model validity question — governance may not be correctly wired into dynamic system.</w:t>
            </w:r>
          </w:p>
        </w:tc>
      </w:tr>
      <w:tr>
        <w:tc>
          <w:tcPr>
            <w:tcW w:type="dxa" w:w="3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Unblock Condition</w:t>
            </w:r>
          </w:p>
        </w:tc>
        <w:tc>
          <w:tcPr>
            <w:tcW w:type="dxa" w:w="6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Governance bracket diagnostic test must be executed and resolved before this spec can be locked.</w:t>
            </w:r>
          </w:p>
        </w:tc>
      </w:tr>
    </w:tbl>
    <w:p>
      <w:pPr>
        <w:spacing w:after="60" w:before="60"/>
      </w:pPr>
      <w:r>
        <w:t xml:space="preserve"/>
      </w:r>
    </w:p>
    <w:p>
      <w:pPr>
        <w:pBdr>
          <w:bottom w:val="single" w:color="2E5596" w:sz="4"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b/>
                <w:bCs/>
                <w:color w:val="2E5596"/>
                <w:sz w:val="20"/>
                <w:szCs w:val="20"/>
              </w:rPr>
              <w:t xml:space="preserve">BRACKETED SPEC</w:t>
            </w:r>
          </w:p>
        </w:tc>
        <w:tc>
          <w:tcPr>
            <w:tcW w:type="dxa" w:w="792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This document contains a partial specification of the Governance Module. Sections marked [VALIDATED] are sourced from confirmed simulation or canonical V4.1 content. Sections marked [PROPOSED] are structurally reasonable but depend on the unresolved governance null result. Sections marked [OPEN] are unresolved questions. No section of this document should be treated as locked until the governance diagnostic test is complete.</w:t>
            </w:r>
          </w:p>
        </w:tc>
      </w:tr>
    </w:tbl>
    <w:p>
      <w:pPr>
        <w:spacing w:after="60" w:before="60"/>
      </w:pPr>
      <w:r>
        <w:t xml:space="preserve"/>
      </w:r>
    </w:p>
    <w:p>
      <w:pPr>
        <w:pStyle w:val="Heading1"/>
        <w:spacing w:after="160" w:before="360"/>
      </w:pPr>
      <w:r>
        <w:rPr>
          <w:rFonts w:ascii="Arial" w:cs="Arial" w:eastAsia="Arial" w:hAnsi="Arial"/>
          <w:b/>
          <w:bCs/>
          <w:color w:val="1F3864"/>
          <w:sz w:val="32"/>
          <w:szCs w:val="32"/>
        </w:rPr>
        <w:t xml:space="preserve">1.  The Governance Null Result — Primary Blocker</w:t>
      </w:r>
    </w:p>
    <w:p>
      <w:pPr>
        <w:spacing w:after="80" w:before="80"/>
      </w:pPr>
      <w:r>
        <w:rPr>
          <w:rFonts w:ascii="Times New Roman" w:cs="Times New Roman" w:eastAsia="Times New Roman" w:hAnsi="Times New Roman"/>
          <w:sz w:val="22"/>
          <w:szCs w:val="22"/>
        </w:rPr>
        <w:t xml:space="preserve">From Simulation Log v12, Governance Null Addendum: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Experiment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governance_capacity = 0.50 → 0.70 (+40%)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Stable / 20</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0 / 20 in both conditions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Avg Cooperation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0.732 → 0.734 (+0.002)</w:t>
            </w:r>
          </w:p>
        </w:tc>
      </w:tr>
      <w:tr>
        <w:tc>
          <w:tcPr>
            <w:tcW w:type="dxa" w:w="3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Delta vs Prior</w:t>
            </w:r>
          </w:p>
        </w:tc>
        <w:tc>
          <w:tcPr>
            <w:tcW w:type="dxa" w:w="6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+0.002 — near-zero effect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2E5596"/>
                <w:sz w:val="20"/>
                <w:szCs w:val="20"/>
              </w:rPr>
              <w:t xml:space="preserve">CRITICAL</w:t>
            </w:r>
          </w:p>
        </w:tc>
        <w:tc>
          <w:tcPr>
            <w:tcW w:type="dxa" w:w="792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This is a model validity question, not a precision limitation. The question is whether governance is correctly wired into the dynamic system — not whether the effect is small. A +40% increase in the primary governance parameter producing +0.002 effect suggests governance capacity may not be connected to the relevant pathways in the current model.</w:t>
            </w:r>
          </w:p>
        </w:tc>
      </w:tr>
    </w:tbl>
    <w:p>
      <w:pPr>
        <w:spacing w:after="60" w:before="60"/>
      </w:pPr>
      <w:r>
        <w:t xml:space="preserve"/>
      </w:r>
    </w:p>
    <w:p>
      <w:pPr>
        <w:spacing w:after="80" w:before="80"/>
      </w:pPr>
      <w:r>
        <w:rPr>
          <w:rFonts w:ascii="Times New Roman" w:cs="Times New Roman" w:eastAsia="Times New Roman" w:hAnsi="Times New Roman"/>
          <w:sz w:val="22"/>
          <w:szCs w:val="22"/>
        </w:rPr>
        <w:t xml:space="preserve">The Simulation Log identifies three possible interpretations, each with a different architectural implication: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2E5596"/>
                <w:sz w:val="20"/>
                <w:szCs w:val="20"/>
              </w:rPr>
              <w:t xml:space="preserve">Result Pattern</w:t>
            </w:r>
          </w:p>
        </w:tc>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2E5596"/>
                <w:sz w:val="20"/>
                <w:szCs w:val="20"/>
              </w:rPr>
              <w:t xml:space="preserve">Interpretation</w:t>
            </w:r>
          </w:p>
        </w:tc>
        <w:tc>
          <w:tcPr>
            <w:tcW w:type="dxa" w:w="41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2E5596"/>
                <w:sz w:val="20"/>
                <w:szCs w:val="20"/>
              </w:rPr>
              <w:t xml:space="preserve">Architectural Implication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Flat across all values (current finding)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Model wiring issue — governance not connected to relevant pathways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G(t) → R_gov pathway is broken or absent. Architecture must establish connection before G(t) can function.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Effect only at extremes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Nonlinear threshold interaction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G(t) effect exists but is threshold-gated. Architecture must map the threshold, not assume linear contribution.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Gradual monotonic effect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Weak but real — governance contributes but not dominant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R_gov = k_g · G(t) is valid but k_g is very small. Document and close — governance is a minor recovery channel.</w:t>
            </w:r>
          </w:p>
        </w:tc>
      </w:tr>
    </w:tbl>
    <w:p>
      <w:pPr>
        <w:spacing w:after="60" w:before="60"/>
      </w:pPr>
      <w:r>
        <w:t xml:space="preserve"/>
      </w:r>
    </w:p>
    <w:p>
      <w:pPr>
        <w:spacing w:after="80" w:before="80"/>
      </w:pPr>
      <w:r>
        <w:rPr>
          <w:rFonts w:ascii="Times New Roman" w:cs="Times New Roman" w:eastAsia="Times New Roman" w:hAnsi="Times New Roman"/>
          <w:sz w:val="22"/>
          <w:szCs w:val="22"/>
        </w:rPr>
        <w:t xml:space="preserve">The diagnostic test required: rerun governance_capacity at 0.30 / 0.50 / 0.70 / 0.90 on the v2 locked baseline. This test has not been executed as of the date of this document. Until it is, any architectural claim about governance's dynamic contribution is operating on an untested assumption.</w:t>
      </w:r>
    </w:p>
    <w:p>
      <w:pPr>
        <w:spacing w:after="60" w:before="60"/>
      </w:pPr>
      <w:r>
        <w:t xml:space="preserve"/>
      </w:r>
    </w:p>
    <w:p>
      <w:pPr>
        <w:pStyle w:val="Heading1"/>
        <w:spacing w:after="160" w:before="360"/>
      </w:pPr>
      <w:r>
        <w:rPr>
          <w:rFonts w:ascii="Arial" w:cs="Arial" w:eastAsia="Arial" w:hAnsi="Arial"/>
          <w:b/>
          <w:bCs/>
          <w:color w:val="1F3864"/>
          <w:sz w:val="32"/>
          <w:szCs w:val="32"/>
        </w:rPr>
        <w:t xml:space="preserve">2.  What Is Validated [VALIDATED]</w:t>
      </w:r>
    </w:p>
    <w:p>
      <w:pPr>
        <w:spacing w:after="80" w:before="80"/>
      </w:pPr>
      <w:r>
        <w:rPr>
          <w:rFonts w:ascii="Times New Roman" w:cs="Times New Roman" w:eastAsia="Times New Roman" w:hAnsi="Times New Roman"/>
          <w:sz w:val="22"/>
          <w:szCs w:val="22"/>
        </w:rPr>
        <w:t xml:space="preserve">The following governance-related elements are confirmed and can be included in the architecture regardless of the null result:</w:t>
      </w:r>
    </w:p>
    <w:p>
      <w:pPr>
        <w:spacing w:after="60" w:before="60"/>
      </w:pPr>
      <w:r>
        <w:t xml:space="preserve"/>
      </w:r>
    </w:p>
    <w:p>
      <w:pPr>
        <w:pStyle w:val="Heading2"/>
        <w:spacing w:after="120" w:before="280"/>
      </w:pPr>
      <w:r>
        <w:rPr>
          <w:rFonts w:ascii="Arial" w:cs="Arial" w:eastAsia="Arial" w:hAnsi="Arial"/>
          <w:b/>
          <w:bCs/>
          <w:color w:val="2E5596"/>
          <w:sz w:val="26"/>
          <w:szCs w:val="26"/>
        </w:rPr>
        <w:t xml:space="preserve">2.1  Meta Governance Layer — Fully Validated</w:t>
      </w:r>
    </w:p>
    <w:p>
      <w:pPr>
        <w:spacing w:after="80" w:before="80"/>
      </w:pPr>
      <w:r>
        <w:rPr>
          <w:rFonts w:ascii="Times New Roman" w:cs="Times New Roman" w:eastAsia="Times New Roman" w:hAnsi="Times New Roman"/>
          <w:sz w:val="22"/>
          <w:szCs w:val="22"/>
        </w:rPr>
        <w:t xml:space="preserve">The Meta Governance Layer (Component embedded in Ch. 3) is distinct from the Governance Module. Meta Governance constrains the governance system itself — it does not participate in day-to-day governance or produce G(t). Meta Governance is validated and locked across the full architecture. Its triggers, rules, and authority constraints are unaffected by the governance null result.</w:t>
      </w:r>
    </w:p>
    <w:p>
      <w:pPr>
        <w:spacing w:after="60" w:before="60"/>
      </w:pPr>
      <w:r>
        <w:t xml:space="preserve"/>
      </w:r>
    </w:p>
    <w:p>
      <w:pPr>
        <w:pStyle w:val="Heading2"/>
        <w:spacing w:after="120" w:before="280"/>
      </w:pPr>
      <w:r>
        <w:rPr>
          <w:rFonts w:ascii="Arial" w:cs="Arial" w:eastAsia="Arial" w:hAnsi="Arial"/>
          <w:b/>
          <w:bCs/>
          <w:color w:val="2E5596"/>
          <w:sz w:val="26"/>
          <w:szCs w:val="26"/>
        </w:rPr>
        <w:t xml:space="preserve">2.2  Governance as Institutional Architecture — Validated</w:t>
      </w:r>
    </w:p>
    <w:p>
      <w:pPr>
        <w:spacing w:after="80" w:before="80"/>
      </w:pPr>
      <w:r>
        <w:rPr>
          <w:rFonts w:ascii="Times New Roman" w:cs="Times New Roman" w:eastAsia="Times New Roman" w:hAnsi="Times New Roman"/>
          <w:sz w:val="22"/>
          <w:szCs w:val="22"/>
        </w:rPr>
        <w:t xml:space="preserve">SOE v4.1, Chapter 4 defines a multi-layer governance architecture with four participant types: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2E5596"/>
                <w:sz w:val="20"/>
                <w:szCs w:val="20"/>
              </w:rPr>
              <w:t xml:space="preserve">Layer</w:t>
            </w:r>
          </w:p>
        </w:tc>
        <w:tc>
          <w:tcPr>
            <w:tcW w:type="dxa" w:w="63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2E5596"/>
                <w:sz w:val="20"/>
                <w:szCs w:val="20"/>
              </w:rPr>
              <w:t xml:space="preserve">Function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Citizen Layer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Democratic legitimacy, social value expression, sortition panels, voluntary participation.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Expert System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Professional decision quality, policy analysis, technical explanation.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Institutional Bodies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Policy implementation, legal framework maintenance, structural stability.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AI Systems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Data analysis, risk assessment, policy simulation, system monitoring. Decision support only — not replacement of human decision-making.</w:t>
            </w:r>
          </w:p>
        </w:tc>
      </w:tr>
    </w:tbl>
    <w:p>
      <w:pPr>
        <w:spacing w:after="60" w:before="60"/>
      </w:pPr>
      <w:r>
        <w:t xml:space="preserve"/>
      </w:r>
    </w:p>
    <w:p>
      <w:pPr>
        <w:spacing w:after="80" w:before="80"/>
      </w:pPr>
      <w:r>
        <w:rPr>
          <w:rFonts w:ascii="Times New Roman" w:cs="Times New Roman" w:eastAsia="Times New Roman" w:hAnsi="Times New Roman"/>
          <w:sz w:val="22"/>
          <w:szCs w:val="22"/>
        </w:rPr>
        <w:t xml:space="preserve">This architecture is canonical and validated. It defines how governance decisions are made institutionally. What is not validated is how this institutional layer translates into a dynamic variable G(t) that feeds into the recovery equation.</w:t>
      </w:r>
    </w:p>
    <w:p>
      <w:pPr>
        <w:spacing w:after="60" w:before="60"/>
      </w:pPr>
      <w:r>
        <w:t xml:space="preserve"/>
      </w:r>
    </w:p>
    <w:p>
      <w:pPr>
        <w:pStyle w:val="Heading2"/>
        <w:spacing w:after="120" w:before="280"/>
      </w:pPr>
      <w:r>
        <w:rPr>
          <w:rFonts w:ascii="Arial" w:cs="Arial" w:eastAsia="Arial" w:hAnsi="Arial"/>
          <w:b/>
          <w:bCs/>
          <w:color w:val="2E5596"/>
          <w:sz w:val="26"/>
          <w:szCs w:val="26"/>
        </w:rPr>
        <w:t xml:space="preserve">2.3  Emergency Governance Conditions — Validated</w:t>
      </w:r>
    </w:p>
    <w:p>
      <w:pPr>
        <w:spacing w:after="80" w:before="80"/>
      </w:pPr>
      <w:r>
        <w:rPr>
          <w:rFonts w:ascii="Times New Roman" w:cs="Times New Roman" w:eastAsia="Times New Roman" w:hAnsi="Times New Roman"/>
          <w:sz w:val="22"/>
          <w:szCs w:val="22"/>
        </w:rPr>
        <w:t xml:space="preserve">Emergency governance activation requires (SOE v4.1, Ch. 4, Section 4.7):</w:t>
      </w:r>
    </w:p>
    <w:p>
      <w:pPr>
        <w:spacing w:after="60" w:before="60"/>
      </w:pPr>
      <w:r>
        <w:t xml:space="preserve"/>
      </w:r>
    </w:p>
    <w:p>
      <w:pPr>
        <w:pStyle w:val="ListParagraph"/>
        <w:numPr>
          <w:ilvl w:val="0"/>
          <w:numId w:val="2"/>
        </w:numPr>
        <w:spacing w:after="40" w:before="40"/>
      </w:pPr>
      <w:r>
        <w:rPr>
          <w:rFonts w:ascii="Times New Roman" w:cs="Times New Roman" w:eastAsia="Times New Roman" w:hAnsi="Times New Roman"/>
          <w:sz w:val="22"/>
          <w:szCs w:val="22"/>
        </w:rPr>
        <w:t xml:space="preserve">Clear time limitations on emergency powers.</w:t>
      </w:r>
    </w:p>
    <w:p>
      <w:pPr>
        <w:pStyle w:val="ListParagraph"/>
        <w:numPr>
          <w:ilvl w:val="0"/>
          <w:numId w:val="2"/>
        </w:numPr>
        <w:spacing w:after="40" w:before="40"/>
      </w:pPr>
      <w:r>
        <w:rPr>
          <w:rFonts w:ascii="Times New Roman" w:cs="Times New Roman" w:eastAsia="Times New Roman" w:hAnsi="Times New Roman"/>
          <w:sz w:val="22"/>
          <w:szCs w:val="22"/>
        </w:rPr>
        <w:t xml:space="preserve">Institutional review and oversight during activation.</w:t>
      </w:r>
    </w:p>
    <w:p>
      <w:pPr>
        <w:pStyle w:val="ListParagraph"/>
        <w:numPr>
          <w:ilvl w:val="0"/>
          <w:numId w:val="2"/>
        </w:numPr>
        <w:spacing w:after="40" w:before="40"/>
      </w:pPr>
      <w:r>
        <w:rPr>
          <w:rFonts w:ascii="Times New Roman" w:cs="Times New Roman" w:eastAsia="Times New Roman" w:hAnsi="Times New Roman"/>
          <w:sz w:val="22"/>
          <w:szCs w:val="22"/>
        </w:rPr>
        <w:t xml:space="preserve">Mandatory restoration of normal governance structures after crisis.</w:t>
      </w:r>
    </w:p>
    <w:p>
      <w:pPr>
        <w:spacing w:after="60" w:before="60"/>
      </w:pPr>
      <w:r>
        <w:t xml:space="preserve"/>
      </w:r>
    </w:p>
    <w:p>
      <w:pPr>
        <w:spacing w:after="80" w:before="80"/>
      </w:pPr>
      <w:r>
        <w:rPr>
          <w:rFonts w:ascii="Times New Roman" w:cs="Times New Roman" w:eastAsia="Times New Roman" w:hAnsi="Times New Roman"/>
          <w:sz w:val="22"/>
          <w:szCs w:val="22"/>
        </w:rPr>
        <w:t xml:space="preserve">This maps to the Hero mechanism (Section 6.7, SOE v4.1) at the dynamic level — temporary structural transition under extreme conditions, not a permanent governance shift.</w:t>
      </w:r>
    </w:p>
    <w:p>
      <w:pPr>
        <w:spacing w:after="60" w:before="60"/>
      </w:pPr>
      <w:r>
        <w:t xml:space="preserve"/>
      </w:r>
    </w:p>
    <w:p>
      <w:pPr>
        <w:pStyle w:val="Heading2"/>
        <w:spacing w:after="120" w:before="280"/>
      </w:pPr>
      <w:r>
        <w:rPr>
          <w:rFonts w:ascii="Arial" w:cs="Arial" w:eastAsia="Arial" w:hAnsi="Arial"/>
          <w:b/>
          <w:bCs/>
          <w:color w:val="2E5596"/>
          <w:sz w:val="26"/>
          <w:szCs w:val="26"/>
        </w:rPr>
        <w:t xml:space="preserve">2.4  Governance–Trust Dependency — Structurally Confirmed</w:t>
      </w:r>
    </w:p>
    <w:p>
      <w:pPr>
        <w:spacing w:after="80" w:before="80"/>
      </w:pPr>
      <w:r>
        <w:rPr>
          <w:rFonts w:ascii="Times New Roman" w:cs="Times New Roman" w:eastAsia="Times New Roman" w:hAnsi="Times New Roman"/>
          <w:sz w:val="22"/>
          <w:szCs w:val="22"/>
        </w:rPr>
        <w:t xml:space="preserve">One directional relationship is confirmed across the full simulation record: governance effectiveness is gated by trust. When T is critically low, governance cannot function effectively regardless of governance_capacity. This is consistent with the early-phase simulation finding:</w:t>
      </w:r>
    </w:p>
    <w:p>
      <w:pPr>
        <w:spacing w:after="60" w:before="60"/>
      </w:pPr>
      <w:r>
        <w:t xml:space="preserve"/>
      </w:r>
    </w:p>
    <w:p>
      <w:pPr>
        <w:pStyle w:val="ListParagraph"/>
        <w:numPr>
          <w:ilvl w:val="0"/>
          <w:numId w:val="2"/>
        </w:numPr>
        <w:spacing w:after="40" w:before="40"/>
      </w:pPr>
      <w:r>
        <w:rPr>
          <w:rFonts w:ascii="Times New Roman" w:cs="Times New Roman" w:eastAsia="Times New Roman" w:hAnsi="Times New Roman"/>
          <w:sz w:val="22"/>
          <w:szCs w:val="22"/>
        </w:rPr>
        <w:t xml:space="preserve">Governance-only improvement (governance_capacity 0.50 → 0.70) produced marginal effect before the lock mechanism was introduced.</w:t>
      </w:r>
    </w:p>
    <w:p>
      <w:pPr>
        <w:pStyle w:val="ListParagraph"/>
        <w:numPr>
          <w:ilvl w:val="0"/>
          <w:numId w:val="2"/>
        </w:numPr>
        <w:spacing w:after="40" w:before="40"/>
      </w:pPr>
      <w:r>
        <w:rPr>
          <w:rFonts w:ascii="Times New Roman" w:cs="Times New Roman" w:eastAsia="Times New Roman" w:hAnsi="Times New Roman"/>
          <w:sz w:val="22"/>
          <w:szCs w:val="22"/>
        </w:rPr>
        <w:t xml:space="preserve">Governance improvement after structural weight and disturbance improvements were applied produced stronger results.</w:t>
      </w:r>
    </w:p>
    <w:p>
      <w:pPr>
        <w:spacing w:after="60" w:before="60"/>
      </w:pPr>
      <w:r>
        <w:t xml:space="preserve"/>
      </w:r>
    </w:p>
    <w:p>
      <w:pPr>
        <w:spacing w:after="80" w:before="80"/>
      </w:pPr>
      <w:r>
        <w:rPr>
          <w:rFonts w:ascii="Times New Roman" w:cs="Times New Roman" w:eastAsia="Times New Roman" w:hAnsi="Times New Roman"/>
          <w:sz w:val="22"/>
          <w:szCs w:val="22"/>
        </w:rPr>
        <w:t xml:space="preserve">Conclusion: governance is T-conditional. G(t) cannot contribute meaningfully when T &lt; T_critical. This is consistent with the Recovery Engine's R_gov = k_g · G(t) term — if G(t) is effectively zero when T is low, R_gov ≈ 0 in collapse conditions. The governance-trust deadlock is structurally confirmed even if its precise dynamics are unresolved.</w:t>
      </w:r>
    </w:p>
    <w:p>
      <w:pPr>
        <w:spacing w:after="60" w:before="60"/>
      </w:pPr>
      <w:r>
        <w:t xml:space="preserve"/>
      </w:r>
    </w:p>
    <w:p>
      <w:pPr>
        <w:pStyle w:val="Heading1"/>
        <w:spacing w:after="160" w:before="360"/>
      </w:pPr>
      <w:r>
        <w:rPr>
          <w:rFonts w:ascii="Arial" w:cs="Arial" w:eastAsia="Arial" w:hAnsi="Arial"/>
          <w:b/>
          <w:bCs/>
          <w:color w:val="1F3864"/>
          <w:sz w:val="32"/>
          <w:szCs w:val="32"/>
        </w:rPr>
        <w:t xml:space="preserve">3.  Proposed Specification [PROPOSED — Pending Diagnostic]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2E5596"/>
                <w:sz w:val="20"/>
                <w:szCs w:val="20"/>
              </w:rPr>
              <w:t xml:space="preserve">WARNING</w:t>
            </w:r>
          </w:p>
        </w:tc>
        <w:tc>
          <w:tcPr>
            <w:tcW w:type="dxa" w:w="792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The following section is a structural proposal, not a validated spec. It is the most consistent interpretation given available evidence. It must be treated as a hypothesis for the AI review team to attack, not a confirmed architecture.</w:t>
            </w:r>
          </w:p>
        </w:tc>
      </w:tr>
    </w:tbl>
    <w:p>
      <w:pPr>
        <w:spacing w:after="60" w:before="60"/>
      </w:pPr>
      <w:r>
        <w:t xml:space="preserve"/>
      </w:r>
    </w:p>
    <w:p>
      <w:pPr>
        <w:pStyle w:val="Heading2"/>
        <w:spacing w:after="120" w:before="280"/>
      </w:pPr>
      <w:r>
        <w:rPr>
          <w:rFonts w:ascii="Arial" w:cs="Arial" w:eastAsia="Arial" w:hAnsi="Arial"/>
          <w:b/>
          <w:bCs/>
          <w:color w:val="2E5596"/>
          <w:sz w:val="26"/>
          <w:szCs w:val="26"/>
        </w:rPr>
        <w:t xml:space="preserve">3.1  G(t) as Governance Capacity Variable</w:t>
      </w:r>
    </w:p>
    <w:p>
      <w:pPr>
        <w:spacing w:after="80" w:before="80"/>
      </w:pPr>
      <w:r>
        <w:rPr>
          <w:rFonts w:ascii="Times New Roman" w:cs="Times New Roman" w:eastAsia="Times New Roman" w:hAnsi="Times New Roman"/>
          <w:sz w:val="22"/>
          <w:szCs w:val="22"/>
        </w:rPr>
        <w:t xml:space="preserve">Proposed definition: G(t) is a bounded governance capacity variable representing the effective intervention capability of the governance layer at time t.</w:t>
      </w:r>
    </w:p>
    <w:p>
      <w:pPr>
        <w:spacing w:after="60" w:before="60"/>
      </w:pPr>
      <w:r>
        <w:t xml:space="preserve"/>
      </w:r>
    </w:p>
    <w:p>
      <w:pPr>
        <w:spacing w:after="60" w:before="60"/>
        <w:ind w:left="720"/>
      </w:pPr>
      <w:r>
        <w:rPr>
          <w:rFonts w:ascii="Courier New" w:cs="Courier New" w:eastAsia="Courier New" w:hAnsi="Courier New"/>
          <w:color w:val="1F3864"/>
          <w:sz w:val="20"/>
          <w:szCs w:val="20"/>
        </w:rPr>
        <w:t xml:space="preserve">G(t) ∈ [0, 1]</w:t>
      </w:r>
    </w:p>
    <w:p>
      <w:pPr>
        <w:spacing w:after="60" w:before="60"/>
      </w:pPr>
      <w:r>
        <w:t xml:space="preserve"/>
      </w:r>
    </w:p>
    <w:p>
      <w:pPr>
        <w:pStyle w:val="ListParagraph"/>
        <w:numPr>
          <w:ilvl w:val="0"/>
          <w:numId w:val="2"/>
        </w:numPr>
        <w:spacing w:after="40" w:before="40"/>
      </w:pPr>
      <w:r>
        <w:rPr>
          <w:rFonts w:ascii="Times New Roman" w:cs="Times New Roman" w:eastAsia="Times New Roman" w:hAnsi="Times New Roman"/>
          <w:sz w:val="22"/>
          <w:szCs w:val="22"/>
        </w:rPr>
        <w:t xml:space="preserve">G(t) = 1: full governance capacity — all four layers operational, trust sufficient, coordination intact.</w:t>
      </w:r>
    </w:p>
    <w:p>
      <w:pPr>
        <w:pStyle w:val="ListParagraph"/>
        <w:numPr>
          <w:ilvl w:val="0"/>
          <w:numId w:val="2"/>
        </w:numPr>
        <w:spacing w:after="40" w:before="40"/>
      </w:pPr>
      <w:r>
        <w:rPr>
          <w:rFonts w:ascii="Times New Roman" w:cs="Times New Roman" w:eastAsia="Times New Roman" w:hAnsi="Times New Roman"/>
          <w:sz w:val="22"/>
          <w:szCs w:val="22"/>
        </w:rPr>
        <w:t xml:space="preserve">G(t) = 0: governance collapse — institutional failure, trust critically low, or coordination breakdown.</w:t>
      </w:r>
    </w:p>
    <w:p>
      <w:pPr>
        <w:pStyle w:val="ListParagraph"/>
        <w:numPr>
          <w:ilvl w:val="0"/>
          <w:numId w:val="2"/>
        </w:numPr>
        <w:spacing w:after="40" w:before="40"/>
      </w:pPr>
      <w:r>
        <w:rPr>
          <w:rFonts w:ascii="Times New Roman" w:cs="Times New Roman" w:eastAsia="Times New Roman" w:hAnsi="Times New Roman"/>
          <w:sz w:val="22"/>
          <w:szCs w:val="22"/>
        </w:rPr>
        <w:t xml:space="preserve">G(t) is T-conditional: G(t) decays as T falls below threshold. Not a fixed parameter.</w:t>
      </w:r>
    </w:p>
    <w:p>
      <w:pPr>
        <w:spacing w:after="60" w:before="60"/>
      </w:pPr>
      <w:r>
        <w:t xml:space="preserve"/>
      </w:r>
    </w:p>
    <w:p>
      <w:pPr>
        <w:pStyle w:val="Heading2"/>
        <w:spacing w:after="120" w:before="280"/>
      </w:pPr>
      <w:r>
        <w:rPr>
          <w:rFonts w:ascii="Arial" w:cs="Arial" w:eastAsia="Arial" w:hAnsi="Arial"/>
          <w:b/>
          <w:bCs/>
          <w:color w:val="2E5596"/>
          <w:sz w:val="26"/>
          <w:szCs w:val="26"/>
        </w:rPr>
        <w:t xml:space="preserve">3.2  Proposed G(t) Dynamics</w:t>
      </w:r>
    </w:p>
    <w:p>
      <w:pPr>
        <w:spacing w:after="60" w:before="60"/>
        <w:ind w:left="720"/>
      </w:pPr>
      <w:r>
        <w:rPr>
          <w:rFonts w:ascii="Courier New" w:cs="Courier New" w:eastAsia="Courier New" w:hAnsi="Courier New"/>
          <w:color w:val="1F3864"/>
          <w:sz w:val="20"/>
          <w:szCs w:val="20"/>
        </w:rPr>
        <w:t xml:space="preserve">dG/dt = γT - δG + H(t)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2E5596"/>
                <w:sz w:val="20"/>
                <w:szCs w:val="20"/>
              </w:rPr>
              <w:t xml:space="preserve">Term</w:t>
            </w:r>
          </w:p>
        </w:tc>
        <w:tc>
          <w:tcPr>
            <w:tcW w:type="dxa" w:w="63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2E5596"/>
                <w:sz w:val="20"/>
                <w:szCs w:val="20"/>
              </w:rPr>
              <w:t xml:space="preserve">Proposed Mechanism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γT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Trust-driven governance capacity. Higher T enables stronger governance function. Collapses when T → 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-δG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Governance decay — institutional entropy without active maintenance.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H(t)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Hero mechanism input (Section 6.7). Temporary governance amplification during critical zone transitions. Time-limited.</w:t>
            </w:r>
          </w:p>
        </w:tc>
      </w:tr>
    </w:tbl>
    <w:p>
      <w:pPr>
        <w:spacing w:after="60" w:before="60"/>
      </w:pPr>
      <w:r>
        <w:t xml:space="preserve"/>
      </w:r>
    </w:p>
    <w:p>
      <w:pPr>
        <w:spacing w:after="80" w:before="80"/>
      </w:pPr>
      <w:r>
        <w:rPr>
          <w:rFonts w:ascii="Times New Roman" w:cs="Times New Roman" w:eastAsia="Times New Roman" w:hAnsi="Times New Roman"/>
          <w:sz w:val="22"/>
          <w:szCs w:val="22"/>
        </w:rPr>
        <w:t xml:space="preserve">This proposed form makes G(t) T-dependent (addressing the deadlock), includes natural decay (preventing permanent high-governance without maintenance), and incorporates the Hero mechanism as the only pathway to rapid governance restoration in collapse conditions.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2E5596"/>
                <w:sz w:val="20"/>
                <w:szCs w:val="20"/>
              </w:rPr>
              <w:t xml:space="preserve">OPEN</w:t>
            </w:r>
          </w:p>
        </w:tc>
        <w:tc>
          <w:tcPr>
            <w:tcW w:type="dxa" w:w="792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Parameters γ and δ are entirely unspecified. The functional form above is proposed based on structural reasoning, not simulation validation. The diagnostic test will determine whether this form is consistent with observed behavior or requires revision.</w:t>
            </w:r>
          </w:p>
        </w:tc>
      </w:tr>
    </w:tbl>
    <w:p>
      <w:pPr>
        <w:spacing w:after="60" w:before="60"/>
      </w:pPr>
      <w:r>
        <w:t xml:space="preserve"/>
      </w:r>
    </w:p>
    <w:p>
      <w:pPr>
        <w:pStyle w:val="Heading2"/>
        <w:spacing w:after="120" w:before="280"/>
      </w:pPr>
      <w:r>
        <w:rPr>
          <w:rFonts w:ascii="Arial" w:cs="Arial" w:eastAsia="Arial" w:hAnsi="Arial"/>
          <w:b/>
          <w:bCs/>
          <w:color w:val="2E5596"/>
          <w:sz w:val="26"/>
          <w:szCs w:val="26"/>
        </w:rPr>
        <w:t xml:space="preserve">3.3  Connection to Recovery Engine</w:t>
      </w:r>
    </w:p>
    <w:p>
      <w:pPr>
        <w:spacing w:after="80" w:before="80"/>
      </w:pPr>
      <w:r>
        <w:rPr>
          <w:rFonts w:ascii="Times New Roman" w:cs="Times New Roman" w:eastAsia="Times New Roman" w:hAnsi="Times New Roman"/>
          <w:sz w:val="22"/>
          <w:szCs w:val="22"/>
        </w:rPr>
        <w:t xml:space="preserve">From Recovery Engine (Component 02):</w:t>
      </w:r>
    </w:p>
    <w:p>
      <w:pPr>
        <w:spacing w:after="60" w:before="60"/>
      </w:pPr>
      <w:r>
        <w:t xml:space="preserve"/>
      </w:r>
    </w:p>
    <w:p>
      <w:pPr>
        <w:spacing w:after="60" w:before="60"/>
        <w:ind w:left="720"/>
      </w:pPr>
      <w:r>
        <w:rPr>
          <w:rFonts w:ascii="Courier New" w:cs="Courier New" w:eastAsia="Courier New" w:hAnsi="Courier New"/>
          <w:color w:val="1F3864"/>
          <w:sz w:val="20"/>
          <w:szCs w:val="20"/>
        </w:rPr>
        <w:t xml:space="preserve">R_gov = k_g · G(t)</w:t>
      </w:r>
    </w:p>
    <w:p>
      <w:pPr>
        <w:spacing w:after="60" w:before="60"/>
      </w:pPr>
      <w:r>
        <w:t xml:space="preserve"/>
      </w:r>
    </w:p>
    <w:p>
      <w:pPr>
        <w:pStyle w:val="ListParagraph"/>
        <w:numPr>
          <w:ilvl w:val="0"/>
          <w:numId w:val="2"/>
        </w:numPr>
        <w:spacing w:after="40" w:before="40"/>
      </w:pPr>
      <w:r>
        <w:rPr>
          <w:rFonts w:ascii="Times New Roman" w:cs="Times New Roman" w:eastAsia="Times New Roman" w:hAnsi="Times New Roman"/>
          <w:sz w:val="22"/>
          <w:szCs w:val="22"/>
        </w:rPr>
        <w:t xml:space="preserve">If the null result resolves as Interpretation 1 (wiring issue): G(t) is currently not connected to recovery pathways. k_g may be effectively zero in the current model. Architecture must establish the pathway.</w:t>
      </w:r>
    </w:p>
    <w:p>
      <w:pPr>
        <w:pStyle w:val="ListParagraph"/>
        <w:numPr>
          <w:ilvl w:val="0"/>
          <w:numId w:val="2"/>
        </w:numPr>
        <w:spacing w:after="40" w:before="40"/>
      </w:pPr>
      <w:r>
        <w:rPr>
          <w:rFonts w:ascii="Times New Roman" w:cs="Times New Roman" w:eastAsia="Times New Roman" w:hAnsi="Times New Roman"/>
          <w:sz w:val="22"/>
          <w:szCs w:val="22"/>
        </w:rPr>
        <w:t xml:space="preserve">If Interpretation 2 (nonlinear threshold): R_gov only activates above a G(t) threshold. The linear form R_gov = k_g · G(t) must be replaced with a threshold-gated function.</w:t>
      </w:r>
    </w:p>
    <w:p>
      <w:pPr>
        <w:pStyle w:val="ListParagraph"/>
        <w:numPr>
          <w:ilvl w:val="0"/>
          <w:numId w:val="2"/>
        </w:numPr>
        <w:spacing w:after="40" w:before="40"/>
      </w:pPr>
      <w:r>
        <w:rPr>
          <w:rFonts w:ascii="Times New Roman" w:cs="Times New Roman" w:eastAsia="Times New Roman" w:hAnsi="Times New Roman"/>
          <w:sz w:val="22"/>
          <w:szCs w:val="22"/>
        </w:rPr>
        <w:t xml:space="preserve">If Interpretation 3 (weak linear): R_gov = k_g · G(t) holds but k_g is small. R_gov is a minor recovery channel, not a primary one. Architecture should not rely on it as a primary recovery source.</w:t>
      </w:r>
    </w:p>
    <w:p>
      <w:pPr>
        <w:spacing w:after="60" w:before="60"/>
      </w:pPr>
      <w:r>
        <w:t xml:space="preserve"/>
      </w:r>
    </w:p>
    <w:p>
      <w:pPr>
        <w:pStyle w:val="Heading2"/>
        <w:spacing w:after="120" w:before="280"/>
      </w:pPr>
      <w:r>
        <w:rPr>
          <w:rFonts w:ascii="Arial" w:cs="Arial" w:eastAsia="Arial" w:hAnsi="Arial"/>
          <w:b/>
          <w:bCs/>
          <w:color w:val="2E5596"/>
          <w:sz w:val="26"/>
          <w:szCs w:val="26"/>
        </w:rPr>
        <w:t xml:space="preserve">3.4  Governance Layers as G(t) Contributors [PROPOSED]</w:t>
      </w:r>
    </w:p>
    <w:p>
      <w:pPr>
        <w:spacing w:after="80" w:before="80"/>
      </w:pPr>
      <w:r>
        <w:rPr>
          <w:rFonts w:ascii="Times New Roman" w:cs="Times New Roman" w:eastAsia="Times New Roman" w:hAnsi="Times New Roman"/>
          <w:sz w:val="22"/>
          <w:szCs w:val="22"/>
        </w:rPr>
        <w:t xml:space="preserve">The multi-layer governance architecture (Ch. 4) maps to G(t) as follows — proposed, not validated: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2E5596"/>
                <w:sz w:val="20"/>
                <w:szCs w:val="20"/>
              </w:rPr>
              <w:t xml:space="preserve">Governance Layer</w:t>
            </w:r>
          </w:p>
        </w:tc>
        <w:tc>
          <w:tcPr>
            <w:tcW w:type="dxa" w:w="63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2E5596"/>
                <w:sz w:val="20"/>
                <w:szCs w:val="20"/>
              </w:rPr>
              <w:t xml:space="preserve">Proposed G(t) Contribution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Citizen Layer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Democratic legitimacy signal. Contributes to G(t) when participation rate is above threshold. Collapse when voluntary participation withdraws.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Expert System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Decision quality signal. Contributes to G(t) when expert consensus exists. Degrades under cognitive distortion (C ↑).</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Institutional Bodies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Structural stability signal. Contributes baseline G(t). Degrades slowly — institutional decay has long time constant relative to trust dynamics.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AI Analysis Layer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Risk vector output. Does not contribute to G(t) directly — provides information to other layers. Governance capacity is not increased by AI alone.</w:t>
            </w:r>
          </w:p>
        </w:tc>
      </w:tr>
    </w:tbl>
    <w:p>
      <w:pPr>
        <w:spacing w:after="60" w:before="60"/>
      </w:pPr>
      <w:r>
        <w:t xml:space="preserve"/>
      </w:r>
    </w:p>
    <w:p>
      <w:pPr>
        <w:pStyle w:val="Heading1"/>
        <w:spacing w:after="160" w:before="360"/>
      </w:pPr>
      <w:r>
        <w:rPr>
          <w:rFonts w:ascii="Arial" w:cs="Arial" w:eastAsia="Arial" w:hAnsi="Arial"/>
          <w:b/>
          <w:bCs/>
          <w:color w:val="1F3864"/>
          <w:sz w:val="32"/>
          <w:szCs w:val="32"/>
        </w:rPr>
        <w:t xml:space="preserve">4.  Governance Null Diagnostic — Required Before Unbracketing</w:t>
      </w:r>
    </w:p>
    <w:p>
      <w:pPr>
        <w:spacing w:after="80" w:before="80"/>
      </w:pPr>
      <w:r>
        <w:rPr>
          <w:rFonts w:ascii="Times New Roman" w:cs="Times New Roman" w:eastAsia="Times New Roman" w:hAnsi="Times New Roman"/>
          <w:sz w:val="22"/>
          <w:szCs w:val="22"/>
        </w:rPr>
        <w:t xml:space="preserve">The following diagnostic test is the minimum required to resolve the null result. From Simulation Log v12, Governance Null Addendum: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2E5596"/>
                <w:sz w:val="20"/>
                <w:szCs w:val="20"/>
              </w:rPr>
              <w:t xml:space="preserve">REQUIRED TEST</w:t>
            </w:r>
          </w:p>
        </w:tc>
        <w:tc>
          <w:tcPr>
            <w:tcW w:type="dxa" w:w="792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Rerun governance_capacity at 0.30 / 0.50 / 0.70 / 0.90 on the v2 locked baseline (cognition-linked, lock mechanism active). Run each condition for at least 20 runs. Compare stable rates, average cooperation, and recovery rates across all four values.</w:t>
            </w:r>
          </w:p>
        </w:tc>
      </w:tr>
    </w:tbl>
    <w:p>
      <w:pPr>
        <w:spacing w:after="60" w:before="60"/>
      </w:pPr>
      <w:r>
        <w:t xml:space="preserve"/>
      </w:r>
    </w:p>
    <w:p>
      <w:pPr>
        <w:spacing w:after="80" w:before="80"/>
      </w:pPr>
      <w:r>
        <w:rPr>
          <w:rFonts w:ascii="Times New Roman" w:cs="Times New Roman" w:eastAsia="Times New Roman" w:hAnsi="Times New Roman"/>
          <w:sz w:val="22"/>
          <w:szCs w:val="22"/>
        </w:rPr>
        <w:t xml:space="preserve">Expected outcomes and their implications: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2E5596"/>
                <w:sz w:val="20"/>
                <w:szCs w:val="20"/>
              </w:rPr>
              <w:t xml:space="preserve">Observed Result</w:t>
            </w:r>
          </w:p>
        </w:tc>
        <w:tc>
          <w:tcPr>
            <w:tcW w:type="dxa" w:w="63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2E5596"/>
                <w:sz w:val="20"/>
                <w:szCs w:val="20"/>
              </w:rPr>
              <w:t xml:space="preserve">Implication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Flat across 0.30–0.90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Governance not wired into dynamics. Architecture must establish G(t) → R_gov pathway from scratch. Major structural work required.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Step function at one extreme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Threshold effect. Nonlinear governance model required. Linear R_gov = k_g · G(t) must be replaced.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Monotonic but weak gradient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Linear model valid, k_g is small. R_gov is confirmed but minor. Architecture stands; calibrate k_g and document as secondary recovery channel.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Non-monotonic (e.g., too much governance destabilizes)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Governance has optimal range. G(t) must be bounded with both lower and upper constraints. Overextension failure mode exists.</w:t>
            </w:r>
          </w:p>
        </w:tc>
      </w:tr>
    </w:tbl>
    <w:p>
      <w:pPr>
        <w:spacing w:after="60" w:before="60"/>
      </w:pPr>
      <w:r>
        <w:t xml:space="preserve"/>
      </w:r>
    </w:p>
    <w:p>
      <w:pPr>
        <w:pStyle w:val="Heading1"/>
        <w:spacing w:after="160" w:before="360"/>
      </w:pPr>
      <w:r>
        <w:rPr>
          <w:rFonts w:ascii="Arial" w:cs="Arial" w:eastAsia="Arial" w:hAnsi="Arial"/>
          <w:b/>
          <w:bCs/>
          <w:color w:val="1F3864"/>
          <w:sz w:val="32"/>
          <w:szCs w:val="32"/>
        </w:rPr>
        <w:t xml:space="preserve">5.  Failure Modes [PARTIALLY VALIDATED]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2E5596"/>
                <w:sz w:val="20"/>
                <w:szCs w:val="20"/>
              </w:rPr>
              <w:t xml:space="preserve">Type</w:t>
            </w:r>
          </w:p>
        </w:tc>
        <w:tc>
          <w:tcPr>
            <w:tcW w:type="dxa" w:w="63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2E5596"/>
                <w:sz w:val="20"/>
                <w:szCs w:val="20"/>
              </w:rPr>
              <w:t xml:space="preserve">Description and Validation Status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Type A — Governance–Trust Deadlock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Governance needs T; recovery needs governance. Deadlock when T → 0 and G(t) → 0 simultaneously. VALIDATED — structurally confirmed. R_base in Recovery Engine is the designated deadlock breaker.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Type B — Governance Null (Wiring Failure)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G(t) not connected to dynamic pathways. R_gov = 0 regardless of governance_capacity. UNRESOLVED — may be current model state. Primary motivation for diagnostic test.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Type C — Institutional Rigidity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Governance structures become unchallengeable. Violates Meta Rule 1 (Falsifiability). G(t) cannot be updated or corrected. VALIDATED conceptually — Meta Governance Rule 1 exists to prevent this.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Type D — Democratic Legitimacy Collapse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Voluntary participation withdraws. Citizen layer contribution to G(t) falls to zero. G(t) degrades despite institutional bodies remaining. PROPOSED — not yet simulated.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Type E — Expert Capture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Expert system captured by narrow interest group or high-C cognitive distortion. Decision quality signal corrupted. G(t) appears functional but produces wrong outputs. PROPOSED — adversarial scenario, not yet tested.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Type F — Overextension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Governance capacity deployed too broadly, depleting institutional resources. G(t) destabilizes rather than stabilizes. PROPOSED — may require upper bound on G(t) contribution to R_gov.</w:t>
            </w:r>
          </w:p>
        </w:tc>
      </w:tr>
    </w:tbl>
    <w:p>
      <w:pPr>
        <w:spacing w:after="60" w:before="60"/>
      </w:pPr>
      <w:r>
        <w:t xml:space="preserve"/>
      </w:r>
    </w:p>
    <w:p>
      <w:pPr>
        <w:pStyle w:val="Heading1"/>
        <w:spacing w:after="160" w:before="360"/>
      </w:pPr>
      <w:r>
        <w:rPr>
          <w:rFonts w:ascii="Arial" w:cs="Arial" w:eastAsia="Arial" w:hAnsi="Arial"/>
          <w:b/>
          <w:bCs/>
          <w:color w:val="1F3864"/>
          <w:sz w:val="32"/>
          <w:szCs w:val="32"/>
        </w:rPr>
        <w:t xml:space="preserve">6.  Relationship to Meta Governance [VALIDATED]</w:t>
      </w:r>
    </w:p>
    <w:p>
      <w:pPr>
        <w:spacing w:after="80" w:before="80"/>
      </w:pPr>
      <w:r>
        <w:rPr>
          <w:rFonts w:ascii="Times New Roman" w:cs="Times New Roman" w:eastAsia="Times New Roman" w:hAnsi="Times New Roman"/>
          <w:sz w:val="22"/>
          <w:szCs w:val="22"/>
        </w:rPr>
        <w:t xml:space="preserve">Meta Governance constrains the Governance Module — it does not replace it. The relationship is:</w:t>
      </w:r>
    </w:p>
    <w:p>
      <w:pPr>
        <w:spacing w:after="60" w:before="60"/>
      </w:pPr>
      <w:r>
        <w:t xml:space="preserve"/>
      </w:r>
    </w:p>
    <w:p>
      <w:pPr>
        <w:spacing w:after="60" w:before="60"/>
        <w:ind w:left="720"/>
      </w:pPr>
      <w:r>
        <w:rPr>
          <w:rFonts w:ascii="Courier New" w:cs="Courier New" w:eastAsia="Courier New" w:hAnsi="Courier New"/>
          <w:color w:val="1F3864"/>
          <w:sz w:val="20"/>
          <w:szCs w:val="20"/>
        </w:rPr>
        <w:t xml:space="preserve">Meta Governance Layer</w:t>
      </w:r>
    </w:p>
    <w:p>
      <w:pPr>
        <w:spacing w:after="60" w:before="60"/>
        <w:ind w:left="720"/>
      </w:pPr>
      <w:r>
        <w:rPr>
          <w:rFonts w:ascii="Courier New" w:cs="Courier New" w:eastAsia="Courier New" w:hAnsi="Courier New"/>
          <w:color w:val="1F3864"/>
          <w:sz w:val="20"/>
          <w:szCs w:val="20"/>
        </w:rPr>
        <w:t xml:space="preserve">        ↑</w:t>
      </w:r>
    </w:p>
    <w:p>
      <w:pPr>
        <w:spacing w:after="60" w:before="60"/>
        <w:ind w:left="720"/>
      </w:pPr>
      <w:r>
        <w:rPr>
          <w:rFonts w:ascii="Courier New" w:cs="Courier New" w:eastAsia="Courier New" w:hAnsi="Courier New"/>
          <w:color w:val="1F3864"/>
          <w:sz w:val="20"/>
          <w:szCs w:val="20"/>
        </w:rPr>
        <w:t xml:space="preserve">Governance Module (G(t))</w:t>
      </w:r>
    </w:p>
    <w:p>
      <w:pPr>
        <w:spacing w:after="60" w:before="60"/>
        <w:ind w:left="720"/>
      </w:pPr>
      <w:r>
        <w:rPr>
          <w:rFonts w:ascii="Courier New" w:cs="Courier New" w:eastAsia="Courier New" w:hAnsi="Courier New"/>
          <w:color w:val="1F3864"/>
          <w:sz w:val="20"/>
          <w:szCs w:val="20"/>
        </w:rPr>
        <w:t xml:space="preserve">        ↑</w:t>
      </w:r>
    </w:p>
    <w:p>
      <w:pPr>
        <w:spacing w:after="60" w:before="60"/>
        <w:ind w:left="720"/>
      </w:pPr>
      <w:r>
        <w:rPr>
          <w:rFonts w:ascii="Courier New" w:cs="Courier New" w:eastAsia="Courier New" w:hAnsi="Courier New"/>
          <w:color w:val="1F3864"/>
          <w:sz w:val="20"/>
          <w:szCs w:val="20"/>
        </w:rPr>
        <w:t xml:space="preserve">Execution / Recovery Layer</w:t>
      </w:r>
    </w:p>
    <w:p>
      <w:pPr>
        <w:spacing w:after="60" w:before="60"/>
      </w:pPr>
      <w:r>
        <w:t xml:space="preserve"/>
      </w:r>
    </w:p>
    <w:p>
      <w:pPr>
        <w:pStyle w:val="ListParagraph"/>
        <w:numPr>
          <w:ilvl w:val="0"/>
          <w:numId w:val="2"/>
        </w:numPr>
        <w:spacing w:after="40" w:before="40"/>
      </w:pPr>
      <w:r>
        <w:rPr>
          <w:rFonts w:ascii="Times New Roman" w:cs="Times New Roman" w:eastAsia="Times New Roman" w:hAnsi="Times New Roman"/>
          <w:sz w:val="22"/>
          <w:szCs w:val="22"/>
        </w:rPr>
        <w:t xml:space="preserve">Meta Governance does not make governance decisions — it constrains governance parameters and triggers structural responses when governance deviates from safe operating ranges.</w:t>
      </w:r>
    </w:p>
    <w:p>
      <w:pPr>
        <w:pStyle w:val="ListParagraph"/>
        <w:numPr>
          <w:ilvl w:val="0"/>
          <w:numId w:val="2"/>
        </w:numPr>
        <w:spacing w:after="40" w:before="40"/>
      </w:pPr>
      <w:r>
        <w:rPr>
          <w:rFonts w:ascii="Times New Roman" w:cs="Times New Roman" w:eastAsia="Times New Roman" w:hAnsi="Times New Roman"/>
          <w:sz w:val="22"/>
          <w:szCs w:val="22"/>
        </w:rPr>
        <w:t xml:space="preserve">Meta Rule 1 (Falsifiability): governance components must be removable or replaceable to verify necessity. The governance null result is a Meta Rule 1 test in progress.</w:t>
      </w:r>
    </w:p>
    <w:p>
      <w:pPr>
        <w:pStyle w:val="ListParagraph"/>
        <w:numPr>
          <w:ilvl w:val="0"/>
          <w:numId w:val="2"/>
        </w:numPr>
        <w:spacing w:after="40" w:before="40"/>
      </w:pPr>
      <w:r>
        <w:rPr>
          <w:rFonts w:ascii="Times New Roman" w:cs="Times New Roman" w:eastAsia="Times New Roman" w:hAnsi="Times New Roman"/>
          <w:sz w:val="22"/>
          <w:szCs w:val="22"/>
        </w:rPr>
        <w:t xml:space="preserve">Meta Rule 4 (Rollback): if governance activation produces instability, a rollback window must exist. Emergency governance powers are time-limited for this reason.</w:t>
      </w:r>
    </w:p>
    <w:p>
      <w:pPr>
        <w:pStyle w:val="ListParagraph"/>
        <w:numPr>
          <w:ilvl w:val="0"/>
          <w:numId w:val="2"/>
        </w:numPr>
        <w:spacing w:after="40" w:before="40"/>
      </w:pPr>
      <w:r>
        <w:rPr>
          <w:rFonts w:ascii="Times New Roman" w:cs="Times New Roman" w:eastAsia="Times New Roman" w:hAnsi="Times New Roman"/>
          <w:sz w:val="22"/>
          <w:szCs w:val="22"/>
        </w:rPr>
        <w:t xml:space="preserve">Trigger Authority Constraint (3.5.1): no single governance body may unilaterally declare trigger conditions met. Applies to governance activation of Meta Triggers just as it applies to all other actors.</w:t>
      </w:r>
    </w:p>
    <w:p>
      <w:pPr>
        <w:spacing w:after="60" w:before="60"/>
      </w:pPr>
      <w:r>
        <w:t xml:space="preserve"/>
      </w:r>
    </w:p>
    <w:p>
      <w:pPr>
        <w:pStyle w:val="Heading1"/>
        <w:spacing w:after="160" w:before="360"/>
      </w:pPr>
      <w:r>
        <w:rPr>
          <w:rFonts w:ascii="Arial" w:cs="Arial" w:eastAsia="Arial" w:hAnsi="Arial"/>
          <w:b/>
          <w:bCs/>
          <w:color w:val="1F3864"/>
          <w:sz w:val="32"/>
          <w:szCs w:val="32"/>
        </w:rPr>
        <w:t xml:space="preserve">7.  Component Specification [PROPOSED]</w:t>
      </w:r>
    </w:p>
    <w:p>
      <w:pPr>
        <w:pStyle w:val="Heading2"/>
        <w:spacing w:after="120" w:before="280"/>
      </w:pPr>
      <w:r>
        <w:rPr>
          <w:rFonts w:ascii="Arial" w:cs="Arial" w:eastAsia="Arial" w:hAnsi="Arial"/>
          <w:b/>
          <w:bCs/>
          <w:color w:val="2E5596"/>
          <w:sz w:val="26"/>
          <w:szCs w:val="26"/>
        </w:rPr>
        <w:t xml:space="preserve">7.1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2E5596"/>
                <w:sz w:val="20"/>
                <w:szCs w:val="20"/>
              </w:rPr>
              <w:t xml:space="preserve">Input</w:t>
            </w:r>
          </w:p>
        </w:tc>
        <w:tc>
          <w:tcPr>
            <w:tcW w:type="dxa" w:w="63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2E5596"/>
                <w:sz w:val="20"/>
                <w:szCs w:val="20"/>
              </w:rPr>
              <w:t xml:space="preserve">Source / Status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T(t) — trust level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Trust Integrity Layer — VALIDATED (G(t) is T-conditional)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D(t) — disturbance level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Disturbance Buffer — PROPOSED (governance activation may be D-triggered)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Meta Trigger signals (A, B, C, 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Meta Governance Layer — VALIDATED (triggers activate governance responses)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Citizen participation rate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Social layer monitoring — PROPOSED (citizen layer contribution to G(t))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Expert consensus signal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Expert system — PROPOSED (decision quality contribution to G(t))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Hero mechanism signal H(t)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Section 6.7 — PROPOSED (temporary G(t) amplification in critical zone)</w:t>
            </w:r>
          </w:p>
        </w:tc>
      </w:tr>
    </w:tbl>
    <w:p>
      <w:pPr>
        <w:spacing w:after="60" w:before="60"/>
      </w:pPr>
      <w:r>
        <w:t xml:space="preserve"/>
      </w:r>
    </w:p>
    <w:p>
      <w:pPr>
        <w:pStyle w:val="Heading2"/>
        <w:spacing w:after="120" w:before="280"/>
      </w:pPr>
      <w:r>
        <w:rPr>
          <w:rFonts w:ascii="Arial" w:cs="Arial" w:eastAsia="Arial" w:hAnsi="Arial"/>
          <w:b/>
          <w:bCs/>
          <w:color w:val="2E5596"/>
          <w:sz w:val="26"/>
          <w:szCs w:val="26"/>
        </w:rPr>
        <w:t xml:space="preserve">7.2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2E5596"/>
                <w:sz w:val="20"/>
                <w:szCs w:val="20"/>
              </w:rPr>
              <w:t xml:space="preserve">Output</w:t>
            </w:r>
          </w:p>
        </w:tc>
        <w:tc>
          <w:tcPr>
            <w:tcW w:type="dxa" w:w="63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2E5596"/>
                <w:sz w:val="20"/>
                <w:szCs w:val="20"/>
              </w:rPr>
              <w:t xml:space="preserve">Consumer / Status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G(t) — governance capacity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Recovery Engine (R_gov = k_g · G(t)) — PROPOSED; unvalidated until diagnostic complete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Re-entry monitoring signal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Recovery Engine — VALIDATED (governance monitors staged re-entry)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Coupling modification signal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Coordination Layer — VALIDATED (governance can request k_D reduction via Meta Governance)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Emergency activation signal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0"/>
                <w:szCs w:val="20"/>
              </w:rPr>
              <w:t xml:space="preserve">All components — VALIDATED (emergency governance triggers are time-limited)</w:t>
            </w:r>
          </w:p>
        </w:tc>
      </w:tr>
    </w:tbl>
    <w:p>
      <w:pPr>
        <w:spacing w:after="60" w:before="60"/>
      </w:pPr>
      <w:r>
        <w:t xml:space="preserve"/>
      </w:r>
    </w:p>
    <w:p>
      <w:pPr>
        <w:pStyle w:val="Heading1"/>
        <w:spacing w:after="160" w:before="360"/>
      </w:pPr>
      <w:r>
        <w:rPr>
          <w:rFonts w:ascii="Arial" w:cs="Arial" w:eastAsia="Arial" w:hAnsi="Arial"/>
          <w:b/>
          <w:bCs/>
          <w:color w:val="1F3864"/>
          <w:sz w:val="32"/>
          <w:szCs w:val="32"/>
        </w:rPr>
        <w:t xml:space="preserve">8.  Conditions to Remove Bracket</w:t>
      </w:r>
    </w:p>
    <w:p>
      <w:pPr>
        <w:spacing w:after="80" w:before="80"/>
      </w:pPr>
      <w:r>
        <w:rPr>
          <w:rFonts w:ascii="Times New Roman" w:cs="Times New Roman" w:eastAsia="Times New Roman" w:hAnsi="Times New Roman"/>
          <w:sz w:val="22"/>
          <w:szCs w:val="22"/>
        </w:rPr>
        <w:t xml:space="preserve">The Governance Module bracket can be removed when ALL of the following are resolved: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2E5596"/>
                <w:sz w:val="20"/>
                <w:szCs w:val="20"/>
              </w:rPr>
              <w:t xml:space="preserve">Condition</w:t>
            </w:r>
          </w:p>
        </w:tc>
        <w:tc>
          <w:tcPr>
            <w:tcW w:type="dxa" w:w="63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2E5596"/>
                <w:sz w:val="20"/>
                <w:szCs w:val="20"/>
              </w:rPr>
              <w:t xml:space="preserve">Current Status</w:t>
            </w:r>
          </w:p>
        </w:tc>
      </w:tr>
      <w:tr>
        <w:tc>
          <w:tcPr>
            <w:tcW w:type="dxa" w:w="3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Governance null diagnostic test executed</w:t>
            </w:r>
          </w:p>
        </w:tc>
        <w:tc>
          <w:tcPr>
            <w:tcW w:type="dxa" w:w="6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NOT DONE — highest priority</w:t>
            </w:r>
          </w:p>
        </w:tc>
      </w:tr>
      <w:tr>
        <w:tc>
          <w:tcPr>
            <w:tcW w:type="dxa" w:w="3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G(t) functional form confirmed by simulation</w:t>
            </w:r>
          </w:p>
        </w:tc>
        <w:tc>
          <w:tcPr>
            <w:tcW w:type="dxa" w:w="6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NOT DONE — depends on diagnostic</w:t>
            </w:r>
          </w:p>
        </w:tc>
      </w:tr>
      <w:tr>
        <w:tc>
          <w:tcPr>
            <w:tcW w:type="dxa" w:w="3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R_gov = k_g · G(t) wiring confirmed</w:t>
            </w:r>
          </w:p>
        </w:tc>
        <w:tc>
          <w:tcPr>
            <w:tcW w:type="dxa" w:w="6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NOT DONE — depends on diagnostic</w:t>
            </w:r>
          </w:p>
        </w:tc>
      </w:tr>
      <w:tr>
        <w:tc>
          <w:tcPr>
            <w:tcW w:type="dxa" w:w="3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k_g parameter bounded by simulation</w:t>
            </w:r>
          </w:p>
        </w:tc>
        <w:tc>
          <w:tcPr>
            <w:tcW w:type="dxa" w:w="6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NOT DONE — depends on diagnostic</w:t>
            </w:r>
          </w:p>
        </w:tc>
      </w:tr>
      <w:tr>
        <w:tc>
          <w:tcPr>
            <w:tcW w:type="dxa" w:w="3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Governance–trust deadlock resolution validated</w:t>
            </w:r>
          </w:p>
        </w:tc>
        <w:tc>
          <w:tcPr>
            <w:tcW w:type="dxa" w:w="6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PARTIAL — R_base declared as workaround; governance pathway unconfirmed</w:t>
            </w:r>
          </w:p>
        </w:tc>
      </w:tr>
      <w:tr>
        <w:tc>
          <w:tcPr>
            <w:tcW w:type="dxa" w:w="3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G(t) dynamics equation validated</w:t>
            </w:r>
          </w:p>
        </w:tc>
        <w:tc>
          <w:tcPr>
            <w:tcW w:type="dxa" w:w="6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NOT DONE — proposed form γT - δG + H(t) is untested</w:t>
            </w:r>
          </w:p>
        </w:tc>
      </w:tr>
    </w:tbl>
    <w:p>
      <w:pPr>
        <w:spacing w:after="60" w:before="60"/>
      </w:pPr>
      <w:r>
        <w:t xml:space="preserve"/>
      </w:r>
    </w:p>
    <w:p>
      <w:pPr>
        <w:pBdr>
          <w:bottom w:val="single" w:color="2E5596" w:sz="4" w:space="1"/>
        </w:pBdr>
        <w:spacing w:after="200" w:before="200"/>
      </w:pPr>
      <w:r>
        <w:t xml:space="preserve"/>
      </w:r>
    </w:p>
    <w:p>
      <w:pPr>
        <w:spacing w:after="80" w:before="160"/>
        <w:jc w:val="center"/>
      </w:pPr>
      <w:r>
        <w:rPr>
          <w:rFonts w:ascii="Arial" w:cs="Arial" w:eastAsia="Arial" w:hAnsi="Arial"/>
          <w:i/>
          <w:iCs/>
          <w:color w:val="888888"/>
          <w:sz w:val="18"/>
          <w:szCs w:val="18"/>
        </w:rPr>
        <w:t xml:space="preserve">System of Eternity  ·  Architecture Design v1  ·  Component 06: Governance Module [BRACKETED]</w:t>
      </w:r>
    </w:p>
    <w:p>
      <w:pPr>
        <w:spacing w:after="80" w:before="0"/>
        <w:jc w:val="center"/>
      </w:pPr>
      <w:r>
        <w:rPr>
          <w:rFonts w:ascii="Arial" w:cs="Arial" w:eastAsia="Arial" w:hAnsi="Arial"/>
          <w:i/>
          <w:iCs/>
          <w:color w:val="C00000"/>
          <w:sz w:val="18"/>
          <w:szCs w:val="18"/>
        </w:rPr>
        <w:t xml:space="preserve">Do not lock. Do not implement. Run governance null diagnostic first.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System of Eternity  ·  Architecture Design v1  ·  Governance Module [BRACKETED]  ·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559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A6FA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2026-04-25T20:24:27.965Z</dcterms:created>
  <dcterms:modified xsi:type="dcterms:W3CDTF">2026-04-25T20:24:27.966Z</dcterms:modified>
</cp:coreProperties>
</file>

<file path=docProps/custom.xml><?xml version="1.0" encoding="utf-8"?>
<Properties xmlns="http://schemas.openxmlformats.org/officeDocument/2006/custom-properties" xmlns:vt="http://schemas.openxmlformats.org/officeDocument/2006/docPropsVTypes"/>
</file>