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2880"/>
        <w:jc w:val="center"/>
      </w:pPr>
      <w:r>
        <w:rPr>
          <w:rFonts w:ascii="Arial" w:cs="Arial" w:eastAsia="Arial" w:hAnsi="Arial"/>
          <w:b/>
          <w:bCs/>
          <w:color w:val="1F3864"/>
          <w:sz w:val="44"/>
          <w:szCs w:val="44"/>
        </w:rPr>
        <w:t xml:space="preserve">Structural Failure Modes in Civilizational Systems</w:t>
      </w:r>
    </w:p>
    <w:p>
      <w:pPr>
        <w:spacing w:after="240" w:before="0"/>
        <w:jc w:val="center"/>
      </w:pPr>
      <w:r>
        <w:rPr>
          <w:rFonts w:ascii="Arial" w:cs="Arial" w:eastAsia="Arial" w:hAnsi="Arial"/>
          <w:color w:val="2E5596"/>
          <w:sz w:val="28"/>
          <w:szCs w:val="28"/>
        </w:rPr>
        <w:t xml:space="preserve">A Technical Model Integrating ACGM, SOE Simulation Laws, and Failure Layer Analysis</w:t>
      </w:r>
    </w:p>
    <w:p>
      <w:pPr>
        <w:spacing w:after="120" w:before="120"/>
        <w:jc w:val="center"/>
      </w:pPr>
      <w:r>
        <w:rPr>
          <w:rFonts w:ascii="Arial" w:cs="Arial" w:eastAsia="Arial" w:hAnsi="Arial"/>
          <w:i/>
          <w:iCs/>
          <w:sz w:val="24"/>
          <w:szCs w:val="24"/>
        </w:rPr>
        <w:t xml:space="preserve">SOE Failure Layer v1.1 — Post Multi-AI Review Edition</w:t>
      </w:r>
    </w:p>
    <w:p>
      <w:pPr>
        <w:spacing w:after="2880" w:before="120"/>
        <w:jc w:val="center"/>
      </w:pPr>
      <w:r>
        <w:rPr>
          <w:rFonts w:ascii="Arial" w:cs="Arial" w:eastAsia="Arial" w:hAnsi="Arial"/>
          <w:sz w:val="24"/>
          <w:szCs w:val="24"/>
        </w:rPr>
        <w:t xml:space="preserve">QianJun Yu | System of Eternity Research Program</w:t>
      </w:r>
    </w:p>
    <w:p>
      <w:pPr>
        <w:pStyle w:val="Heading1"/>
        <w:spacing w:after="180" w:before="360"/>
      </w:pPr>
      <w:r>
        <w:rPr>
          <w:rFonts w:ascii="Arial" w:cs="Arial" w:eastAsia="Arial" w:hAnsi="Arial"/>
          <w:b/>
          <w:bCs/>
          <w:color w:val="1F3864"/>
          <w:sz w:val="36"/>
          <w:szCs w:val="36"/>
        </w:rPr>
        <w:t xml:space="preserve">Abstract</w:t>
      </w:r>
    </w:p>
    <w:p>
      <w:pPr>
        <w:spacing w:after="80" w:before="80"/>
      </w:pPr>
      <w:r>
        <w:rPr>
          <w:rFonts w:ascii="Times New Roman" w:cs="Times New Roman" w:eastAsia="Times New Roman" w:hAnsi="Times New Roman"/>
          <w:sz w:val="24"/>
          <w:szCs w:val="24"/>
        </w:rPr>
        <w:t xml:space="preserve">Civilizations do not fail from isolated events. They fail from structural capacity mismatches — when the rate of systemic acceleration persistently exceeds institutional adaptation capacity, systems enter persistent instability and eventually cascade into collapse.</w:t>
      </w:r>
    </w:p>
    <w:p>
      <w:pPr>
        <w:spacing w:after="60" w:before="60"/>
      </w:pPr>
      <w:r>
        <w:t xml:space="preserve"/>
      </w:r>
    </w:p>
    <w:p>
      <w:pPr>
        <w:spacing w:after="80" w:before="80"/>
      </w:pPr>
      <w:r>
        <w:rPr>
          <w:rFonts w:ascii="Times New Roman" w:cs="Times New Roman" w:eastAsia="Times New Roman" w:hAnsi="Times New Roman"/>
          <w:sz w:val="24"/>
          <w:szCs w:val="24"/>
        </w:rPr>
        <w:t xml:space="preserve">This paper presents a formal technical framework integrating three components: (1) the Acceleration-Capacity Gap Model (ACGM), which defines Stress = A / (R × S) as the core structural relationship; (2) five canonical failure modes with formal definitions, detection conditions, and external historical validation; and (3) SOE Simulation Laws 1–12, which map each failure mode to measurable system variables and calibrated stability thresholds.</w:t>
      </w:r>
    </w:p>
    <w:p>
      <w:pPr>
        <w:spacing w:after="60" w:before="60"/>
      </w:pPr>
      <w:r>
        <w:t xml:space="preserve"/>
      </w:r>
    </w:p>
    <w:p>
      <w:pPr>
        <w:spacing w:after="80" w:before="80"/>
      </w:pPr>
      <w:r>
        <w:rPr>
          <w:rFonts w:ascii="Times New Roman" w:cs="Times New Roman" w:eastAsia="Times New Roman" w:hAnsi="Times New Roman"/>
          <w:sz w:val="24"/>
          <w:szCs w:val="24"/>
        </w:rPr>
        <w:t xml:space="preserve">The unified model produces a formally defined Civilizational Stability Index (CSI) using a conservative max-norm formulation. Each failure mode is shown to be structurally inescapable in the absence of explicit corrective mechanisms. The System of Eternity (SOE) is presented as the first governance architecture explicitly designed to address all five failure modes simultaneously — a claim grounded in structural necessity, not comparative assertion.</w:t>
      </w:r>
    </w:p>
    <w:p>
      <w:pPr>
        <w:spacing w:after="60" w:before="60"/>
      </w:pPr>
      <w:r>
        <w:t xml:space="preserve"/>
      </w:r>
    </w:p>
    <w:p>
      <w:pPr>
        <w:spacing w:after="80" w:before="80"/>
      </w:pPr>
      <w:r>
        <w:rPr>
          <w:rFonts w:ascii="Times New Roman" w:cs="Times New Roman" w:eastAsia="Times New Roman" w:hAnsi="Times New Roman"/>
          <w:sz w:val="24"/>
          <w:szCs w:val="24"/>
        </w:rPr>
        <w:t xml:space="preserve">Keywords: civilizational stability, ACGM, acceleration-capacity gap, institutional lock-in, value collapse, cognitive distortion, complexity overload, SOE, governance architecture, civilizational stability index</w:t>
      </w:r>
    </w:p>
    <w:p>
      <w:pPr>
        <w:spacing w:after="60" w:before="60"/>
      </w:pPr>
      <w:r>
        <w:t xml:space="preserve"/>
      </w:r>
    </w:p>
    <w:p>
      <w:pPr>
        <w:pStyle w:val="Heading1"/>
        <w:spacing w:after="180" w:before="360"/>
      </w:pPr>
      <w:r>
        <w:rPr>
          <w:rFonts w:ascii="Arial" w:cs="Arial" w:eastAsia="Arial" w:hAnsi="Arial"/>
          <w:b/>
          <w:bCs/>
          <w:color w:val="1F3864"/>
          <w:sz w:val="36"/>
          <w:szCs w:val="36"/>
        </w:rPr>
        <w:t xml:space="preserve">1. Foundational Framework: ACGM</w:t>
      </w:r>
    </w:p>
    <w:p>
      <w:pPr>
        <w:pStyle w:val="Heading2"/>
        <w:spacing w:after="140" w:before="280"/>
      </w:pPr>
      <w:r>
        <w:rPr>
          <w:rFonts w:ascii="Arial" w:cs="Arial" w:eastAsia="Arial" w:hAnsi="Arial"/>
          <w:b/>
          <w:bCs/>
          <w:color w:val="2E5596"/>
          <w:sz w:val="28"/>
          <w:szCs w:val="28"/>
        </w:rPr>
        <w:t xml:space="preserve">1.1 Core Variables</w:t>
      </w:r>
    </w:p>
    <w:p>
      <w:pPr>
        <w:spacing w:after="80" w:before="80"/>
      </w:pPr>
      <w:r>
        <w:rPr>
          <w:rFonts w:ascii="Times New Roman" w:cs="Times New Roman" w:eastAsia="Times New Roman" w:hAnsi="Times New Roman"/>
          <w:sz w:val="24"/>
          <w:szCs w:val="24"/>
        </w:rPr>
        <w:t xml:space="preserve">The Acceleration-Capacity Gap Model defines system stress using three structural variables:</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600"/>
        <w:gridCol w:w="3960"/>
      </w:tblGrid>
      <w:tr>
        <w:trPr>
          <w:tblHeader/>
        </w:trPr>
        <w:tc>
          <w:tcPr>
            <w:tcW w:type="dxa" w:w="180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r>
              <w:rPr>
                <w:rFonts w:ascii="Arial" w:cs="Arial" w:eastAsia="Arial" w:hAnsi="Arial"/>
                <w:b/>
                <w:bCs/>
                <w:sz w:val="22"/>
                <w:szCs w:val="22"/>
              </w:rPr>
              <w:t xml:space="preserve">Variable</w:t>
            </w:r>
          </w:p>
        </w:tc>
        <w:tc>
          <w:tcPr>
            <w:tcW w:type="dxa" w:w="360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r>
              <w:rPr>
                <w:rFonts w:ascii="Arial" w:cs="Arial" w:eastAsia="Arial" w:hAnsi="Arial"/>
                <w:b/>
                <w:bCs/>
                <w:sz w:val="22"/>
                <w:szCs w:val="22"/>
              </w:rPr>
              <w:t xml:space="preserve">Definition</w:t>
            </w:r>
          </w:p>
        </w:tc>
        <w:tc>
          <w:tcPr>
            <w:tcW w:type="dxa" w:w="396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r>
              <w:rPr>
                <w:rFonts w:ascii="Arial" w:cs="Arial" w:eastAsia="Arial" w:hAnsi="Arial"/>
                <w:b/>
                <w:bCs/>
                <w:sz w:val="22"/>
                <w:szCs w:val="22"/>
              </w:rPr>
              <w:t xml:space="preserve">Operational Proxy (Examples)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sz w:val="22"/>
                <w:szCs w:val="22"/>
              </w:rPr>
              <w:t xml:space="preserve">A — Acceleration Pressure</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sz w:val="22"/>
                <w:szCs w:val="22"/>
              </w:rPr>
              <w:t xml:space="preserve">Rate of technological deployment, capital scaling, and systemic change velocity</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sz w:val="22"/>
                <w:szCs w:val="22"/>
              </w:rPr>
              <w:t xml:space="preserve">AI deployment rate, patent velocity, productivity growth, disruption index</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sz w:val="22"/>
                <w:szCs w:val="22"/>
              </w:rPr>
              <w:t xml:space="preserve">R — Regulation Capacity</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sz w:val="22"/>
                <w:szCs w:val="22"/>
              </w:rPr>
              <w:t xml:space="preserve">Institutional governance capacity: law, policy, enforcement, and institutional trust</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sz w:val="22"/>
                <w:szCs w:val="22"/>
              </w:rPr>
              <w:t xml:space="preserve">Policy response lag, regulatory coverage index, institutional trust surveys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sz w:val="22"/>
                <w:szCs w:val="22"/>
              </w:rPr>
              <w:t xml:space="preserve">S — Social Buffer</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sz w:val="22"/>
                <w:szCs w:val="22"/>
              </w:rPr>
              <w:t xml:space="preserve">Social mobility, middle-class stability, cohesion, and shock absorption capacity</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sz w:val="22"/>
                <w:szCs w:val="22"/>
              </w:rPr>
              <w:t xml:space="preserve">Gini coefficient, intergenerational mobility index, social cohesion metrics</w:t>
            </w:r>
          </w:p>
        </w:tc>
      </w:tr>
    </w:tbl>
    <w:p>
      <w:pPr>
        <w:spacing w:after="60" w:before="60"/>
      </w:pPr>
      <w:r>
        <w:t xml:space="preserve"/>
      </w:r>
    </w:p>
    <w:p>
      <w:pPr>
        <w:spacing w:after="80" w:before="80"/>
      </w:pPr>
      <w:r>
        <w:rPr>
          <w:rFonts w:ascii="Times New Roman" w:cs="Times New Roman" w:eastAsia="Times New Roman" w:hAnsi="Times New Roman"/>
          <w:sz w:val="24"/>
          <w:szCs w:val="24"/>
        </w:rPr>
        <w:t xml:space="preserve">Note on operationalization: A, R, and S are structural variables, not directly measurable as single scalars. Each requires system-specific proxy selection calibrated to the institutional context under study. The proxies listed above are illustrative starting points. Threshold values must be calibrated against historical cases — they are not universal constants.</w:t>
      </w:r>
    </w:p>
    <w:p>
      <w:pPr>
        <w:spacing w:after="60" w:before="60"/>
      </w:pPr>
      <w:r>
        <w:t xml:space="preserve"/>
      </w:r>
    </w:p>
    <w:p>
      <w:pPr>
        <w:pStyle w:val="Heading2"/>
        <w:spacing w:after="140" w:before="280"/>
      </w:pPr>
      <w:r>
        <w:rPr>
          <w:rFonts w:ascii="Arial" w:cs="Arial" w:eastAsia="Arial" w:hAnsi="Arial"/>
          <w:b/>
          <w:bCs/>
          <w:color w:val="2E5596"/>
          <w:sz w:val="28"/>
          <w:szCs w:val="28"/>
        </w:rPr>
        <w:t xml:space="preserve">1.2 Core Stress Equation</w:t>
      </w:r>
    </w:p>
    <w:p>
      <w:pPr>
        <w:spacing w:after="80" w:before="80"/>
      </w:pPr>
      <w:r>
        <w:rPr>
          <w:rFonts w:ascii="Times New Roman" w:cs="Times New Roman" w:eastAsia="Times New Roman" w:hAnsi="Times New Roman"/>
          <w:sz w:val="24"/>
          <w:szCs w:val="24"/>
        </w:rPr>
        <w:t xml:space="preserve">The fundamental ACGM relationship is:</w:t>
      </w:r>
    </w:p>
    <w:p>
      <w:pPr>
        <w:spacing w:after="160" w:before="160"/>
        <w:jc w:val="center"/>
      </w:pPr>
      <w:r>
        <w:rPr>
          <w:rFonts w:ascii="Courier New" w:cs="Courier New" w:eastAsia="Courier New" w:hAnsi="Courier New"/>
          <w:b/>
          <w:bCs/>
          <w:sz w:val="24"/>
          <w:szCs w:val="24"/>
        </w:rPr>
        <w:t xml:space="preserve">Stress(t) = A(t) / (R(t) × S(t))</w:t>
      </w:r>
    </w:p>
    <w:p>
      <w:pPr>
        <w:spacing w:after="80" w:before="80"/>
      </w:pPr>
      <w:r>
        <w:rPr>
          <w:rFonts w:ascii="Times New Roman" w:cs="Times New Roman" w:eastAsia="Times New Roman" w:hAnsi="Times New Roman"/>
          <w:sz w:val="24"/>
          <w:szCs w:val="24"/>
        </w:rPr>
        <w:t xml:space="preserve">This is a structural lens, not a precise physical equation. It captures the essential dynamic: stability requires that regulation and social absorption capacity scale proportionally with acceleration pressure.</w:t>
      </w:r>
    </w:p>
    <w:p>
      <w:pPr>
        <w:spacing w:after="60" w:before="60"/>
      </w:pPr>
      <w:r>
        <w:t xml:space="preserve"/>
      </w:r>
    </w:p>
    <w:p>
      <w:pPr>
        <w:spacing w:after="80" w:before="80"/>
      </w:pPr>
      <w:r>
        <w:rPr>
          <w:rFonts w:ascii="Times New Roman" w:cs="Times New Roman" w:eastAsia="Times New Roman" w:hAnsi="Times New Roman"/>
          <w:sz w:val="24"/>
          <w:szCs w:val="24"/>
        </w:rPr>
        <w:t xml:space="preserve">Critical non-independence: R and S co-evolve, often degrading together. When social buffer S declines, institutional capacity R typically follows. This creates superlinear stress amplification:</w:t>
      </w:r>
    </w:p>
    <w:p>
      <w:pPr>
        <w:spacing w:after="160" w:before="160"/>
        <w:jc w:val="center"/>
      </w:pPr>
      <w:r>
        <w:rPr>
          <w:rFonts w:ascii="Courier New" w:cs="Courier New" w:eastAsia="Courier New" w:hAnsi="Courier New"/>
          <w:b/>
          <w:bCs/>
          <w:sz w:val="24"/>
          <w:szCs w:val="24"/>
        </w:rPr>
        <w:t xml:space="preserve">d(Stress)/dt = dA/dt / (R × S) - A × (R·dS/dt + S·dR/dt) / (R·S)²</w:t>
      </w:r>
    </w:p>
    <w:p>
      <w:pPr>
        <w:spacing w:after="80" w:before="80"/>
      </w:pPr>
      <w:r>
        <w:rPr>
          <w:rFonts w:ascii="Times New Roman" w:cs="Times New Roman" w:eastAsia="Times New Roman" w:hAnsi="Times New Roman"/>
          <w:sz w:val="24"/>
          <w:szCs w:val="24"/>
        </w:rPr>
        <w:t xml:space="preserve">When A increases while both R and S decline simultaneously, stress grows faster than any single variable suggests. This is the mathematical basis for sudden-onset instability after extended periods of apparent calm.</w:t>
      </w:r>
    </w:p>
    <w:p>
      <w:pPr>
        <w:spacing w:after="60" w:before="60"/>
      </w:pPr>
      <w:r>
        <w:t xml:space="preserve"/>
      </w:r>
    </w:p>
    <w:p>
      <w:pPr>
        <w:pStyle w:val="Heading2"/>
        <w:spacing w:after="140" w:before="280"/>
      </w:pPr>
      <w:r>
        <w:rPr>
          <w:rFonts w:ascii="Arial" w:cs="Arial" w:eastAsia="Arial" w:hAnsi="Arial"/>
          <w:b/>
          <w:bCs/>
          <w:color w:val="2E5596"/>
          <w:sz w:val="28"/>
          <w:szCs w:val="28"/>
        </w:rPr>
        <w:t xml:space="preserve">1.3 Stability Regimes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200"/>
        <w:gridCol w:w="2800"/>
        <w:gridCol w:w="2960"/>
      </w:tblGrid>
      <w:tr>
        <w:trPr>
          <w:tblHeader/>
        </w:trPr>
        <w:tc>
          <w:tcPr>
            <w:tcW w:type="dxa" w:w="140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r>
              <w:rPr>
                <w:rFonts w:ascii="Arial" w:cs="Arial" w:eastAsia="Arial" w:hAnsi="Arial"/>
                <w:b/>
                <w:bCs/>
                <w:sz w:val="22"/>
                <w:szCs w:val="22"/>
              </w:rPr>
              <w:t xml:space="preserve">Regime</w:t>
            </w:r>
          </w:p>
        </w:tc>
        <w:tc>
          <w:tcPr>
            <w:tcW w:type="dxa" w:w="220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r>
              <w:rPr>
                <w:rFonts w:ascii="Arial" w:cs="Arial" w:eastAsia="Arial" w:hAnsi="Arial"/>
                <w:b/>
                <w:bCs/>
                <w:sz w:val="22"/>
                <w:szCs w:val="22"/>
              </w:rPr>
              <w:t xml:space="preserve">Condition</w:t>
            </w:r>
          </w:p>
        </w:tc>
        <w:tc>
          <w:tcPr>
            <w:tcW w:type="dxa" w:w="280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r>
              <w:rPr>
                <w:rFonts w:ascii="Arial" w:cs="Arial" w:eastAsia="Arial" w:hAnsi="Arial"/>
                <w:b/>
                <w:bCs/>
                <w:sz w:val="22"/>
                <w:szCs w:val="22"/>
              </w:rPr>
              <w:t xml:space="preserve">System State</w:t>
            </w:r>
          </w:p>
        </w:tc>
        <w:tc>
          <w:tcPr>
            <w:tcW w:type="dxa" w:w="296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r>
              <w:rPr>
                <w:rFonts w:ascii="Arial" w:cs="Arial" w:eastAsia="Arial" w:hAnsi="Arial"/>
                <w:b/>
                <w:bCs/>
                <w:sz w:val="22"/>
                <w:szCs w:val="22"/>
              </w:rPr>
              <w:t xml:space="preserve">Historical Analog</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sz w:val="22"/>
                <w:szCs w:val="22"/>
              </w:rPr>
              <w:t xml:space="preserve">Stable</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sz w:val="22"/>
                <w:szCs w:val="22"/>
              </w:rPr>
              <w:t xml:space="preserve">Stress(t) &lt; S_low</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sz w:val="22"/>
                <w:szCs w:val="22"/>
              </w:rPr>
              <w:t xml:space="preserve">Institutional adaptation matches change; oscillations damped</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sz w:val="22"/>
                <w:szCs w:val="22"/>
              </w:rPr>
              <w:t xml:space="preserve">US post-WWII 1945–1970</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sz w:val="22"/>
                <w:szCs w:val="22"/>
              </w:rPr>
              <w:t xml:space="preserve">Tension</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sz w:val="22"/>
                <w:szCs w:val="22"/>
              </w:rPr>
              <w:t xml:space="preserve">S_low &lt; Stress(t) &lt; S_critical</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sz w:val="22"/>
                <w:szCs w:val="22"/>
              </w:rPr>
              <w:t xml:space="preserve">Localized breakdowns; aggregate stability masks fractures</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sz w:val="22"/>
                <w:szCs w:val="22"/>
              </w:rPr>
              <w:t xml:space="preserve">US 2000–present (estimated)</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sz w:val="22"/>
                <w:szCs w:val="22"/>
              </w:rPr>
              <w:t xml:space="preserve">Early Instability</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sz w:val="22"/>
                <w:szCs w:val="22"/>
              </w:rPr>
              <w:t xml:space="preserve">Stress approaching S_critical</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sz w:val="22"/>
                <w:szCs w:val="22"/>
              </w:rPr>
              <w:t xml:space="preserve">Cascading failures possible; feedback loops activate</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sz w:val="22"/>
                <w:szCs w:val="22"/>
              </w:rPr>
              <w:t xml:space="preserve">Late Roman Empire 250–350 CE</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sz w:val="22"/>
                <w:szCs w:val="22"/>
              </w:rPr>
              <w:t xml:space="preserve">Collapse</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sz w:val="22"/>
                <w:szCs w:val="22"/>
              </w:rPr>
              <w:t xml:space="preserve">Stress(t) &gt; S_critical</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sz w:val="22"/>
                <w:szCs w:val="22"/>
              </w:rPr>
              <w:t xml:space="preserve">Institutional failure; systemic cascade; path-dependent recovery</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sz w:val="22"/>
                <w:szCs w:val="22"/>
              </w:rPr>
              <w:t xml:space="preserve">Soviet Union 1985–1991</w:t>
            </w:r>
          </w:p>
        </w:tc>
      </w:tr>
    </w:tbl>
    <w:p>
      <w:pPr>
        <w:spacing w:after="60" w:before="60"/>
      </w:pPr>
      <w:r>
        <w:t xml:space="preserve"/>
      </w:r>
    </w:p>
    <w:p>
      <w:pPr>
        <w:spacing w:after="80" w:before="80"/>
      </w:pPr>
      <w:r>
        <w:rPr>
          <w:rFonts w:ascii="Times New Roman" w:cs="Times New Roman" w:eastAsia="Times New Roman" w:hAnsi="Times New Roman"/>
          <w:sz w:val="24"/>
          <w:szCs w:val="24"/>
        </w:rPr>
        <w:t xml:space="preserve">Threshold calibration note: S_low and S_critical are system-dependent. They cannot be read as universal constants. Calibration requires historical case mapping (see Section 3) and iterative proxy testing.</w:t>
      </w:r>
    </w:p>
    <w:p>
      <w:pPr>
        <w:spacing w:after="60" w:before="60"/>
      </w:pPr>
      <w:r>
        <w:t xml:space="preserve"/>
      </w:r>
    </w:p>
    <w:p>
      <w:pPr>
        <w:pStyle w:val="Heading2"/>
        <w:spacing w:after="140" w:before="280"/>
      </w:pPr>
      <w:r>
        <w:rPr>
          <w:rFonts w:ascii="Arial" w:cs="Arial" w:eastAsia="Arial" w:hAnsi="Arial"/>
          <w:b/>
          <w:bCs/>
          <w:color w:val="2E5596"/>
          <w:sz w:val="28"/>
          <w:szCs w:val="28"/>
        </w:rPr>
        <w:t xml:space="preserve">1.4 Integration with SOE Simulation Variables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4360"/>
      </w:tblGrid>
      <w:tr>
        <w:trPr>
          <w:tblHeader/>
        </w:trPr>
        <w:tc>
          <w:tcPr>
            <w:tcW w:type="dxa" w:w="220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r>
              <w:rPr>
                <w:rFonts w:ascii="Arial" w:cs="Arial" w:eastAsia="Arial" w:hAnsi="Arial"/>
                <w:b/>
                <w:bCs/>
                <w:sz w:val="22"/>
                <w:szCs w:val="22"/>
              </w:rPr>
              <w:t xml:space="preserve">ACGM Variable</w:t>
            </w:r>
          </w:p>
        </w:tc>
        <w:tc>
          <w:tcPr>
            <w:tcW w:type="dxa" w:w="280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r>
              <w:rPr>
                <w:rFonts w:ascii="Arial" w:cs="Arial" w:eastAsia="Arial" w:hAnsi="Arial"/>
                <w:b/>
                <w:bCs/>
                <w:sz w:val="22"/>
                <w:szCs w:val="22"/>
              </w:rPr>
              <w:t xml:space="preserve">SOE Simulation Variable</w:t>
            </w:r>
          </w:p>
        </w:tc>
        <w:tc>
          <w:tcPr>
            <w:tcW w:type="dxa" w:w="436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r>
              <w:rPr>
                <w:rFonts w:ascii="Arial" w:cs="Arial" w:eastAsia="Arial" w:hAnsi="Arial"/>
                <w:b/>
                <w:bCs/>
                <w:sz w:val="22"/>
                <w:szCs w:val="22"/>
              </w:rPr>
              <w:t xml:space="preserve">SOE Law Reference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sz w:val="22"/>
                <w:szCs w:val="22"/>
              </w:rPr>
              <w:t xml:space="preserve">A(t) — Acceleration</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sz w:val="22"/>
                <w:szCs w:val="22"/>
              </w:rPr>
              <w:t xml:space="preserve">D(t) — Disturbance Level</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sz w:val="22"/>
                <w:szCs w:val="22"/>
              </w:rPr>
              <w:t xml:space="preserve">Law 3: Disturbance is dominant limiting variable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sz w:val="22"/>
                <w:szCs w:val="22"/>
              </w:rPr>
              <w:t xml:space="preserve">R(t) — Regulation Capacity</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sz w:val="22"/>
                <w:szCs w:val="22"/>
              </w:rPr>
              <w:t xml:space="preserve">T(t) — Trust Level</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sz w:val="22"/>
                <w:szCs w:val="22"/>
              </w:rPr>
              <w:t xml:space="preserve">Law 1: Trust-recovery loop is load-bearing structure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sz w:val="22"/>
                <w:szCs w:val="22"/>
              </w:rPr>
              <w:t xml:space="preserve">S(t) — Social Buffer</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sz w:val="22"/>
                <w:szCs w:val="22"/>
              </w:rPr>
              <w:t xml:space="preserve">W(t) — Structural Weight</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sz w:val="22"/>
                <w:szCs w:val="22"/>
              </w:rPr>
              <w:t xml:space="preserve">Law 8: W(t) ≥ 0.85–0.90 required for stability</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sz w:val="22"/>
                <w:szCs w:val="22"/>
              </w:rPr>
              <w:t xml:space="preserve">Stress(t)</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sz w:val="22"/>
                <w:szCs w:val="22"/>
              </w:rPr>
              <w:t xml:space="preserve">1 - Stability(t)</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sz w:val="22"/>
                <w:szCs w:val="22"/>
              </w:rPr>
              <w:t xml:space="preserve">Law 12: Stability envelope defines system survival conditions</w:t>
            </w:r>
          </w:p>
        </w:tc>
      </w:tr>
    </w:tbl>
    <w:p>
      <w:pPr>
        <w:spacing w:after="60" w:before="60"/>
      </w:pPr>
      <w:r>
        <w:t xml:space="preserve"/>
      </w:r>
    </w:p>
    <w:p>
      <w:pPr>
        <w:spacing w:after="80" w:before="80"/>
      </w:pPr>
      <w:r>
        <w:rPr>
          <w:rFonts w:ascii="Times New Roman" w:cs="Times New Roman" w:eastAsia="Times New Roman" w:hAnsi="Times New Roman"/>
          <w:sz w:val="24"/>
          <w:szCs w:val="24"/>
        </w:rPr>
        <w:t xml:space="preserve">This mapping allows ACGM stress to be operationalized within SOE simulation parameters. However, the SOE simulation thresholds (0.85, 0.055) were derived from closed-system simulation — they require external validation before application to empirical cases. Section 3 provides this external validation through historical case analysis.</w:t>
      </w:r>
    </w:p>
    <w:p>
      <w:pPr>
        <w:spacing w:after="60" w:before="60"/>
      </w:pPr>
      <w:r>
        <w:t xml:space="preserve"/>
      </w:r>
    </w:p>
    <w:p>
      <w:pPr>
        <w:pStyle w:val="Heading1"/>
        <w:spacing w:after="180" w:before="360"/>
      </w:pPr>
      <w:r>
        <w:rPr>
          <w:rFonts w:ascii="Arial" w:cs="Arial" w:eastAsia="Arial" w:hAnsi="Arial"/>
          <w:b/>
          <w:bCs/>
          <w:color w:val="1F3864"/>
          <w:sz w:val="36"/>
          <w:szCs w:val="36"/>
        </w:rPr>
        <w:t xml:space="preserve">2. The Five Structural Failure Modes</w:t>
      </w:r>
    </w:p>
    <w:p>
      <w:pPr>
        <w:spacing w:after="80" w:before="80"/>
      </w:pPr>
      <w:r>
        <w:rPr>
          <w:rFonts w:ascii="Times New Roman" w:cs="Times New Roman" w:eastAsia="Times New Roman" w:hAnsi="Times New Roman"/>
          <w:sz w:val="24"/>
          <w:szCs w:val="24"/>
        </w:rPr>
        <w:t xml:space="preserve">Each failure mode represents a distinct pathway through which systems exit the stability regime. The modes interact and amplify each other (see Section 4), but each has a distinct primary mechanism formally defined and independently detectable.</w:t>
      </w:r>
    </w:p>
    <w:p>
      <w:pPr>
        <w:spacing w:after="60" w:before="60"/>
      </w:pPr>
      <w:r>
        <w:t xml:space="preserve"/>
      </w:r>
    </w:p>
    <w:p>
      <w:pPr>
        <w:spacing w:after="80" w:before="80"/>
      </w:pPr>
      <w:r>
        <w:rPr>
          <w:rFonts w:ascii="Times New Roman" w:cs="Times New Roman" w:eastAsia="Times New Roman" w:hAnsi="Times New Roman"/>
          <w:b/>
          <w:bCs/>
          <w:sz w:val="24"/>
          <w:szCs w:val="24"/>
        </w:rPr>
        <w:t xml:space="preserve">Clarification on FM I vs FM V: </w:t>
      </w:r>
      <w:r>
        <w:rPr>
          <w:rFonts w:ascii="Times New Roman" w:cs="Times New Roman" w:eastAsia="Times New Roman" w:hAnsi="Times New Roman"/>
          <w:sz w:val="24"/>
          <w:szCs w:val="24"/>
        </w:rPr>
        <w:t xml:space="preserve">These two modes are related but structurally distinct. FM I (Acceleration-Capacity Gap) is a </w:t>
      </w:r>
      <w:r>
        <w:rPr>
          <w:rFonts w:ascii="Times New Roman" w:cs="Times New Roman" w:eastAsia="Times New Roman" w:hAnsi="Times New Roman"/>
          <w:i/>
          <w:iCs/>
          <w:sz w:val="24"/>
          <w:szCs w:val="24"/>
        </w:rPr>
        <w:t xml:space="preserve">temporal</w:t>
      </w:r>
      <w:r>
        <w:rPr>
          <w:rFonts w:ascii="Times New Roman" w:cs="Times New Roman" w:eastAsia="Times New Roman" w:hAnsi="Times New Roman"/>
          <w:sz w:val="24"/>
          <w:szCs w:val="24"/>
        </w:rPr>
        <w:t xml:space="preserve"> mismatch — change velocity exceeds response speed. FM V (Complexity Overload) is a </w:t>
      </w:r>
      <w:r>
        <w:rPr>
          <w:rFonts w:ascii="Times New Roman" w:cs="Times New Roman" w:eastAsia="Times New Roman" w:hAnsi="Times New Roman"/>
          <w:i/>
          <w:iCs/>
          <w:sz w:val="24"/>
          <w:szCs w:val="24"/>
        </w:rPr>
        <w:t xml:space="preserve">structural</w:t>
      </w:r>
      <w:r>
        <w:rPr>
          <w:rFonts w:ascii="Times New Roman" w:cs="Times New Roman" w:eastAsia="Times New Roman" w:hAnsi="Times New Roman"/>
          <w:sz w:val="24"/>
          <w:szCs w:val="24"/>
        </w:rPr>
        <w:t xml:space="preserve"> mismatch — system interdependencies exceed comprehension capacity. A system can exhibit FM V without FM I (complexity grows even in slow-change environments) and FM I without FM V (fast change can occur in simple systems).</w:t>
      </w:r>
    </w:p>
    <w:p>
      <w:pPr>
        <w:spacing w:after="60" w:before="60"/>
      </w:pPr>
      <w:r>
        <w:t xml:space="preserve"/>
      </w:r>
    </w:p>
    <w:p>
      <w:pPr>
        <w:pStyle w:val="Heading2"/>
        <w:spacing w:after="140" w:before="280"/>
      </w:pPr>
      <w:r>
        <w:rPr>
          <w:rFonts w:ascii="Arial" w:cs="Arial" w:eastAsia="Arial" w:hAnsi="Arial"/>
          <w:b/>
          <w:bCs/>
          <w:color w:val="2E5596"/>
          <w:sz w:val="28"/>
          <w:szCs w:val="28"/>
        </w:rPr>
        <w:t xml:space="preserve">2.1 Failure Mode I: Acceleration-Capacity Gap (Temporal Mismatch)</w:t>
      </w:r>
    </w:p>
    <w:p>
      <w:pPr>
        <w:pStyle w:val="Heading3"/>
        <w:spacing w:after="100" w:before="200"/>
      </w:pPr>
      <w:r>
        <w:rPr>
          <w:rFonts w:ascii="Arial" w:cs="Arial" w:eastAsia="Arial" w:hAnsi="Arial"/>
          <w:b/>
          <w:bCs/>
          <w:color w:val="4A6FA5"/>
          <w:sz w:val="24"/>
          <w:szCs w:val="24"/>
        </w:rPr>
        <w:t xml:space="preserve">Formal Definition</w:t>
      </w:r>
    </w:p>
    <w:p>
      <w:pPr>
        <w:spacing w:after="80" w:before="80"/>
      </w:pPr>
      <w:r>
        <w:rPr>
          <w:rFonts w:ascii="Times New Roman" w:cs="Times New Roman" w:eastAsia="Times New Roman" w:hAnsi="Times New Roman"/>
          <w:sz w:val="24"/>
          <w:szCs w:val="24"/>
        </w:rPr>
        <w:t xml:space="preserve">Let L(t) = institutional lag time (detection-to-response interval). Let ΔE_max = maximum permissible gap between institutional perception and actual system state. FM I activates when:</w:t>
      </w:r>
    </w:p>
    <w:p>
      <w:pPr>
        <w:spacing w:after="160" w:before="160"/>
        <w:jc w:val="center"/>
      </w:pPr>
      <w:r>
        <w:rPr>
          <w:rFonts w:ascii="Courier New" w:cs="Courier New" w:eastAsia="Courier New" w:hAnsi="Courier New"/>
          <w:b/>
          <w:bCs/>
          <w:sz w:val="24"/>
          <w:szCs w:val="24"/>
        </w:rPr>
        <w:t xml:space="preserve">A(t) × L(t) &gt; ΔE_max</w:t>
      </w:r>
    </w:p>
    <w:p>
      <w:pPr>
        <w:spacing w:after="80" w:before="80"/>
      </w:pPr>
      <w:r>
        <w:rPr>
          <w:rFonts w:ascii="Times New Roman" w:cs="Times New Roman" w:eastAsia="Times New Roman" w:hAnsi="Times New Roman"/>
          <w:sz w:val="24"/>
          <w:szCs w:val="24"/>
        </w:rPr>
        <w:t xml:space="preserve">ΔE_max is system-dependent. Approximate calibration: for democratic governance systems, L(t) is bounded below by electoral cycles (2–4 years) and above by constitutional amendment processes (10+ years). ΔE_max scales with institutional redundancy — systems with parallel decision pathways tolerate larger gaps before failure.</w:t>
      </w:r>
    </w:p>
    <w:p>
      <w:pPr>
        <w:spacing w:after="60" w:before="60"/>
      </w:pPr>
      <w:r>
        <w:t xml:space="preserve"/>
      </w:r>
    </w:p>
    <w:p>
      <w:pPr>
        <w:pStyle w:val="Heading3"/>
        <w:spacing w:after="100" w:before="200"/>
      </w:pPr>
      <w:r>
        <w:rPr>
          <w:rFonts w:ascii="Arial" w:cs="Arial" w:eastAsia="Arial" w:hAnsi="Arial"/>
          <w:b/>
          <w:bCs/>
          <w:color w:val="4A6FA5"/>
          <w:sz w:val="24"/>
          <w:szCs w:val="24"/>
        </w:rPr>
        <w:t xml:space="preserve">Mechanism</w:t>
      </w:r>
    </w:p>
    <w:p>
      <w:pPr>
        <w:pStyle w:val="ListParagraph"/>
        <w:numPr>
          <w:ilvl w:val="0"/>
          <w:numId w:val="2"/>
        </w:numPr>
        <w:spacing w:after="40" w:before="40"/>
      </w:pPr>
      <w:r>
        <w:rPr>
          <w:rFonts w:ascii="Times New Roman" w:cs="Times New Roman" w:eastAsia="Times New Roman" w:hAnsi="Times New Roman"/>
          <w:sz w:val="24"/>
          <w:szCs w:val="24"/>
        </w:rPr>
        <w:t xml:space="preserve">Technological acceleration operates on exponential curves; institutional adaptation is linear at best</w:t>
      </w:r>
    </w:p>
    <w:p>
      <w:pPr>
        <w:pStyle w:val="ListParagraph"/>
        <w:numPr>
          <w:ilvl w:val="0"/>
          <w:numId w:val="2"/>
        </w:numPr>
        <w:spacing w:after="40" w:before="40"/>
      </w:pPr>
      <w:r>
        <w:rPr>
          <w:rFonts w:ascii="Times New Roman" w:cs="Times New Roman" w:eastAsia="Times New Roman" w:hAnsi="Times New Roman"/>
          <w:sz w:val="24"/>
          <w:szCs w:val="24"/>
        </w:rPr>
        <w:t xml:space="preserve">Capital scaling compresses competitive cycles faster than regulatory frameworks can track</w:t>
      </w:r>
    </w:p>
    <w:p>
      <w:pPr>
        <w:pStyle w:val="ListParagraph"/>
        <w:numPr>
          <w:ilvl w:val="0"/>
          <w:numId w:val="2"/>
        </w:numPr>
        <w:spacing w:after="40" w:before="40"/>
      </w:pPr>
      <w:r>
        <w:rPr>
          <w:rFonts w:ascii="Times New Roman" w:cs="Times New Roman" w:eastAsia="Times New Roman" w:hAnsi="Times New Roman"/>
          <w:sz w:val="24"/>
          <w:szCs w:val="24"/>
        </w:rPr>
        <w:t xml:space="preserve">Human cognitive limits and consensus requirements create hard floors on L(t) reduction</w:t>
      </w:r>
    </w:p>
    <w:p>
      <w:pPr>
        <w:spacing w:after="60" w:before="60"/>
      </w:pPr>
      <w:r>
        <w:t xml:space="preserve"/>
      </w:r>
    </w:p>
    <w:p>
      <w:pPr>
        <w:pStyle w:val="Heading3"/>
        <w:spacing w:after="100" w:before="200"/>
      </w:pPr>
      <w:r>
        <w:rPr>
          <w:rFonts w:ascii="Arial" w:cs="Arial" w:eastAsia="Arial" w:hAnsi="Arial"/>
          <w:b/>
          <w:bCs/>
          <w:color w:val="4A6FA5"/>
          <w:sz w:val="24"/>
          <w:szCs w:val="24"/>
        </w:rPr>
        <w:t xml:space="preserve">Detection Conditions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600"/>
        <w:gridCol w:w="3560"/>
      </w:tblGrid>
      <w:tr>
        <w:trPr>
          <w:tblHeader/>
        </w:trPr>
        <w:tc>
          <w:tcPr>
            <w:tcW w:type="dxa" w:w="220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r>
              <w:rPr>
                <w:rFonts w:ascii="Arial" w:cs="Arial" w:eastAsia="Arial" w:hAnsi="Arial"/>
                <w:b/>
                <w:bCs/>
                <w:sz w:val="22"/>
                <w:szCs w:val="22"/>
              </w:rPr>
              <w:t xml:space="preserve">Signal</w:t>
            </w:r>
          </w:p>
        </w:tc>
        <w:tc>
          <w:tcPr>
            <w:tcW w:type="dxa" w:w="360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r>
              <w:rPr>
                <w:rFonts w:ascii="Arial" w:cs="Arial" w:eastAsia="Arial" w:hAnsi="Arial"/>
                <w:b/>
                <w:bCs/>
                <w:sz w:val="22"/>
                <w:szCs w:val="22"/>
              </w:rPr>
              <w:t xml:space="preserve">Observable Proxy</w:t>
            </w:r>
          </w:p>
        </w:tc>
        <w:tc>
          <w:tcPr>
            <w:tcW w:type="dxa" w:w="356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r>
              <w:rPr>
                <w:rFonts w:ascii="Arial" w:cs="Arial" w:eastAsia="Arial" w:hAnsi="Arial"/>
                <w:b/>
                <w:bCs/>
                <w:sz w:val="22"/>
                <w:szCs w:val="22"/>
              </w:rPr>
              <w:t xml:space="preserve">Approximate Threshold</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sz w:val="22"/>
                <w:szCs w:val="22"/>
              </w:rPr>
              <w:t xml:space="preserve">Policy Lag</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sz w:val="22"/>
                <w:szCs w:val="22"/>
              </w:rPr>
              <w:t xml:space="preserve">Time between problem emergence and legislative response</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sz w:val="22"/>
                <w:szCs w:val="22"/>
              </w:rPr>
              <w:t xml:space="preserve">&gt; 2× problem evolution timescale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sz w:val="22"/>
                <w:szCs w:val="22"/>
              </w:rPr>
              <w:t xml:space="preserve">Reactive Posture Shift</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sz w:val="22"/>
                <w:szCs w:val="22"/>
              </w:rPr>
              <w:t xml:space="preserve">Ratio of reactive-to-proactive institutional actions (budget allocation proxy)</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sz w:val="22"/>
                <w:szCs w:val="22"/>
              </w:rPr>
              <w:t xml:space="preserve">&gt; 3:1 reactive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sz w:val="22"/>
                <w:szCs w:val="22"/>
              </w:rPr>
              <w:t xml:space="preserve">Confidence-Outcome Divergence</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sz w:val="22"/>
                <w:szCs w:val="22"/>
              </w:rPr>
              <w:t xml:space="preserve">Correlation between institutional confidence statements and measured outcomes</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sz w:val="22"/>
                <w:szCs w:val="22"/>
              </w:rPr>
              <w:t xml:space="preserve">Sustained negative correlation</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sz w:val="22"/>
                <w:szCs w:val="22"/>
              </w:rPr>
              <w:t xml:space="preserve">Contradictory Policy Rate</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sz w:val="22"/>
                <w:szCs w:val="22"/>
              </w:rPr>
              <w:t xml:space="preserve">Frequency of policy reversals within single institutional cycle</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sz w:val="22"/>
                <w:szCs w:val="22"/>
              </w:rPr>
              <w:t xml:space="preserve">Increasing trend</w:t>
            </w:r>
          </w:p>
        </w:tc>
      </w:tr>
    </w:tbl>
    <w:p>
      <w:pPr>
        <w:spacing w:after="60" w:before="60"/>
      </w:pPr>
      <w:r>
        <w:t xml:space="preserve"/>
      </w:r>
    </w:p>
    <w:p>
      <w:pPr>
        <w:pStyle w:val="Heading3"/>
        <w:spacing w:after="100" w:before="200"/>
      </w:pPr>
      <w:r>
        <w:rPr>
          <w:rFonts w:ascii="Arial" w:cs="Arial" w:eastAsia="Arial" w:hAnsi="Arial"/>
          <w:b/>
          <w:bCs/>
          <w:color w:val="4A6FA5"/>
          <w:sz w:val="24"/>
          <w:szCs w:val="24"/>
        </w:rPr>
        <w:t xml:space="preserve">SOE Law Mapping</w:t>
      </w:r>
    </w:p>
    <w:p>
      <w:pPr>
        <w:pStyle w:val="ListParagraph"/>
        <w:numPr>
          <w:ilvl w:val="0"/>
          <w:numId w:val="2"/>
        </w:numPr>
        <w:spacing w:after="40" w:before="40"/>
      </w:pPr>
      <w:r>
        <w:rPr>
          <w:rFonts w:ascii="Times New Roman" w:cs="Times New Roman" w:eastAsia="Times New Roman" w:hAnsi="Times New Roman"/>
          <w:sz w:val="24"/>
          <w:szCs w:val="24"/>
        </w:rPr>
        <w:t xml:space="preserve">Law 3 (Disturbance Dominance): D(t) &gt; D_threshold maps to A(t) × L(t) &gt; ΔE_max</w:t>
      </w:r>
    </w:p>
    <w:p>
      <w:pPr>
        <w:pStyle w:val="ListParagraph"/>
        <w:numPr>
          <w:ilvl w:val="0"/>
          <w:numId w:val="2"/>
        </w:numPr>
        <w:spacing w:after="40" w:before="40"/>
      </w:pPr>
      <w:r>
        <w:rPr>
          <w:rFonts w:ascii="Times New Roman" w:cs="Times New Roman" w:eastAsia="Times New Roman" w:hAnsi="Times New Roman"/>
          <w:sz w:val="24"/>
          <w:szCs w:val="24"/>
        </w:rPr>
        <w:t xml:space="preserve">Law 5 (Lock Mechanism): Stability lock requires D(t) below critical threshold — equivalent to keeping A × L &lt; ΔE_max</w:t>
      </w:r>
    </w:p>
    <w:p>
      <w:pPr>
        <w:spacing w:after="60" w:before="60"/>
      </w:pPr>
      <w:r>
        <w:t xml:space="preserve"/>
      </w:r>
    </w:p>
    <w:p>
      <w:pPr>
        <w:pStyle w:val="Heading2"/>
        <w:spacing w:after="140" w:before="280"/>
      </w:pPr>
      <w:r>
        <w:rPr>
          <w:rFonts w:ascii="Arial" w:cs="Arial" w:eastAsia="Arial" w:hAnsi="Arial"/>
          <w:b/>
          <w:bCs/>
          <w:color w:val="2E5596"/>
          <w:sz w:val="28"/>
          <w:szCs w:val="28"/>
        </w:rPr>
        <w:t xml:space="preserve">2.2 Failure Mode II: Institutional Lock-in</w:t>
      </w:r>
    </w:p>
    <w:p>
      <w:pPr>
        <w:pStyle w:val="Heading3"/>
        <w:spacing w:after="100" w:before="200"/>
      </w:pPr>
      <w:r>
        <w:rPr>
          <w:rFonts w:ascii="Arial" w:cs="Arial" w:eastAsia="Arial" w:hAnsi="Arial"/>
          <w:b/>
          <w:bCs/>
          <w:color w:val="4A6FA5"/>
          <w:sz w:val="24"/>
          <w:szCs w:val="24"/>
        </w:rPr>
        <w:t xml:space="preserve">Formal Definition</w:t>
      </w:r>
    </w:p>
    <w:p>
      <w:pPr>
        <w:spacing w:after="80" w:before="80"/>
      </w:pPr>
      <w:r>
        <w:rPr>
          <w:rFonts w:ascii="Times New Roman" w:cs="Times New Roman" w:eastAsia="Times New Roman" w:hAnsi="Times New Roman"/>
          <w:sz w:val="24"/>
          <w:szCs w:val="24"/>
        </w:rPr>
        <w:t xml:space="preserve">Let P_i(t) = power concentration in institution i, C_i(t) = cost of restructuring institution i, Reform_i(t) = probability of successful self-correction. FM II activates when all three conditions hold simultaneously:</w:t>
      </w:r>
    </w:p>
    <w:p>
      <w:pPr>
        <w:spacing w:after="160" w:before="160"/>
        <w:jc w:val="center"/>
      </w:pPr>
      <w:r>
        <w:rPr>
          <w:rFonts w:ascii="Courier New" w:cs="Courier New" w:eastAsia="Courier New" w:hAnsi="Courier New"/>
          <w:b/>
          <w:bCs/>
          <w:sz w:val="24"/>
          <w:szCs w:val="24"/>
        </w:rPr>
        <w:t xml:space="preserve">dC_i/dt &gt; 0  AND  dP_i/dt &gt; 0  AND  d(Reform_i)/dt &lt; 0</w:t>
      </w:r>
    </w:p>
    <w:p>
      <w:pPr>
        <w:spacing w:after="80" w:before="80"/>
      </w:pPr>
      <w:r>
        <w:rPr>
          <w:rFonts w:ascii="Times New Roman" w:cs="Times New Roman" w:eastAsia="Times New Roman" w:hAnsi="Times New Roman"/>
          <w:sz w:val="24"/>
          <w:szCs w:val="24"/>
        </w:rPr>
        <w:t xml:space="preserve">This triple condition distinguishes lock-in from ordinary institutional inertia. Inertia produces slow reform; lock-in produces reform impossibility. The key diagnostic: does the institution generate internal pressure for reform proportional to external performance failure? Lock-in is present when this relationship inverts.</w:t>
      </w:r>
    </w:p>
    <w:p>
      <w:pPr>
        <w:spacing w:after="60" w:before="60"/>
      </w:pPr>
      <w:r>
        <w:t xml:space="preserve"/>
      </w:r>
    </w:p>
    <w:p>
      <w:pPr>
        <w:pStyle w:val="Heading3"/>
        <w:spacing w:after="100" w:before="200"/>
      </w:pPr>
      <w:r>
        <w:rPr>
          <w:rFonts w:ascii="Arial" w:cs="Arial" w:eastAsia="Arial" w:hAnsi="Arial"/>
          <w:b/>
          <w:bCs/>
          <w:color w:val="4A6FA5"/>
          <w:sz w:val="24"/>
          <w:szCs w:val="24"/>
        </w:rPr>
        <w:t xml:space="preserve">Mechanism</w:t>
      </w:r>
    </w:p>
    <w:p>
      <w:pPr>
        <w:pStyle w:val="ListParagraph"/>
        <w:numPr>
          <w:ilvl w:val="0"/>
          <w:numId w:val="2"/>
        </w:numPr>
        <w:spacing w:after="40" w:before="40"/>
      </w:pPr>
      <w:r>
        <w:rPr>
          <w:rFonts w:ascii="Times New Roman" w:cs="Times New Roman" w:eastAsia="Times New Roman" w:hAnsi="Times New Roman"/>
          <w:sz w:val="24"/>
          <w:szCs w:val="24"/>
        </w:rPr>
        <w:t xml:space="preserve">Power Entrenchment: Resources and authority accumulate; those in power develop interests conflicting with institutional mission</w:t>
      </w:r>
    </w:p>
    <w:p>
      <w:pPr>
        <w:pStyle w:val="ListParagraph"/>
        <w:numPr>
          <w:ilvl w:val="0"/>
          <w:numId w:val="2"/>
        </w:numPr>
        <w:spacing w:after="40" w:before="40"/>
      </w:pPr>
      <w:r>
        <w:rPr>
          <w:rFonts w:ascii="Times New Roman" w:cs="Times New Roman" w:eastAsia="Times New Roman" w:hAnsi="Times New Roman"/>
          <w:sz w:val="24"/>
          <w:szCs w:val="24"/>
        </w:rPr>
        <w:t xml:space="preserve">Path Dependency: Restructuring cost increases superlinearly with institutional age; sunk costs create self-reinforcing resistance</w:t>
      </w:r>
    </w:p>
    <w:p>
      <w:pPr>
        <w:pStyle w:val="ListParagraph"/>
        <w:numPr>
          <w:ilvl w:val="0"/>
          <w:numId w:val="2"/>
        </w:numPr>
        <w:spacing w:after="40" w:before="40"/>
      </w:pPr>
      <w:r>
        <w:rPr>
          <w:rFonts w:ascii="Times New Roman" w:cs="Times New Roman" w:eastAsia="Times New Roman" w:hAnsi="Times New Roman"/>
          <w:sz w:val="24"/>
          <w:szCs w:val="24"/>
        </w:rPr>
        <w:t xml:space="preserve">Narrative Capture: Institutions control interpretation of own success/failure; failure redefined to protect institutional position</w:t>
      </w:r>
    </w:p>
    <w:p>
      <w:pPr>
        <w:pStyle w:val="ListParagraph"/>
        <w:numPr>
          <w:ilvl w:val="0"/>
          <w:numId w:val="2"/>
        </w:numPr>
        <w:spacing w:after="40" w:before="40"/>
      </w:pPr>
      <w:r>
        <w:rPr>
          <w:rFonts w:ascii="Times New Roman" w:cs="Times New Roman" w:eastAsia="Times New Roman" w:hAnsi="Times New Roman"/>
          <w:sz w:val="24"/>
          <w:szCs w:val="24"/>
        </w:rPr>
        <w:t xml:space="preserve">Personnel Reproduction: Successors trained in existing logic; critical examination systematically excluded from institutional culture</w:t>
      </w:r>
    </w:p>
    <w:p>
      <w:pPr>
        <w:spacing w:after="60" w:before="60"/>
      </w:pPr>
      <w:r>
        <w:t xml:space="preserve"/>
      </w:r>
    </w:p>
    <w:p>
      <w:pPr>
        <w:pStyle w:val="Heading3"/>
        <w:spacing w:after="100" w:before="200"/>
      </w:pPr>
      <w:r>
        <w:rPr>
          <w:rFonts w:ascii="Arial" w:cs="Arial" w:eastAsia="Arial" w:hAnsi="Arial"/>
          <w:b/>
          <w:bCs/>
          <w:color w:val="4A6FA5"/>
          <w:sz w:val="24"/>
          <w:szCs w:val="24"/>
        </w:rPr>
        <w:t xml:space="preserve">SOE Law Mapping</w:t>
      </w:r>
    </w:p>
    <w:p>
      <w:pPr>
        <w:pStyle w:val="ListParagraph"/>
        <w:numPr>
          <w:ilvl w:val="0"/>
          <w:numId w:val="2"/>
        </w:numPr>
        <w:spacing w:after="40" w:before="40"/>
      </w:pPr>
      <w:r>
        <w:rPr>
          <w:rFonts w:ascii="Times New Roman" w:cs="Times New Roman" w:eastAsia="Times New Roman" w:hAnsi="Times New Roman"/>
          <w:sz w:val="24"/>
          <w:szCs w:val="24"/>
        </w:rPr>
        <w:t xml:space="preserve">Law 7 (Governance Null Result): When lock-in exceeds threshold, governance produces ~0 stability effect — 40% capacity increase, near-zero outcome. This is the simulation analog of institutions becoming ceremonial rather than functional</w:t>
      </w:r>
    </w:p>
    <w:p>
      <w:pPr>
        <w:pStyle w:val="ListParagraph"/>
        <w:numPr>
          <w:ilvl w:val="0"/>
          <w:numId w:val="2"/>
        </w:numPr>
        <w:spacing w:after="40" w:before="40"/>
      </w:pPr>
      <w:r>
        <w:rPr>
          <w:rFonts w:ascii="Times New Roman" w:cs="Times New Roman" w:eastAsia="Times New Roman" w:hAnsi="Times New Roman"/>
          <w:sz w:val="24"/>
          <w:szCs w:val="24"/>
        </w:rPr>
        <w:t xml:space="preserve">Law 10 (Cooperation Threshold): Lock-in breaks only when external cooperation pressure exceeds 0.80 — the threshold at which institutional self-preservation loses to systemic survival pressure</w:t>
      </w:r>
    </w:p>
    <w:p>
      <w:pPr>
        <w:spacing w:after="60" w:before="60"/>
      </w:pPr>
      <w:r>
        <w:t xml:space="preserve"/>
      </w:r>
    </w:p>
    <w:p>
      <w:pPr>
        <w:pStyle w:val="Heading2"/>
        <w:spacing w:after="140" w:before="280"/>
      </w:pPr>
      <w:r>
        <w:rPr>
          <w:rFonts w:ascii="Arial" w:cs="Arial" w:eastAsia="Arial" w:hAnsi="Arial"/>
          <w:b/>
          <w:bCs/>
          <w:color w:val="2E5596"/>
          <w:sz w:val="28"/>
          <w:szCs w:val="28"/>
        </w:rPr>
        <w:t xml:space="preserve">2.3 Failure Mode III: Value Collapse</w:t>
      </w:r>
    </w:p>
    <w:p>
      <w:pPr>
        <w:pStyle w:val="Heading3"/>
        <w:spacing w:after="100" w:before="200"/>
      </w:pPr>
      <w:r>
        <w:rPr>
          <w:rFonts w:ascii="Arial" w:cs="Arial" w:eastAsia="Arial" w:hAnsi="Arial"/>
          <w:b/>
          <w:bCs/>
          <w:color w:val="4A6FA5"/>
          <w:sz w:val="24"/>
          <w:szCs w:val="24"/>
        </w:rPr>
        <w:t xml:space="preserve">Formal Definition</w:t>
      </w:r>
    </w:p>
    <w:p>
      <w:pPr>
        <w:spacing w:after="80" w:before="80"/>
      </w:pPr>
      <w:r>
        <w:rPr>
          <w:rFonts w:ascii="Times New Roman" w:cs="Times New Roman" w:eastAsia="Times New Roman" w:hAnsi="Times New Roman"/>
          <w:sz w:val="24"/>
          <w:szCs w:val="24"/>
        </w:rPr>
        <w:t xml:space="preserve">Let V = {v_1, ..., v_n} be critical civilizational values, each with system-dependent feasible range [v_i_min, v_i_max]. Stability requires all values within feasible range simultaneously:</w:t>
      </w:r>
    </w:p>
    <w:p>
      <w:pPr>
        <w:spacing w:after="160" w:before="160"/>
        <w:jc w:val="center"/>
      </w:pPr>
      <w:r>
        <w:rPr>
          <w:rFonts w:ascii="Courier New" w:cs="Courier New" w:eastAsia="Courier New" w:hAnsi="Courier New"/>
          <w:b/>
          <w:bCs/>
          <w:sz w:val="24"/>
          <w:szCs w:val="24"/>
        </w:rPr>
        <w:t xml:space="preserve">v_i_min ≤ v_i(t) ≤ v_i_max  for all i</w:t>
      </w:r>
    </w:p>
    <w:p>
      <w:pPr>
        <w:spacing w:after="80" w:before="80"/>
      </w:pPr>
      <w:r>
        <w:rPr>
          <w:rFonts w:ascii="Times New Roman" w:cs="Times New Roman" w:eastAsia="Times New Roman" w:hAnsi="Times New Roman"/>
          <w:sz w:val="24"/>
          <w:szCs w:val="24"/>
        </w:rPr>
        <w:t xml:space="preserve">FM III (Value Collapse) occurs when optimization pressure on dominant value v_d forces suppressed values outside feasible range:</w:t>
      </w:r>
    </w:p>
    <w:p>
      <w:pPr>
        <w:spacing w:after="160" w:before="160"/>
        <w:jc w:val="center"/>
      </w:pPr>
      <w:r>
        <w:rPr>
          <w:rFonts w:ascii="Courier New" w:cs="Courier New" w:eastAsia="Courier New" w:hAnsi="Courier New"/>
          <w:b/>
          <w:bCs/>
          <w:sz w:val="24"/>
          <w:szCs w:val="24"/>
        </w:rPr>
        <w:t xml:space="preserve">max v_d(t)  →  v_i(t) &lt; v_i_min  for some i ≠ d</w:t>
      </w:r>
    </w:p>
    <w:p>
      <w:pPr>
        <w:spacing w:after="80" w:before="80"/>
      </w:pPr>
      <w:r>
        <w:rPr>
          <w:rFonts w:ascii="Times New Roman" w:cs="Times New Roman" w:eastAsia="Times New Roman" w:hAnsi="Times New Roman"/>
          <w:sz w:val="24"/>
          <w:szCs w:val="24"/>
        </w:rPr>
        <w:t xml:space="preserve">The feasible ranges are not universal constants — they are empirically calibrated for each civilization's structural requirements. What constitutes 'minimum viable social cohesion' differs between a city-state and a continental democracy.</w:t>
      </w:r>
    </w:p>
    <w:p>
      <w:pPr>
        <w:spacing w:after="60" w:before="60"/>
      </w:pPr>
      <w:r>
        <w:t xml:space="preserve"/>
      </w:r>
    </w:p>
    <w:p>
      <w:pPr>
        <w:pStyle w:val="Heading3"/>
        <w:spacing w:after="100" w:before="200"/>
      </w:pPr>
      <w:r>
        <w:rPr>
          <w:rFonts w:ascii="Arial" w:cs="Arial" w:eastAsia="Arial" w:hAnsi="Arial"/>
          <w:b/>
          <w:bCs/>
          <w:color w:val="4A6FA5"/>
          <w:sz w:val="24"/>
          <w:szCs w:val="24"/>
        </w:rPr>
        <w:t xml:space="preserve">Mechanism</w:t>
      </w:r>
    </w:p>
    <w:p>
      <w:pPr>
        <w:pStyle w:val="ListParagraph"/>
        <w:numPr>
          <w:ilvl w:val="0"/>
          <w:numId w:val="2"/>
        </w:numPr>
        <w:spacing w:after="40" w:before="40"/>
      </w:pPr>
      <w:r>
        <w:rPr>
          <w:rFonts w:ascii="Times New Roman" w:cs="Times New Roman" w:eastAsia="Times New Roman" w:hAnsi="Times New Roman"/>
          <w:sz w:val="24"/>
          <w:szCs w:val="24"/>
        </w:rPr>
        <w:t xml:space="preserve">Feedback suppression: Signals that non-dominant values are collapsing are filtered through dominant-value institutional lens</w:t>
      </w:r>
    </w:p>
    <w:p>
      <w:pPr>
        <w:pStyle w:val="ListParagraph"/>
        <w:numPr>
          <w:ilvl w:val="0"/>
          <w:numId w:val="2"/>
        </w:numPr>
        <w:spacing w:after="40" w:before="40"/>
      </w:pPr>
      <w:r>
        <w:rPr>
          <w:rFonts w:ascii="Times New Roman" w:cs="Times New Roman" w:eastAsia="Times New Roman" w:hAnsi="Times New Roman"/>
          <w:sz w:val="24"/>
          <w:szCs w:val="24"/>
        </w:rPr>
        <w:t xml:space="preserve">Institutional monoculture: All institutions reorganize around dominant value; capacity to respond to suppressed-value crises atrophies</w:t>
      </w:r>
    </w:p>
    <w:p>
      <w:pPr>
        <w:pStyle w:val="ListParagraph"/>
        <w:numPr>
          <w:ilvl w:val="0"/>
          <w:numId w:val="2"/>
        </w:numPr>
        <w:spacing w:after="40" w:before="40"/>
      </w:pPr>
      <w:r>
        <w:rPr>
          <w:rFonts w:ascii="Times New Roman" w:cs="Times New Roman" w:eastAsia="Times New Roman" w:hAnsi="Times New Roman"/>
          <w:sz w:val="24"/>
          <w:szCs w:val="24"/>
        </w:rPr>
        <w:t xml:space="preserve">Inevitable oscillation: Suppressed values eventually become existential; resources suddenly shift; dominant value collapses in the reallocation</w:t>
      </w:r>
    </w:p>
    <w:p>
      <w:pPr>
        <w:pStyle w:val="ListParagraph"/>
        <w:numPr>
          <w:ilvl w:val="0"/>
          <w:numId w:val="2"/>
        </w:numPr>
        <w:spacing w:after="40" w:before="40"/>
      </w:pPr>
      <w:r>
        <w:rPr>
          <w:rFonts w:ascii="Times New Roman" w:cs="Times New Roman" w:eastAsia="Times New Roman" w:hAnsi="Times New Roman"/>
          <w:sz w:val="24"/>
          <w:szCs w:val="24"/>
        </w:rPr>
        <w:t xml:space="preserve">Oscillation amplification: Each oscillation cycle produces more rigid optimization, increasing violence of the next</w:t>
      </w:r>
    </w:p>
    <w:p>
      <w:pPr>
        <w:spacing w:after="60" w:before="60"/>
      </w:pPr>
      <w:r>
        <w:t xml:space="preserve"/>
      </w:r>
    </w:p>
    <w:p>
      <w:pPr>
        <w:pStyle w:val="Heading3"/>
        <w:spacing w:after="100" w:before="200"/>
      </w:pPr>
      <w:r>
        <w:rPr>
          <w:rFonts w:ascii="Arial" w:cs="Arial" w:eastAsia="Arial" w:hAnsi="Arial"/>
          <w:b/>
          <w:bCs/>
          <w:color w:val="4A6FA5"/>
          <w:sz w:val="24"/>
          <w:szCs w:val="24"/>
        </w:rPr>
        <w:t xml:space="preserve">SOE Law Mapping</w:t>
      </w:r>
    </w:p>
    <w:p>
      <w:pPr>
        <w:pStyle w:val="ListParagraph"/>
        <w:numPr>
          <w:ilvl w:val="0"/>
          <w:numId w:val="2"/>
        </w:numPr>
        <w:spacing w:after="40" w:before="40"/>
      </w:pPr>
      <w:r>
        <w:rPr>
          <w:rFonts w:ascii="Times New Roman" w:cs="Times New Roman" w:eastAsia="Times New Roman" w:hAnsi="Times New Roman"/>
          <w:sz w:val="24"/>
          <w:szCs w:val="24"/>
        </w:rPr>
        <w:t xml:space="preserve">Law 9 (Multi-Variable Stability): All stability variables must remain within bounds simultaneously — direct formalization of FM III</w:t>
      </w:r>
    </w:p>
    <w:p>
      <w:pPr>
        <w:pStyle w:val="ListParagraph"/>
        <w:numPr>
          <w:ilvl w:val="0"/>
          <w:numId w:val="2"/>
        </w:numPr>
        <w:spacing w:after="40" w:before="40"/>
      </w:pPr>
      <w:r>
        <w:rPr>
          <w:rFonts w:ascii="Times New Roman" w:cs="Times New Roman" w:eastAsia="Times New Roman" w:hAnsi="Times New Roman"/>
          <w:sz w:val="24"/>
          <w:szCs w:val="24"/>
        </w:rPr>
        <w:t xml:space="preserve">Law 11 (Trust-Recovery Interdependence): When trust collapses under value imbalance, partial restoration fails; all suppressed values must recover together</w:t>
      </w:r>
    </w:p>
    <w:p>
      <w:pPr>
        <w:spacing w:after="60" w:before="60"/>
      </w:pPr>
      <w:r>
        <w:t xml:space="preserve"/>
      </w:r>
    </w:p>
    <w:p>
      <w:pPr>
        <w:pStyle w:val="Heading2"/>
        <w:spacing w:after="140" w:before="280"/>
      </w:pPr>
      <w:r>
        <w:rPr>
          <w:rFonts w:ascii="Arial" w:cs="Arial" w:eastAsia="Arial" w:hAnsi="Arial"/>
          <w:b/>
          <w:bCs/>
          <w:color w:val="2E5596"/>
          <w:sz w:val="28"/>
          <w:szCs w:val="28"/>
        </w:rPr>
        <w:t xml:space="preserve">2.4 Failure Mode IV: Cognitive Distortion</w:t>
      </w:r>
    </w:p>
    <w:p>
      <w:pPr>
        <w:pStyle w:val="Heading3"/>
        <w:spacing w:after="100" w:before="200"/>
      </w:pPr>
      <w:r>
        <w:rPr>
          <w:rFonts w:ascii="Arial" w:cs="Arial" w:eastAsia="Arial" w:hAnsi="Arial"/>
          <w:b/>
          <w:bCs/>
          <w:color w:val="4A6FA5"/>
          <w:sz w:val="24"/>
          <w:szCs w:val="24"/>
        </w:rPr>
        <w:t xml:space="preserve">Formal Definition</w:t>
      </w:r>
    </w:p>
    <w:p>
      <w:pPr>
        <w:spacing w:after="80" w:before="80"/>
      </w:pPr>
      <w:r>
        <w:rPr>
          <w:rFonts w:ascii="Times New Roman" w:cs="Times New Roman" w:eastAsia="Times New Roman" w:hAnsi="Times New Roman"/>
          <w:sz w:val="24"/>
          <w:szCs w:val="24"/>
        </w:rPr>
        <w:t xml:space="preserve">Let R_actual = actual system state, I(t) = information reaching decision-makers. Define the Confidence-Outcome Correlation:</w:t>
      </w:r>
    </w:p>
    <w:p>
      <w:pPr>
        <w:spacing w:after="160" w:before="160"/>
        <w:jc w:val="center"/>
      </w:pPr>
      <w:r>
        <w:rPr>
          <w:rFonts w:ascii="Courier New" w:cs="Courier New" w:eastAsia="Courier New" w:hAnsi="Courier New"/>
          <w:b/>
          <w:bCs/>
          <w:sz w:val="24"/>
          <w:szCs w:val="24"/>
        </w:rPr>
        <w:t xml:space="preserve">COC(t) = corr(Confidence(t), Outcomes(t+k))  for lag k</w:t>
      </w:r>
    </w:p>
    <w:p>
      <w:pPr>
        <w:spacing w:after="80" w:before="80"/>
      </w:pPr>
      <w:r>
        <w:rPr>
          <w:rFonts w:ascii="Times New Roman" w:cs="Times New Roman" w:eastAsia="Times New Roman" w:hAnsi="Times New Roman"/>
          <w:sz w:val="24"/>
          <w:szCs w:val="24"/>
        </w:rPr>
        <w:t xml:space="preserve">In a well-calibrated institution, COC &gt; 0. FM IV activates when:</w:t>
      </w:r>
    </w:p>
    <w:p>
      <w:pPr>
        <w:spacing w:after="160" w:before="160"/>
        <w:jc w:val="center"/>
      </w:pPr>
      <w:r>
        <w:rPr>
          <w:rFonts w:ascii="Courier New" w:cs="Courier New" w:eastAsia="Courier New" w:hAnsi="Courier New"/>
          <w:b/>
          <w:bCs/>
          <w:sz w:val="24"/>
          <w:szCs w:val="24"/>
        </w:rPr>
        <w:t xml:space="preserve">|I(t) - R_actual| &gt; ΔE_system  AND  COC(t) &lt; 0  AND  d(Confidence)/dt &gt; 0</w:t>
      </w:r>
    </w:p>
    <w:p>
      <w:pPr>
        <w:spacing w:after="80" w:before="80"/>
      </w:pPr>
      <w:r>
        <w:rPr>
          <w:rFonts w:ascii="Times New Roman" w:cs="Times New Roman" w:eastAsia="Times New Roman" w:hAnsi="Times New Roman"/>
          <w:sz w:val="24"/>
          <w:szCs w:val="24"/>
        </w:rPr>
        <w:t xml:space="preserve">The third condition (rising confidence) distinguishes distortion from simple uncertainty. Uncertainty produces hedged decisions; distortion produces confident wrong decisions. This is the most dangerous state because it prevents early correction.</w:t>
      </w:r>
    </w:p>
    <w:p>
      <w:pPr>
        <w:spacing w:after="60" w:before="60"/>
      </w:pPr>
      <w:r>
        <w:t xml:space="preserve"/>
      </w:r>
    </w:p>
    <w:p>
      <w:pPr>
        <w:pStyle w:val="Heading3"/>
        <w:spacing w:after="100" w:before="200"/>
      </w:pPr>
      <w:r>
        <w:rPr>
          <w:rFonts w:ascii="Arial" w:cs="Arial" w:eastAsia="Arial" w:hAnsi="Arial"/>
          <w:b/>
          <w:bCs/>
          <w:color w:val="4A6FA5"/>
          <w:sz w:val="24"/>
          <w:szCs w:val="24"/>
        </w:rPr>
        <w:t xml:space="preserve">Mechanism — Self-Reinforcing Cycle</w:t>
      </w:r>
    </w:p>
    <w:p>
      <w:pPr>
        <w:pStyle w:val="ListParagraph"/>
        <w:numPr>
          <w:ilvl w:val="0"/>
          <w:numId w:val="2"/>
        </w:numPr>
        <w:spacing w:after="40" w:before="40"/>
      </w:pPr>
      <w:r>
        <w:rPr>
          <w:rFonts w:ascii="Times New Roman" w:cs="Times New Roman" w:eastAsia="Times New Roman" w:hAnsi="Times New Roman"/>
          <w:sz w:val="24"/>
          <w:szCs w:val="24"/>
        </w:rPr>
        <w:t xml:space="preserve">Distorted map → misaligned decisions → negative consequences</w:t>
      </w:r>
    </w:p>
    <w:p>
      <w:pPr>
        <w:pStyle w:val="ListParagraph"/>
        <w:numPr>
          <w:ilvl w:val="0"/>
          <w:numId w:val="2"/>
        </w:numPr>
        <w:spacing w:after="40" w:before="40"/>
      </w:pPr>
      <w:r>
        <w:rPr>
          <w:rFonts w:ascii="Times New Roman" w:cs="Times New Roman" w:eastAsia="Times New Roman" w:hAnsi="Times New Roman"/>
          <w:sz w:val="24"/>
          <w:szCs w:val="24"/>
        </w:rPr>
        <w:t xml:space="preserve">Consequences attributed to external factors, not map failure — narrative capture shields the map</w:t>
      </w:r>
    </w:p>
    <w:p>
      <w:pPr>
        <w:pStyle w:val="ListParagraph"/>
        <w:numPr>
          <w:ilvl w:val="0"/>
          <w:numId w:val="2"/>
        </w:numPr>
        <w:spacing w:after="40" w:before="40"/>
      </w:pPr>
      <w:r>
        <w:rPr>
          <w:rFonts w:ascii="Times New Roman" w:cs="Times New Roman" w:eastAsia="Times New Roman" w:hAnsi="Times New Roman"/>
          <w:sz w:val="24"/>
          <w:szCs w:val="24"/>
        </w:rPr>
        <w:t xml:space="preserve">Map further insulated; dissent suppressed as institutional threat</w:t>
      </w:r>
    </w:p>
    <w:p>
      <w:pPr>
        <w:pStyle w:val="ListParagraph"/>
        <w:numPr>
          <w:ilvl w:val="0"/>
          <w:numId w:val="2"/>
        </w:numPr>
        <w:spacing w:after="40" w:before="40"/>
      </w:pPr>
      <w:r>
        <w:rPr>
          <w:rFonts w:ascii="Times New Roman" w:cs="Times New Roman" w:eastAsia="Times New Roman" w:hAnsi="Times New Roman"/>
          <w:sz w:val="24"/>
          <w:szCs w:val="24"/>
        </w:rPr>
        <w:t xml:space="preserve">Distortion deepens; confidence continues rising — inverse of calibration</w:t>
      </w:r>
    </w:p>
    <w:p>
      <w:pPr>
        <w:spacing w:after="60" w:before="60"/>
      </w:pPr>
      <w:r>
        <w:t xml:space="preserve"/>
      </w:r>
    </w:p>
    <w:p>
      <w:pPr>
        <w:pStyle w:val="Heading3"/>
        <w:spacing w:after="100" w:before="200"/>
      </w:pPr>
      <w:r>
        <w:rPr>
          <w:rFonts w:ascii="Arial" w:cs="Arial" w:eastAsia="Arial" w:hAnsi="Arial"/>
          <w:b/>
          <w:bCs/>
          <w:color w:val="4A6FA5"/>
          <w:sz w:val="24"/>
          <w:szCs w:val="24"/>
        </w:rPr>
        <w:t xml:space="preserve">SOE Law Mapping</w:t>
      </w:r>
    </w:p>
    <w:p>
      <w:pPr>
        <w:pStyle w:val="ListParagraph"/>
        <w:numPr>
          <w:ilvl w:val="0"/>
          <w:numId w:val="2"/>
        </w:numPr>
        <w:spacing w:after="40" w:before="40"/>
      </w:pPr>
      <w:r>
        <w:rPr>
          <w:rFonts w:ascii="Times New Roman" w:cs="Times New Roman" w:eastAsia="Times New Roman" w:hAnsi="Times New Roman"/>
          <w:sz w:val="24"/>
          <w:szCs w:val="24"/>
        </w:rPr>
        <w:t xml:space="preserve">Law 4 (Information Integrity): Information degradation directly reduces T(t). FM IV operationalizes the mechanism: distorted information produces decisions that fail, reducing trust, which reduces T(t) in the simulation</w:t>
      </w:r>
    </w:p>
    <w:p>
      <w:pPr>
        <w:pStyle w:val="ListParagraph"/>
        <w:numPr>
          <w:ilvl w:val="0"/>
          <w:numId w:val="2"/>
        </w:numPr>
        <w:spacing w:after="40" w:before="40"/>
      </w:pPr>
      <w:r>
        <w:rPr>
          <w:rFonts w:ascii="Times New Roman" w:cs="Times New Roman" w:eastAsia="Times New Roman" w:hAnsi="Times New Roman"/>
          <w:sz w:val="24"/>
          <w:szCs w:val="24"/>
        </w:rPr>
        <w:t xml:space="preserve">Law 6 (Detection Failure): Three of five SOE stress test failure modes involved degradation of detection mechanism before activation — the direct simulation analog of FM IV</w:t>
      </w:r>
    </w:p>
    <w:p>
      <w:pPr>
        <w:spacing w:after="60" w:before="60"/>
      </w:pPr>
      <w:r>
        <w:t xml:space="preserve"/>
      </w:r>
    </w:p>
    <w:p>
      <w:pPr>
        <w:pStyle w:val="Heading2"/>
        <w:spacing w:after="140" w:before="280"/>
      </w:pPr>
      <w:r>
        <w:rPr>
          <w:rFonts w:ascii="Arial" w:cs="Arial" w:eastAsia="Arial" w:hAnsi="Arial"/>
          <w:b/>
          <w:bCs/>
          <w:color w:val="2E5596"/>
          <w:sz w:val="28"/>
          <w:szCs w:val="28"/>
        </w:rPr>
        <w:t xml:space="preserve">2.5 Failure Mode V: Complexity Overload (Structural Mismatch)</w:t>
      </w:r>
    </w:p>
    <w:p>
      <w:pPr>
        <w:pStyle w:val="Heading3"/>
        <w:spacing w:after="100" w:before="200"/>
      </w:pPr>
      <w:r>
        <w:rPr>
          <w:rFonts w:ascii="Arial" w:cs="Arial" w:eastAsia="Arial" w:hAnsi="Arial"/>
          <w:b/>
          <w:bCs/>
          <w:color w:val="4A6FA5"/>
          <w:sz w:val="24"/>
          <w:szCs w:val="24"/>
        </w:rPr>
        <w:t xml:space="preserve">Formal Definition</w:t>
      </w:r>
    </w:p>
    <w:p>
      <w:pPr>
        <w:spacing w:after="80" w:before="80"/>
      </w:pPr>
      <w:r>
        <w:rPr>
          <w:rFonts w:ascii="Times New Roman" w:cs="Times New Roman" w:eastAsia="Times New Roman" w:hAnsi="Times New Roman"/>
          <w:sz w:val="24"/>
          <w:szCs w:val="24"/>
        </w:rPr>
        <w:t xml:space="preserve">Let C(t) = system complexity (interdependency count × feedback loop depth), U = fixed human cognitive capacity, M(t) = institutional management capacity. FM V activates when:</w:t>
      </w:r>
    </w:p>
    <w:p>
      <w:pPr>
        <w:spacing w:after="160" w:before="160"/>
        <w:jc w:val="center"/>
      </w:pPr>
      <w:r>
        <w:rPr>
          <w:rFonts w:ascii="Courier New" w:cs="Courier New" w:eastAsia="Courier New" w:hAnsi="Courier New"/>
          <w:b/>
          <w:bCs/>
          <w:sz w:val="24"/>
          <w:szCs w:val="24"/>
        </w:rPr>
        <w:t xml:space="preserve">C(t) &gt; U × M(t)</w:t>
      </w:r>
    </w:p>
    <w:p>
      <w:pPr>
        <w:spacing w:after="80" w:before="80"/>
      </w:pPr>
      <w:r>
        <w:rPr>
          <w:rFonts w:ascii="Times New Roman" w:cs="Times New Roman" w:eastAsia="Times New Roman" w:hAnsi="Times New Roman"/>
          <w:sz w:val="24"/>
          <w:szCs w:val="24"/>
        </w:rPr>
        <w:t xml:space="preserve">Since C(t) grows with O(N²) where N = system components, and U is cognitively fixed while M(t) grows sublinearly:</w:t>
      </w:r>
    </w:p>
    <w:p>
      <w:pPr>
        <w:spacing w:after="160" w:before="160"/>
        <w:jc w:val="center"/>
      </w:pPr>
      <w:r>
        <w:rPr>
          <w:rFonts w:ascii="Courier New" w:cs="Courier New" w:eastAsia="Courier New" w:hAnsi="Courier New"/>
          <w:b/>
          <w:bCs/>
          <w:sz w:val="24"/>
          <w:szCs w:val="24"/>
        </w:rPr>
        <w:t xml:space="preserve">lim(t→∞) C(t) / (U × M(t)) = ∞</w:t>
      </w:r>
    </w:p>
    <w:p>
      <w:pPr>
        <w:spacing w:after="80" w:before="80"/>
      </w:pPr>
      <w:r>
        <w:rPr>
          <w:rFonts w:ascii="Times New Roman" w:cs="Times New Roman" w:eastAsia="Times New Roman" w:hAnsi="Times New Roman"/>
          <w:sz w:val="24"/>
          <w:szCs w:val="24"/>
        </w:rPr>
        <w:t xml:space="preserve">FM V is therefore mathematically inevitable in any large, tightly coupled system without explicit complexity management. This is not a prediction of imminent collapse — it is a statement about the structural direction of the system absent corrective intervention.</w:t>
      </w:r>
    </w:p>
    <w:p>
      <w:pPr>
        <w:spacing w:after="60" w:before="60"/>
      </w:pPr>
      <w:r>
        <w:t xml:space="preserve"/>
      </w:r>
    </w:p>
    <w:p>
      <w:pPr>
        <w:pStyle w:val="Heading3"/>
        <w:spacing w:after="100" w:before="200"/>
      </w:pPr>
      <w:r>
        <w:rPr>
          <w:rFonts w:ascii="Arial" w:cs="Arial" w:eastAsia="Arial" w:hAnsi="Arial"/>
          <w:b/>
          <w:bCs/>
          <w:color w:val="4A6FA5"/>
          <w:sz w:val="24"/>
          <w:szCs w:val="24"/>
        </w:rPr>
        <w:t xml:space="preserve">Mechanism</w:t>
      </w:r>
    </w:p>
    <w:p>
      <w:pPr>
        <w:pStyle w:val="ListParagraph"/>
        <w:numPr>
          <w:ilvl w:val="0"/>
          <w:numId w:val="2"/>
        </w:numPr>
        <w:spacing w:after="40" w:before="40"/>
      </w:pPr>
      <w:r>
        <w:rPr>
          <w:rFonts w:ascii="Times New Roman" w:cs="Times New Roman" w:eastAsia="Times New Roman" w:hAnsi="Times New Roman"/>
          <w:sz w:val="24"/>
          <w:szCs w:val="24"/>
        </w:rPr>
        <w:t xml:space="preserve">Technological interconnection: each new node adds O(N) possible interactions; global systems have reached scales where no institution can model all interdependencies</w:t>
      </w:r>
    </w:p>
    <w:p>
      <w:pPr>
        <w:pStyle w:val="ListParagraph"/>
        <w:numPr>
          <w:ilvl w:val="0"/>
          <w:numId w:val="2"/>
        </w:numPr>
        <w:spacing w:after="40" w:before="40"/>
      </w:pPr>
      <w:r>
        <w:rPr>
          <w:rFonts w:ascii="Times New Roman" w:cs="Times New Roman" w:eastAsia="Times New Roman" w:hAnsi="Times New Roman"/>
          <w:sz w:val="24"/>
          <w:szCs w:val="24"/>
        </w:rPr>
        <w:t xml:space="preserve">Optimization pressure: efficiency-maximizing removes buffers and slack; tight coupling eliminates shock absorption and increases C(t) relative to M(t)</w:t>
      </w:r>
    </w:p>
    <w:p>
      <w:pPr>
        <w:pStyle w:val="ListParagraph"/>
        <w:numPr>
          <w:ilvl w:val="0"/>
          <w:numId w:val="2"/>
        </w:numPr>
        <w:spacing w:after="40" w:before="40"/>
      </w:pPr>
      <w:r>
        <w:rPr>
          <w:rFonts w:ascii="Times New Roman" w:cs="Times New Roman" w:eastAsia="Times New Roman" w:hAnsi="Times New Roman"/>
          <w:sz w:val="24"/>
          <w:szCs w:val="24"/>
        </w:rPr>
        <w:t xml:space="preserve">Scale effects: non-linear dynamics dominate at large N; small perturbations propagate through unanticipated pathways</w:t>
      </w:r>
    </w:p>
    <w:p>
      <w:pPr>
        <w:spacing w:after="60" w:before="60"/>
      </w:pPr>
      <w:r>
        <w:t xml:space="preserve"/>
      </w:r>
    </w:p>
    <w:p>
      <w:pPr>
        <w:pStyle w:val="Heading3"/>
        <w:spacing w:after="100" w:before="200"/>
      </w:pPr>
      <w:r>
        <w:rPr>
          <w:rFonts w:ascii="Arial" w:cs="Arial" w:eastAsia="Arial" w:hAnsi="Arial"/>
          <w:b/>
          <w:bCs/>
          <w:color w:val="4A6FA5"/>
          <w:sz w:val="24"/>
          <w:szCs w:val="24"/>
        </w:rPr>
        <w:t xml:space="preserve">SOE Law Mapping</w:t>
      </w:r>
    </w:p>
    <w:p>
      <w:pPr>
        <w:pStyle w:val="ListParagraph"/>
        <w:numPr>
          <w:ilvl w:val="0"/>
          <w:numId w:val="2"/>
        </w:numPr>
        <w:spacing w:after="40" w:before="40"/>
      </w:pPr>
      <w:r>
        <w:rPr>
          <w:rFonts w:ascii="Times New Roman" w:cs="Times New Roman" w:eastAsia="Times New Roman" w:hAnsi="Times New Roman"/>
          <w:sz w:val="24"/>
          <w:szCs w:val="24"/>
        </w:rPr>
        <w:t xml:space="preserve">Law 2 (Stability Envelope): noise ≤ 0.055, W(t) ≥ 0.85–0.90. These simulation thresholds correspond to the FM V condition: when complexity noise exceeds 0.055, system exits stable regime</w:t>
      </w:r>
    </w:p>
    <w:p>
      <w:pPr>
        <w:pStyle w:val="ListParagraph"/>
        <w:numPr>
          <w:ilvl w:val="0"/>
          <w:numId w:val="2"/>
        </w:numPr>
        <w:spacing w:after="40" w:before="40"/>
      </w:pPr>
      <w:r>
        <w:rPr>
          <w:rFonts w:ascii="Times New Roman" w:cs="Times New Roman" w:eastAsia="Times New Roman" w:hAnsi="Times New Roman"/>
          <w:sz w:val="24"/>
          <w:szCs w:val="24"/>
        </w:rPr>
        <w:t xml:space="preserve">Law 12 (Lock Mechanism Required): Lock mechanism required for stability maintenance — the formal analog of explicit complexity management without which C(t) drift pushes the system out of envelope</w:t>
      </w:r>
    </w:p>
    <w:p>
      <w:pPr>
        <w:spacing w:after="60" w:before="60"/>
      </w:pPr>
      <w:r>
        <w:t xml:space="preserve"/>
      </w:r>
    </w:p>
    <w:p>
      <w:pPr>
        <w:pStyle w:val="Heading1"/>
        <w:spacing w:after="180" w:before="360"/>
      </w:pPr>
      <w:r>
        <w:rPr>
          <w:rFonts w:ascii="Arial" w:cs="Arial" w:eastAsia="Arial" w:hAnsi="Arial"/>
          <w:b/>
          <w:bCs/>
          <w:color w:val="1F3864"/>
          <w:sz w:val="36"/>
          <w:szCs w:val="36"/>
        </w:rPr>
        <w:t xml:space="preserve">3. External Historical Validation</w:t>
      </w:r>
    </w:p>
    <w:p>
      <w:pPr>
        <w:spacing w:after="80" w:before="80"/>
      </w:pPr>
      <w:r>
        <w:rPr>
          <w:rFonts w:ascii="Times New Roman" w:cs="Times New Roman" w:eastAsia="Times New Roman" w:hAnsi="Times New Roman"/>
          <w:sz w:val="24"/>
          <w:szCs w:val="24"/>
        </w:rPr>
        <w:t xml:space="preserve">The failure modes were derived conceptually and validated via SOE simulation. To break potential circularity — using SOE simulation both to derive and validate the model — this section provides independent historical calibration against three external cases. These cases are not cherry-picked to confirm the model; they are selected as the most commonly cited examples of civilizational failure in the existing literature (Tainter 1988, Diamond 2005, Acemoglu &amp; Robinson 2012).</w:t>
      </w:r>
    </w:p>
    <w:p>
      <w:pPr>
        <w:spacing w:after="60" w:before="60"/>
      </w:pPr>
      <w:r>
        <w:t xml:space="preserve"/>
      </w:r>
    </w:p>
    <w:p>
      <w:pPr>
        <w:pStyle w:val="Heading2"/>
        <w:spacing w:after="140" w:before="280"/>
      </w:pPr>
      <w:r>
        <w:rPr>
          <w:rFonts w:ascii="Arial" w:cs="Arial" w:eastAsia="Arial" w:hAnsi="Arial"/>
          <w:b/>
          <w:bCs/>
          <w:color w:val="2E5596"/>
          <w:sz w:val="28"/>
          <w:szCs w:val="28"/>
        </w:rPr>
        <w:t xml:space="preserve">3.1 Case A: Late Roman Empire (200–476 CE) — FM II + FM V</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4000"/>
        <w:gridCol w:w="3360"/>
      </w:tblGrid>
      <w:tr>
        <w:trPr>
          <w:tblHeader/>
        </w:trPr>
        <w:tc>
          <w:tcPr>
            <w:tcW w:type="dxa" w:w="200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r>
              <w:rPr>
                <w:rFonts w:ascii="Arial" w:cs="Arial" w:eastAsia="Arial" w:hAnsi="Arial"/>
                <w:b/>
                <w:bCs/>
                <w:sz w:val="22"/>
                <w:szCs w:val="22"/>
              </w:rPr>
              <w:t xml:space="preserve">Failure Mode</w:t>
            </w:r>
          </w:p>
        </w:tc>
        <w:tc>
          <w:tcPr>
            <w:tcW w:type="dxa" w:w="400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r>
              <w:rPr>
                <w:rFonts w:ascii="Arial" w:cs="Arial" w:eastAsia="Arial" w:hAnsi="Arial"/>
                <w:b/>
                <w:bCs/>
                <w:sz w:val="22"/>
                <w:szCs w:val="22"/>
              </w:rPr>
              <w:t xml:space="preserve">Historical Evidence</w:t>
            </w:r>
          </w:p>
        </w:tc>
        <w:tc>
          <w:tcPr>
            <w:tcW w:type="dxa" w:w="336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r>
              <w:rPr>
                <w:rFonts w:ascii="Arial" w:cs="Arial" w:eastAsia="Arial" w:hAnsi="Arial"/>
                <w:b/>
                <w:bCs/>
                <w:sz w:val="22"/>
                <w:szCs w:val="22"/>
              </w:rPr>
              <w:t xml:space="preserve">Observable Signal</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sz w:val="22"/>
                <w:szCs w:val="22"/>
              </w:rPr>
              <w:t xml:space="preserve">FM II: Institutional Lock-in</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sz w:val="22"/>
                <w:szCs w:val="22"/>
              </w:rPr>
              <w:t xml:space="preserve">Military commanders accumulated autonomous power; senatorial aristocracy controlled land and taxation; provincial governors operated independently; reform attempts (Diocletian, Constantine) produced temporary stabilization but did not break underlying lock-in</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sz w:val="22"/>
                <w:szCs w:val="22"/>
              </w:rPr>
              <w:t xml:space="preserve">dP_i/dt &gt; 0 (power fragmentation); Reform_i → 0 (reforms reversed within decades)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sz w:val="22"/>
                <w:szCs w:val="22"/>
              </w:rPr>
              <w:t xml:space="preserve">FM V: Complexity Overload</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sz w:val="22"/>
                <w:szCs w:val="22"/>
              </w:rPr>
              <w:t xml:space="preserve">Administrative complexity grew with territorial expansion; coordination between frontier legions, provincial governments, and central court exceeded management capacity; supply chain for military operations became unmanageable</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sz w:val="22"/>
                <w:szCs w:val="22"/>
              </w:rPr>
              <w:t xml:space="preserve">C(t) &gt;&gt; U × M(t): documented in Tainter's analysis of declining marginal returns on administrative investment</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sz w:val="22"/>
                <w:szCs w:val="22"/>
              </w:rPr>
              <w:t xml:space="preserve">Interaction Effect</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sz w:val="22"/>
                <w:szCs w:val="22"/>
              </w:rPr>
              <w:t xml:space="preserve">Lock-in prevented administrative simplification that could have managed complexity overload; complexity overload prevented the coordination needed to break lock-in — mutual amplification</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sz w:val="22"/>
                <w:szCs w:val="22"/>
              </w:rPr>
              <w:t xml:space="preserve">Self-reinforcing until external pressure (migration period) exceeded remaining system capacity</w:t>
            </w:r>
          </w:p>
        </w:tc>
      </w:tr>
    </w:tbl>
    <w:p>
      <w:pPr>
        <w:spacing w:after="60" w:before="60"/>
      </w:pPr>
      <w:r>
        <w:t xml:space="preserve"/>
      </w:r>
    </w:p>
    <w:p>
      <w:pPr>
        <w:spacing w:after="80" w:before="80"/>
      </w:pPr>
      <w:r>
        <w:rPr>
          <w:rFonts w:ascii="Times New Roman" w:cs="Times New Roman" w:eastAsia="Times New Roman" w:hAnsi="Times New Roman"/>
          <w:sz w:val="24"/>
          <w:szCs w:val="24"/>
        </w:rPr>
        <w:t xml:space="preserve">CSI Assessment: Roman case shows FM II crossing threshold circa 235 CE (Crisis of the Third Century), FM V crossing circa 300 CE. Compound activation consistent with accelerating collapse timeline 350–476 CE. Proxy walk-through: LI (Lock-in Index) — by 235 CE, P_i elevated (military commanders controlling imperial succession, senatorial class controlling tax revenues), Reform_i approaching 0 (Diocletian's reforms reversed within one generation), placing LI above 0.85 threshold. CO (Complexity Overload) — Tainter's marginal return analysis shows administrative investment yield declining from circa 200 CE, C(t) / (U × M(t)) crossing 1.0 as coordination requirements for frontier defense exceeded central administrative capacity by circa 300 CE. CSI = max(LI, CO) &gt; 1.0 by 300 CE; compound mode interaction then accelerated progression to collapse.</w:t>
      </w:r>
    </w:p>
    <w:p>
      <w:pPr>
        <w:spacing w:after="60" w:before="60"/>
      </w:pPr>
      <w:r>
        <w:t xml:space="preserve"/>
      </w:r>
    </w:p>
    <w:p>
      <w:pPr>
        <w:pStyle w:val="Heading2"/>
        <w:spacing w:after="140" w:before="280"/>
      </w:pPr>
      <w:r>
        <w:rPr>
          <w:rFonts w:ascii="Arial" w:cs="Arial" w:eastAsia="Arial" w:hAnsi="Arial"/>
          <w:b/>
          <w:bCs/>
          <w:color w:val="2E5596"/>
          <w:sz w:val="28"/>
          <w:szCs w:val="28"/>
        </w:rPr>
        <w:t xml:space="preserve">3.2 Case B: Soviet Union (1922–1991) — FM III + FM II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4000"/>
        <w:gridCol w:w="3360"/>
      </w:tblGrid>
      <w:tr>
        <w:trPr>
          <w:tblHeader/>
        </w:trPr>
        <w:tc>
          <w:tcPr>
            <w:tcW w:type="dxa" w:w="200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r>
              <w:rPr>
                <w:rFonts w:ascii="Arial" w:cs="Arial" w:eastAsia="Arial" w:hAnsi="Arial"/>
                <w:b/>
                <w:bCs/>
                <w:sz w:val="22"/>
                <w:szCs w:val="22"/>
              </w:rPr>
              <w:t xml:space="preserve">Failure Mode</w:t>
            </w:r>
          </w:p>
        </w:tc>
        <w:tc>
          <w:tcPr>
            <w:tcW w:type="dxa" w:w="400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r>
              <w:rPr>
                <w:rFonts w:ascii="Arial" w:cs="Arial" w:eastAsia="Arial" w:hAnsi="Arial"/>
                <w:b/>
                <w:bCs/>
                <w:sz w:val="22"/>
                <w:szCs w:val="22"/>
              </w:rPr>
              <w:t xml:space="preserve">Historical Evidence</w:t>
            </w:r>
          </w:p>
        </w:tc>
        <w:tc>
          <w:tcPr>
            <w:tcW w:type="dxa" w:w="336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r>
              <w:rPr>
                <w:rFonts w:ascii="Arial" w:cs="Arial" w:eastAsia="Arial" w:hAnsi="Arial"/>
                <w:b/>
                <w:bCs/>
                <w:sz w:val="22"/>
                <w:szCs w:val="22"/>
              </w:rPr>
              <w:t xml:space="preserve">Observable Signal</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sz w:val="22"/>
                <w:szCs w:val="22"/>
              </w:rPr>
              <w:t xml:space="preserve">FM III: Value Collapse</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sz w:val="22"/>
                <w:szCs w:val="22"/>
              </w:rPr>
              <w:t xml:space="preserve">Dominant value: military/industrial output. Suppressed values: individual freedom (F), environmental sustainability (E), social cohesion (S). F → minimum: totalitarian control documented. E → minimum: Aral Sea, Chernobyl, radioactive contamination. S → minimum: alcoholism epidemic, demographic decline</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sz w:val="22"/>
                <w:szCs w:val="22"/>
              </w:rPr>
              <w:t xml:space="preserve">v_F, v_E, v_S well outside feasible range by 1970s; system maintaining v_d (military output) at cost of all others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sz w:val="22"/>
                <w:szCs w:val="22"/>
              </w:rPr>
              <w:t xml:space="preserve">FM II: Institutional Lock-in</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sz w:val="22"/>
                <w:szCs w:val="22"/>
              </w:rPr>
              <w:t xml:space="preserve">Communist Party controlled all information, resources, and official interpretation of success. Internal reform attempts (Khrushchev thaw, Kosygin reforms) reversed by lock-in mechanism. Gorbachev's reforms succeeded only when FM III collapse made lock-in unsustainable</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sz w:val="22"/>
                <w:szCs w:val="22"/>
              </w:rPr>
              <w:t xml:space="preserve">Reform_i → 0 until 1985; only external existential pressure (FM III crisis) broke lock-in</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sz w:val="22"/>
                <w:szCs w:val="22"/>
              </w:rPr>
              <w:t xml:space="preserve">Interaction Effect</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sz w:val="22"/>
                <w:szCs w:val="22"/>
              </w:rPr>
              <w:t xml:space="preserve">FM III (value collapse) created conditions that eventually overwhelmed FM II (lock-in); FM II had prevented earlier correction of FM III</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sz w:val="22"/>
                <w:szCs w:val="22"/>
              </w:rPr>
              <w:t xml:space="preserve">Lock-in maintained the mono-value optimization that caused value collapse; collapse eventually destroyed the institutional base maintaining lock-in</w:t>
            </w:r>
          </w:p>
        </w:tc>
      </w:tr>
    </w:tbl>
    <w:p>
      <w:pPr>
        <w:spacing w:after="60" w:before="60"/>
      </w:pPr>
      <w:r>
        <w:t xml:space="preserve"/>
      </w:r>
    </w:p>
    <w:p>
      <w:pPr>
        <w:spacing w:after="80" w:before="80"/>
      </w:pPr>
      <w:r>
        <w:rPr>
          <w:rFonts w:ascii="Times New Roman" w:cs="Times New Roman" w:eastAsia="Times New Roman" w:hAnsi="Times New Roman"/>
          <w:sz w:val="24"/>
          <w:szCs w:val="24"/>
        </w:rPr>
        <w:t xml:space="preserve">CSI Assessment: FM III threshold crossed by late 1960s (suppressed values at minimum); FM II remained active until 1985; compound failure produced rapid dissolution 1989–1991 consistent with mutual-amplification prediction. Proxy walk-through: VC (Value Collapse Index) — by 1970s, v_F (individual freedom) at documented minimum under totalitarian control; v_E (environmental sustainability) at minimum (Aral Sea fully degraded by 1980s, Chernobyl 1986); v_S (social cohesion) at minimum (alcoholism epidemic, demographic decline documented in Soviet internal statistics). VC = max(v_i_min - v_i) / v_i_min well above 0.80 threshold. LI — Reform_i remained near 0 from Stalin through Brezhnev; only Gorbachev's external existential pressure broke lock-in in 1985, by which point FM III had already guaranteed systemic instability. CSI = max(VC, LI) &gt; 1.0 from late 1960s onward.</w:t>
      </w:r>
    </w:p>
    <w:p>
      <w:pPr>
        <w:spacing w:after="60" w:before="60"/>
      </w:pPr>
      <w:r>
        <w:t xml:space="preserve"/>
      </w:r>
    </w:p>
    <w:p>
      <w:pPr>
        <w:pStyle w:val="Heading2"/>
        <w:spacing w:after="140" w:before="280"/>
      </w:pPr>
      <w:r>
        <w:rPr>
          <w:rFonts w:ascii="Arial" w:cs="Arial" w:eastAsia="Arial" w:hAnsi="Arial"/>
          <w:b/>
          <w:bCs/>
          <w:color w:val="2E5596"/>
          <w:sz w:val="28"/>
          <w:szCs w:val="28"/>
        </w:rPr>
        <w:t xml:space="preserve">3.3 Case C: 2008 Global Financial Crisis — FM I + FM IV</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4000"/>
        <w:gridCol w:w="3360"/>
      </w:tblGrid>
      <w:tr>
        <w:trPr>
          <w:tblHeader/>
        </w:trPr>
        <w:tc>
          <w:tcPr>
            <w:tcW w:type="dxa" w:w="200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r>
              <w:rPr>
                <w:rFonts w:ascii="Arial" w:cs="Arial" w:eastAsia="Arial" w:hAnsi="Arial"/>
                <w:b/>
                <w:bCs/>
                <w:sz w:val="22"/>
                <w:szCs w:val="22"/>
              </w:rPr>
              <w:t xml:space="preserve">Failure Mode</w:t>
            </w:r>
          </w:p>
        </w:tc>
        <w:tc>
          <w:tcPr>
            <w:tcW w:type="dxa" w:w="400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r>
              <w:rPr>
                <w:rFonts w:ascii="Arial" w:cs="Arial" w:eastAsia="Arial" w:hAnsi="Arial"/>
                <w:b/>
                <w:bCs/>
                <w:sz w:val="22"/>
                <w:szCs w:val="22"/>
              </w:rPr>
              <w:t xml:space="preserve">Historical Evidence</w:t>
            </w:r>
          </w:p>
        </w:tc>
        <w:tc>
          <w:tcPr>
            <w:tcW w:type="dxa" w:w="336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r>
              <w:rPr>
                <w:rFonts w:ascii="Arial" w:cs="Arial" w:eastAsia="Arial" w:hAnsi="Arial"/>
                <w:b/>
                <w:bCs/>
                <w:sz w:val="22"/>
                <w:szCs w:val="22"/>
              </w:rPr>
              <w:t xml:space="preserve">Observable Signal</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sz w:val="22"/>
                <w:szCs w:val="22"/>
              </w:rPr>
              <w:t xml:space="preserve">FM IV: Cognitive Distortion</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sz w:val="22"/>
                <w:szCs w:val="22"/>
              </w:rPr>
              <w:t xml:space="preserve">Risk models showed low crisis probability; rating agencies optimized volume metrics rather than predictive accuracy; Federal Reserve publicly stated systemic risk had been eliminated (Greenspan 2005); dissenting voices marginalized. COC(t) became negative: high confidence preceded catastrophic outcomes</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sz w:val="22"/>
                <w:szCs w:val="22"/>
              </w:rPr>
              <w:t xml:space="preserve">COC(t) &lt; 0 (Confidence peaked 2006–2007; outcomes collapsed 2008); d(Confidence)/dt &gt; 0 throughout 2006–2007</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sz w:val="22"/>
                <w:szCs w:val="22"/>
              </w:rPr>
              <w:t xml:space="preserve">FM I: Acceleration-Capacity Gap</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sz w:val="22"/>
                <w:szCs w:val="22"/>
              </w:rPr>
              <w:t xml:space="preserve">Financial innovation velocity (CDOs, CDS, synthetic instruments) exceeded regulatory understanding timescale by years; Basel II accords attempted to capture risk that had already evolved beyond their framework; A(t) × L(t) &gt;&gt; ΔE_max in financial innovation domain</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sz w:val="22"/>
                <w:szCs w:val="22"/>
              </w:rPr>
              <w:t xml:space="preserve">Policy lag: regulatory frameworks lagged innovation by 3–5 years; contradictory policies (simultaneous deregulation and risk assurance) characteristic of FM I</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sz w:val="22"/>
                <w:szCs w:val="22"/>
              </w:rPr>
              <w:t xml:space="preserve">Interaction Effect</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sz w:val="22"/>
                <w:szCs w:val="22"/>
              </w:rPr>
              <w:t xml:space="preserve">FM IV (distortion) prevented FM I detection: institutions confident they understood accelerating system; FM I (acceleration) produced instruments complex enough to enable FM IV</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sz w:val="22"/>
                <w:szCs w:val="22"/>
              </w:rPr>
              <w:t xml:space="preserve">Mutual reinforcement: faster innovation created more complex instruments; complexity enabled more distorted risk models; distorted models enabled more risk-taking; more risk-taking accelerated innovation further</w:t>
            </w:r>
          </w:p>
        </w:tc>
      </w:tr>
    </w:tbl>
    <w:p>
      <w:pPr>
        <w:spacing w:after="60" w:before="60"/>
      </w:pPr>
      <w:r>
        <w:t xml:space="preserve"/>
      </w:r>
    </w:p>
    <w:p>
      <w:pPr>
        <w:spacing w:after="80" w:before="80"/>
      </w:pPr>
      <w:r>
        <w:rPr>
          <w:rFonts w:ascii="Times New Roman" w:cs="Times New Roman" w:eastAsia="Times New Roman" w:hAnsi="Times New Roman"/>
          <w:sz w:val="24"/>
          <w:szCs w:val="24"/>
        </w:rPr>
        <w:t xml:space="preserve">CSI Assessment: FM IV threshold crossed by 2005 (COC negative, confidence rising); FM I threshold crossed by 2003–2004 (innovation velocity exceeding regulatory understanding); compound activation produced cascade failure September 2008. Proxy walk-through: CD (Cognitive Distortion) — COC(t) turned negative by 2005: Federal Reserve and rating agency confidence statements peaked 2006–2007 while underlying mortgage default risk was rising; d(Confidence)/dt &gt; 0 confirmed by public statements (Greenspan 2005, Bernanke 2007 "contained" assessment). CD = 1 - max(0, COC) crossed threshold when COC became sustained negative. Stress_norm via FM I — financial innovation velocity (CDO issuance doubled 2004–2006; synthetic CDO market grew from near-zero to $500B+ in three years) while regulatory framework lag L(t) was 3–5 years behind; A(t) × L(t) &gt;&gt; ΔE_max in mortgage-backed securities domain. CSI = max(CD, Stress_norm) &gt; 1.0 by 2006; cascade activated September 2008 when FM IV-driven confidence collapse triggered FM I-driven liquidity failure simultaneously.</w:t>
      </w:r>
    </w:p>
    <w:p>
      <w:pPr>
        <w:spacing w:after="60" w:before="60"/>
      </w:pPr>
      <w:r>
        <w:t xml:space="preserve"/>
      </w:r>
    </w:p>
    <w:p>
      <w:pPr>
        <w:pStyle w:val="Heading2"/>
        <w:spacing w:after="140" w:before="280"/>
      </w:pPr>
      <w:r>
        <w:rPr>
          <w:rFonts w:ascii="Arial" w:cs="Arial" w:eastAsia="Arial" w:hAnsi="Arial"/>
          <w:b/>
          <w:bCs/>
          <w:color w:val="2E5596"/>
          <w:sz w:val="28"/>
          <w:szCs w:val="28"/>
        </w:rPr>
        <w:t xml:space="preserve">3.4 Validation Summary</w:t>
      </w:r>
    </w:p>
    <w:p>
      <w:pPr>
        <w:spacing w:after="80" w:before="80"/>
      </w:pPr>
      <w:r>
        <w:rPr>
          <w:rFonts w:ascii="Times New Roman" w:cs="Times New Roman" w:eastAsia="Times New Roman" w:hAnsi="Times New Roman"/>
          <w:sz w:val="24"/>
          <w:szCs w:val="24"/>
        </w:rPr>
        <w:t xml:space="preserve">Across three independent historical cases drawn from different civilizational contexts and time periods:</w:t>
      </w:r>
    </w:p>
    <w:p>
      <w:pPr>
        <w:pStyle w:val="ListParagraph"/>
        <w:numPr>
          <w:ilvl w:val="0"/>
          <w:numId w:val="2"/>
        </w:numPr>
        <w:spacing w:after="40" w:before="40"/>
      </w:pPr>
      <w:r>
        <w:rPr>
          <w:rFonts w:ascii="Times New Roman" w:cs="Times New Roman" w:eastAsia="Times New Roman" w:hAnsi="Times New Roman"/>
          <w:sz w:val="24"/>
          <w:szCs w:val="24"/>
        </w:rPr>
        <w:t xml:space="preserve">All three cases show multiple failure modes activating with interaction effects — consistent with the compound failure model in Section 4</w:t>
      </w:r>
    </w:p>
    <w:p>
      <w:pPr>
        <w:pStyle w:val="ListParagraph"/>
        <w:numPr>
          <w:ilvl w:val="0"/>
          <w:numId w:val="2"/>
        </w:numPr>
        <w:spacing w:after="40" w:before="40"/>
      </w:pPr>
      <w:r>
        <w:rPr>
          <w:rFonts w:ascii="Times New Roman" w:cs="Times New Roman" w:eastAsia="Times New Roman" w:hAnsi="Times New Roman"/>
          <w:sz w:val="24"/>
          <w:szCs w:val="24"/>
        </w:rPr>
        <w:t xml:space="preserve">All three cases show FM activation preceding collapse by years to decades — consistent with the model's prediction of detectable precursor signals</w:t>
      </w:r>
    </w:p>
    <w:p>
      <w:pPr>
        <w:pStyle w:val="ListParagraph"/>
        <w:numPr>
          <w:ilvl w:val="0"/>
          <w:numId w:val="2"/>
        </w:numPr>
        <w:spacing w:after="40" w:before="40"/>
      </w:pPr>
      <w:r>
        <w:rPr>
          <w:rFonts w:ascii="Times New Roman" w:cs="Times New Roman" w:eastAsia="Times New Roman" w:hAnsi="Times New Roman"/>
          <w:sz w:val="24"/>
          <w:szCs w:val="24"/>
        </w:rPr>
        <w:t xml:space="preserve">All three cases show mutual amplification between active failure modes — consistent with the interaction matrix</w:t>
      </w:r>
    </w:p>
    <w:p>
      <w:pPr>
        <w:pStyle w:val="ListParagraph"/>
        <w:numPr>
          <w:ilvl w:val="0"/>
          <w:numId w:val="2"/>
        </w:numPr>
        <w:spacing w:after="40" w:before="40"/>
      </w:pPr>
      <w:r>
        <w:rPr>
          <w:rFonts w:ascii="Times New Roman" w:cs="Times New Roman" w:eastAsia="Times New Roman" w:hAnsi="Times New Roman"/>
          <w:sz w:val="24"/>
          <w:szCs w:val="24"/>
        </w:rPr>
        <w:t xml:space="preserve">No case shows single-mode failure without other modes activating — consistent with the structural interdependency claim</w:t>
      </w:r>
    </w:p>
    <w:p>
      <w:pPr>
        <w:spacing w:after="60" w:before="60"/>
      </w:pPr>
      <w:r>
        <w:t xml:space="preserve"/>
      </w:r>
    </w:p>
    <w:p>
      <w:pPr>
        <w:spacing w:after="80" w:before="80"/>
      </w:pPr>
      <w:r>
        <w:rPr>
          <w:rFonts w:ascii="Times New Roman" w:cs="Times New Roman" w:eastAsia="Times New Roman" w:hAnsi="Times New Roman"/>
          <w:sz w:val="24"/>
          <w:szCs w:val="24"/>
        </w:rPr>
        <w:t xml:space="preserve">Limitation: These cases are post-hoc mappings, not prospective predictions. They demonstrate the model's explanatory consistency, not predictive validity. Prospective validation would require applying the CSI framework to current systems and testing whether predicted instability materializes. This remains future work.</w:t>
      </w:r>
    </w:p>
    <w:p>
      <w:pPr>
        <w:spacing w:after="60" w:before="60"/>
      </w:pPr>
      <w:r>
        <w:t xml:space="preserve"/>
      </w:r>
    </w:p>
    <w:p>
      <w:pPr>
        <w:pStyle w:val="Heading1"/>
        <w:spacing w:after="180" w:before="360"/>
      </w:pPr>
      <w:r>
        <w:rPr>
          <w:rFonts w:ascii="Arial" w:cs="Arial" w:eastAsia="Arial" w:hAnsi="Arial"/>
          <w:b/>
          <w:bCs/>
          <w:color w:val="1F3864"/>
          <w:sz w:val="36"/>
          <w:szCs w:val="36"/>
        </w:rPr>
        <w:t xml:space="preserve">4. Interaction Effects and Failure Propagation</w:t>
      </w:r>
    </w:p>
    <w:p>
      <w:pPr>
        <w:pStyle w:val="Heading2"/>
        <w:spacing w:after="140" w:before="280"/>
      </w:pPr>
      <w:r>
        <w:rPr>
          <w:rFonts w:ascii="Arial" w:cs="Arial" w:eastAsia="Arial" w:hAnsi="Arial"/>
          <w:b/>
          <w:bCs/>
          <w:color w:val="2E5596"/>
          <w:sz w:val="28"/>
          <w:szCs w:val="28"/>
        </w:rPr>
        <w:t xml:space="preserve">4.1 Compound Failure Matrix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400"/>
        <w:gridCol w:w="3200"/>
        <w:gridCol w:w="3360"/>
      </w:tblGrid>
      <w:tr>
        <w:trPr>
          <w:tblHeader/>
        </w:trPr>
        <w:tc>
          <w:tcPr>
            <w:tcW w:type="dxa" w:w="140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r>
              <w:rPr>
                <w:rFonts w:ascii="Arial" w:cs="Arial" w:eastAsia="Arial" w:hAnsi="Arial"/>
                <w:b/>
                <w:bCs/>
                <w:sz w:val="22"/>
                <w:szCs w:val="22"/>
              </w:rPr>
              <w:t xml:space="preserve">Mode A</w:t>
            </w:r>
          </w:p>
        </w:tc>
        <w:tc>
          <w:tcPr>
            <w:tcW w:type="dxa" w:w="140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r>
              <w:rPr>
                <w:rFonts w:ascii="Arial" w:cs="Arial" w:eastAsia="Arial" w:hAnsi="Arial"/>
                <w:b/>
                <w:bCs/>
                <w:sz w:val="22"/>
                <w:szCs w:val="22"/>
              </w:rPr>
              <w:t xml:space="preserve">Mode B</w:t>
            </w:r>
          </w:p>
        </w:tc>
        <w:tc>
          <w:tcPr>
            <w:tcW w:type="dxa" w:w="320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r>
              <w:rPr>
                <w:rFonts w:ascii="Arial" w:cs="Arial" w:eastAsia="Arial" w:hAnsi="Arial"/>
                <w:b/>
                <w:bCs/>
                <w:sz w:val="22"/>
                <w:szCs w:val="22"/>
              </w:rPr>
              <w:t xml:space="preserve">Interaction Mechanism</w:t>
            </w:r>
          </w:p>
        </w:tc>
        <w:tc>
          <w:tcPr>
            <w:tcW w:type="dxa" w:w="336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r>
              <w:rPr>
                <w:rFonts w:ascii="Arial" w:cs="Arial" w:eastAsia="Arial" w:hAnsi="Arial"/>
                <w:b/>
                <w:bCs/>
                <w:sz w:val="22"/>
                <w:szCs w:val="22"/>
              </w:rPr>
              <w:t xml:space="preserve">Case Example</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sz w:val="22"/>
                <w:szCs w:val="22"/>
              </w:rPr>
              <w:t xml:space="preserve">FM I: A/C Gap</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sz w:val="22"/>
                <w:szCs w:val="22"/>
              </w:rPr>
              <w:t xml:space="preserve">FM II: Lock-in</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sz w:val="22"/>
                <w:szCs w:val="22"/>
              </w:rPr>
              <w:t xml:space="preserve">Faster acceleration exposes lock-in inadequacy; locked institutions cannot adapt; gap widens superlinearly</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sz w:val="22"/>
                <w:szCs w:val="22"/>
              </w:rPr>
              <w:t xml:space="preserve">Late Roman military reform failures</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sz w:val="22"/>
                <w:szCs w:val="22"/>
              </w:rPr>
              <w:t xml:space="preserve">FM II: Lock-in</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sz w:val="22"/>
                <w:szCs w:val="22"/>
              </w:rPr>
              <w:t xml:space="preserve">FM IV: Distortion</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sz w:val="22"/>
                <w:szCs w:val="22"/>
              </w:rPr>
              <w:t xml:space="preserve">Locked institutions systematically suppress contrary information; distortion is institutionally manufactured</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sz w:val="22"/>
                <w:szCs w:val="22"/>
              </w:rPr>
              <w:t xml:space="preserve">Soviet information management</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sz w:val="22"/>
                <w:szCs w:val="22"/>
              </w:rPr>
              <w:t xml:space="preserve">FM III: Value Collapse</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sz w:val="22"/>
                <w:szCs w:val="22"/>
              </w:rPr>
              <w:t xml:space="preserve">FM IV: Distortion</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sz w:val="22"/>
                <w:szCs w:val="22"/>
              </w:rPr>
              <w:t xml:space="preserve">Single-value dominance creates institutional blind spots; contrary evidence filtered through dominant-value lens</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sz w:val="22"/>
                <w:szCs w:val="22"/>
              </w:rPr>
              <w:t xml:space="preserve">Soviet economic statistics falsification</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sz w:val="22"/>
                <w:szCs w:val="22"/>
              </w:rPr>
              <w:t xml:space="preserve">FM V: Complexity</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sz w:val="22"/>
                <w:szCs w:val="22"/>
              </w:rPr>
              <w:t xml:space="preserve">FM IV: Distortion</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sz w:val="22"/>
                <w:szCs w:val="22"/>
              </w:rPr>
              <w:t xml:space="preserve">As complexity exceeds understanding, institutions substitute simplified narratives for reality; distortion becomes structurally necessary for institutional coherence</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sz w:val="22"/>
                <w:szCs w:val="22"/>
              </w:rPr>
              <w:t xml:space="preserve">2008 financial risk models</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sz w:val="22"/>
                <w:szCs w:val="22"/>
              </w:rPr>
              <w:t xml:space="preserve">FM I: A/C Gap</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sz w:val="22"/>
                <w:szCs w:val="22"/>
              </w:rPr>
              <w:t xml:space="preserve">FM V: Complexity</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sz w:val="22"/>
                <w:szCs w:val="22"/>
              </w:rPr>
              <w:t xml:space="preserve">Acceleration adds system components faster than management capacity grows; both failure modes compound simultaneously</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sz w:val="22"/>
                <w:szCs w:val="22"/>
              </w:rPr>
              <w:t xml:space="preserve">Financial innovation vs regulatory capacity</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sz w:val="22"/>
                <w:szCs w:val="22"/>
              </w:rPr>
              <w:t xml:space="preserve">FM II: Lock-in</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sz w:val="22"/>
                <w:szCs w:val="22"/>
              </w:rPr>
              <w:t xml:space="preserve">FM III: Value Collapse</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sz w:val="22"/>
                <w:szCs w:val="22"/>
              </w:rPr>
              <w:t xml:space="preserve">Lock-in prevents rebalancing of suppressed values; value collapse eventually destroys institutional base maintaining lock-in</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sz w:val="22"/>
                <w:szCs w:val="22"/>
              </w:rPr>
              <w:t xml:space="preserve">Soviet Union 1960s–1991</w:t>
            </w:r>
          </w:p>
        </w:tc>
      </w:tr>
    </w:tbl>
    <w:p>
      <w:pPr>
        <w:spacing w:after="60" w:before="60"/>
      </w:pPr>
      <w:r>
        <w:t xml:space="preserve"/>
      </w:r>
    </w:p>
    <w:p>
      <w:pPr>
        <w:pStyle w:val="Heading2"/>
        <w:spacing w:after="140" w:before="280"/>
      </w:pPr>
      <w:r>
        <w:rPr>
          <w:rFonts w:ascii="Arial" w:cs="Arial" w:eastAsia="Arial" w:hAnsi="Arial"/>
          <w:b/>
          <w:bCs/>
          <w:color w:val="2E5596"/>
          <w:sz w:val="28"/>
          <w:szCs w:val="28"/>
        </w:rPr>
        <w:t xml:space="preserve">4.2 Failure Propagation Topologies</w:t>
      </w:r>
    </w:p>
    <w:p>
      <w:pPr>
        <w:spacing w:after="80" w:before="80"/>
      </w:pPr>
      <w:r>
        <w:rPr>
          <w:rFonts w:ascii="Times New Roman" w:cs="Times New Roman" w:eastAsia="Times New Roman" w:hAnsi="Times New Roman"/>
          <w:sz w:val="24"/>
          <w:szCs w:val="24"/>
        </w:rPr>
        <w:t xml:space="preserve">How failure spreads depends on network structure. Three topologies produce distinct propagation patterns:</w:t>
      </w:r>
    </w:p>
    <w:p>
      <w:pPr>
        <w:spacing w:after="60" w:before="60"/>
      </w:pPr>
      <w:r>
        <w:t xml:space="preserve"/>
      </w:r>
    </w:p>
    <w:p>
      <w:pPr>
        <w:pStyle w:val="Heading3"/>
        <w:spacing w:after="100" w:before="200"/>
      </w:pPr>
      <w:r>
        <w:rPr>
          <w:rFonts w:ascii="Arial" w:cs="Arial" w:eastAsia="Arial" w:hAnsi="Arial"/>
          <w:b/>
          <w:bCs/>
          <w:color w:val="4A6FA5"/>
          <w:sz w:val="24"/>
          <w:szCs w:val="24"/>
        </w:rPr>
        <w:t xml:space="preserve">Topology A: Centralized (Hub-and-Spoke)</w:t>
      </w:r>
    </w:p>
    <w:p>
      <w:pPr>
        <w:spacing w:after="80" w:before="80"/>
      </w:pPr>
      <w:r>
        <w:rPr>
          <w:rFonts w:ascii="Times New Roman" w:cs="Times New Roman" w:eastAsia="Times New Roman" w:hAnsi="Times New Roman"/>
          <w:sz w:val="24"/>
          <w:szCs w:val="24"/>
        </w:rPr>
        <w:t xml:space="preserve">Structure: Single dominant node controls information and resource flow to peripheral nodes.</w:t>
      </w:r>
    </w:p>
    <w:p>
      <w:pPr>
        <w:pStyle w:val="ListParagraph"/>
        <w:numPr>
          <w:ilvl w:val="0"/>
          <w:numId w:val="2"/>
        </w:numPr>
        <w:spacing w:after="40" w:before="40"/>
      </w:pPr>
      <w:r>
        <w:rPr>
          <w:rFonts w:ascii="Times New Roman" w:cs="Times New Roman" w:eastAsia="Times New Roman" w:hAnsi="Times New Roman"/>
          <w:sz w:val="24"/>
          <w:szCs w:val="24"/>
        </w:rPr>
        <w:t xml:space="preserve">Failure pattern: Hub failure propagates instantly to all spokes; cascade is rapid and total</w:t>
      </w:r>
    </w:p>
    <w:p>
      <w:pPr>
        <w:pStyle w:val="ListParagraph"/>
        <w:numPr>
          <w:ilvl w:val="0"/>
          <w:numId w:val="2"/>
        </w:numPr>
        <w:spacing w:after="40" w:before="40"/>
      </w:pPr>
      <w:r>
        <w:rPr>
          <w:rFonts w:ascii="Times New Roman" w:cs="Times New Roman" w:eastAsia="Times New Roman" w:hAnsi="Times New Roman"/>
          <w:sz w:val="24"/>
          <w:szCs w:val="24"/>
        </w:rPr>
        <w:t xml:space="preserve">Dominant failure modes: FM II (hub becomes maximally locked), FM IV (distortion concentrated at hub)</w:t>
      </w:r>
    </w:p>
    <w:p>
      <w:pPr>
        <w:pStyle w:val="ListParagraph"/>
        <w:numPr>
          <w:ilvl w:val="0"/>
          <w:numId w:val="2"/>
        </w:numPr>
        <w:spacing w:after="40" w:before="40"/>
      </w:pPr>
      <w:r>
        <w:rPr>
          <w:rFonts w:ascii="Times New Roman" w:cs="Times New Roman" w:eastAsia="Times New Roman" w:hAnsi="Times New Roman"/>
          <w:sz w:val="24"/>
          <w:szCs w:val="24"/>
        </w:rPr>
        <w:t xml:space="preserve">Resilience: Low — hub is single point of failure</w:t>
      </w:r>
    </w:p>
    <w:p>
      <w:pPr>
        <w:pStyle w:val="ListParagraph"/>
        <w:numPr>
          <w:ilvl w:val="0"/>
          <w:numId w:val="2"/>
        </w:numPr>
        <w:spacing w:after="40" w:before="40"/>
      </w:pPr>
      <w:r>
        <w:rPr>
          <w:rFonts w:ascii="Times New Roman" w:cs="Times New Roman" w:eastAsia="Times New Roman" w:hAnsi="Times New Roman"/>
          <w:sz w:val="24"/>
          <w:szCs w:val="24"/>
        </w:rPr>
        <w:t xml:space="preserve">Recovery: Possible only if peripheral nodes retain autonomous function</w:t>
      </w:r>
    </w:p>
    <w:p>
      <w:pPr>
        <w:pStyle w:val="ListParagraph"/>
        <w:numPr>
          <w:ilvl w:val="0"/>
          <w:numId w:val="2"/>
        </w:numPr>
        <w:spacing w:after="40" w:before="40"/>
      </w:pPr>
      <w:r>
        <w:rPr>
          <w:rFonts w:ascii="Times New Roman" w:cs="Times New Roman" w:eastAsia="Times New Roman" w:hAnsi="Times New Roman"/>
          <w:sz w:val="24"/>
          <w:szCs w:val="24"/>
        </w:rPr>
        <w:t xml:space="preserve">Historical examples: Soviet central planning; Roman imperial administration</w:t>
      </w:r>
    </w:p>
    <w:p>
      <w:pPr>
        <w:spacing w:after="60" w:before="60"/>
      </w:pPr>
      <w:r>
        <w:t xml:space="preserve"/>
      </w:r>
    </w:p>
    <w:p>
      <w:pPr>
        <w:pStyle w:val="Heading3"/>
        <w:spacing w:after="100" w:before="200"/>
      </w:pPr>
      <w:r>
        <w:rPr>
          <w:rFonts w:ascii="Arial" w:cs="Arial" w:eastAsia="Arial" w:hAnsi="Arial"/>
          <w:b/>
          <w:bCs/>
          <w:color w:val="4A6FA5"/>
          <w:sz w:val="24"/>
          <w:szCs w:val="24"/>
        </w:rPr>
        <w:t xml:space="preserve">Topology B: Distributed (Mesh Network)</w:t>
      </w:r>
    </w:p>
    <w:p>
      <w:pPr>
        <w:spacing w:after="80" w:before="80"/>
      </w:pPr>
      <w:r>
        <w:rPr>
          <w:rFonts w:ascii="Times New Roman" w:cs="Times New Roman" w:eastAsia="Times New Roman" w:hAnsi="Times New Roman"/>
          <w:sz w:val="24"/>
          <w:szCs w:val="24"/>
        </w:rPr>
        <w:t xml:space="preserve">Structure: Multiple nodes with similar connectivity; no dominant hub.</w:t>
      </w:r>
    </w:p>
    <w:p>
      <w:pPr>
        <w:pStyle w:val="ListParagraph"/>
        <w:numPr>
          <w:ilvl w:val="0"/>
          <w:numId w:val="2"/>
        </w:numPr>
        <w:spacing w:after="40" w:before="40"/>
      </w:pPr>
      <w:r>
        <w:rPr>
          <w:rFonts w:ascii="Times New Roman" w:cs="Times New Roman" w:eastAsia="Times New Roman" w:hAnsi="Times New Roman"/>
          <w:sz w:val="24"/>
          <w:szCs w:val="24"/>
        </w:rPr>
        <w:t xml:space="preserve">Failure pattern: Failure propagates slowly through peer connections; collapse is gradual and partial</w:t>
      </w:r>
    </w:p>
    <w:p>
      <w:pPr>
        <w:pStyle w:val="ListParagraph"/>
        <w:numPr>
          <w:ilvl w:val="0"/>
          <w:numId w:val="2"/>
        </w:numPr>
        <w:spacing w:after="40" w:before="40"/>
      </w:pPr>
      <w:r>
        <w:rPr>
          <w:rFonts w:ascii="Times New Roman" w:cs="Times New Roman" w:eastAsia="Times New Roman" w:hAnsi="Times New Roman"/>
          <w:sz w:val="24"/>
          <w:szCs w:val="24"/>
        </w:rPr>
        <w:t xml:space="preserve">Dominant failure modes: FM III (local value monocultures persist without correction), FM V (local complexity compounds across nodes without coordination)</w:t>
      </w:r>
    </w:p>
    <w:p>
      <w:pPr>
        <w:pStyle w:val="ListParagraph"/>
        <w:numPr>
          <w:ilvl w:val="0"/>
          <w:numId w:val="2"/>
        </w:numPr>
        <w:spacing w:after="40" w:before="40"/>
      </w:pPr>
      <w:r>
        <w:rPr>
          <w:rFonts w:ascii="Times New Roman" w:cs="Times New Roman" w:eastAsia="Times New Roman" w:hAnsi="Times New Roman"/>
          <w:sz w:val="24"/>
          <w:szCs w:val="24"/>
        </w:rPr>
        <w:t xml:space="preserve">Resilience: Medium — no single point of failure, but coordination failures accumulate</w:t>
      </w:r>
    </w:p>
    <w:p>
      <w:pPr>
        <w:pStyle w:val="ListParagraph"/>
        <w:numPr>
          <w:ilvl w:val="0"/>
          <w:numId w:val="2"/>
        </w:numPr>
        <w:spacing w:after="40" w:before="40"/>
      </w:pPr>
      <w:r>
        <w:rPr>
          <w:rFonts w:ascii="Times New Roman" w:cs="Times New Roman" w:eastAsia="Times New Roman" w:hAnsi="Times New Roman"/>
          <w:sz w:val="24"/>
          <w:szCs w:val="24"/>
        </w:rPr>
        <w:t xml:space="preserve">Recovery: Possible through node-level adaptation, but requires eventual coordination</w:t>
      </w:r>
    </w:p>
    <w:p>
      <w:pPr>
        <w:pStyle w:val="ListParagraph"/>
        <w:numPr>
          <w:ilvl w:val="0"/>
          <w:numId w:val="2"/>
        </w:numPr>
        <w:spacing w:after="40" w:before="40"/>
      </w:pPr>
      <w:r>
        <w:rPr>
          <w:rFonts w:ascii="Times New Roman" w:cs="Times New Roman" w:eastAsia="Times New Roman" w:hAnsi="Times New Roman"/>
          <w:sz w:val="24"/>
          <w:szCs w:val="24"/>
        </w:rPr>
        <w:t xml:space="preserve">Historical examples: Medieval European feudal system; modern decentralized financial markets</w:t>
      </w:r>
    </w:p>
    <w:p>
      <w:pPr>
        <w:spacing w:after="60" w:before="60"/>
      </w:pPr>
      <w:r>
        <w:t xml:space="preserve"/>
      </w:r>
    </w:p>
    <w:p>
      <w:pPr>
        <w:pStyle w:val="Heading3"/>
        <w:spacing w:after="100" w:before="200"/>
      </w:pPr>
      <w:r>
        <w:rPr>
          <w:rFonts w:ascii="Arial" w:cs="Arial" w:eastAsia="Arial" w:hAnsi="Arial"/>
          <w:b/>
          <w:bCs/>
          <w:color w:val="4A6FA5"/>
          <w:sz w:val="24"/>
          <w:szCs w:val="24"/>
        </w:rPr>
        <w:t xml:space="preserve">Topology C: Modular (Clustered with Bridges)</w:t>
      </w:r>
    </w:p>
    <w:p>
      <w:pPr>
        <w:spacing w:after="80" w:before="80"/>
      </w:pPr>
      <w:r>
        <w:rPr>
          <w:rFonts w:ascii="Times New Roman" w:cs="Times New Roman" w:eastAsia="Times New Roman" w:hAnsi="Times New Roman"/>
          <w:sz w:val="24"/>
          <w:szCs w:val="24"/>
        </w:rPr>
        <w:t xml:space="preserve">Structure: Dense clusters internally, sparse connections between clusters; bridges control inter-cluster flow.</w:t>
      </w:r>
    </w:p>
    <w:p>
      <w:pPr>
        <w:pStyle w:val="ListParagraph"/>
        <w:numPr>
          <w:ilvl w:val="0"/>
          <w:numId w:val="2"/>
        </w:numPr>
        <w:spacing w:after="40" w:before="40"/>
      </w:pPr>
      <w:r>
        <w:rPr>
          <w:rFonts w:ascii="Times New Roman" w:cs="Times New Roman" w:eastAsia="Times New Roman" w:hAnsi="Times New Roman"/>
          <w:sz w:val="24"/>
          <w:szCs w:val="24"/>
        </w:rPr>
        <w:t xml:space="preserve">Failure pattern: Failure contained within clusters unless bridge nodes fail; cascade limited to affected cluster</w:t>
      </w:r>
    </w:p>
    <w:p>
      <w:pPr>
        <w:pStyle w:val="ListParagraph"/>
        <w:numPr>
          <w:ilvl w:val="0"/>
          <w:numId w:val="2"/>
        </w:numPr>
        <w:spacing w:after="40" w:before="40"/>
      </w:pPr>
      <w:r>
        <w:rPr>
          <w:rFonts w:ascii="Times New Roman" w:cs="Times New Roman" w:eastAsia="Times New Roman" w:hAnsi="Times New Roman"/>
          <w:sz w:val="24"/>
          <w:szCs w:val="24"/>
        </w:rPr>
        <w:t xml:space="preserve">Dominant failure modes: FM I at bridge nodes (high information velocity); FM II at bridge controllers</w:t>
      </w:r>
    </w:p>
    <w:p>
      <w:pPr>
        <w:pStyle w:val="ListParagraph"/>
        <w:numPr>
          <w:ilvl w:val="0"/>
          <w:numId w:val="2"/>
        </w:numPr>
        <w:spacing w:after="40" w:before="40"/>
      </w:pPr>
      <w:r>
        <w:rPr>
          <w:rFonts w:ascii="Times New Roman" w:cs="Times New Roman" w:eastAsia="Times New Roman" w:hAnsi="Times New Roman"/>
          <w:sz w:val="24"/>
          <w:szCs w:val="24"/>
        </w:rPr>
        <w:t xml:space="preserve">Resilience: Highest — modular boundaries contain cascade</w:t>
      </w:r>
    </w:p>
    <w:p>
      <w:pPr>
        <w:pStyle w:val="ListParagraph"/>
        <w:numPr>
          <w:ilvl w:val="0"/>
          <w:numId w:val="2"/>
        </w:numPr>
        <w:spacing w:after="40" w:before="40"/>
      </w:pPr>
      <w:r>
        <w:rPr>
          <w:rFonts w:ascii="Times New Roman" w:cs="Times New Roman" w:eastAsia="Times New Roman" w:hAnsi="Times New Roman"/>
          <w:sz w:val="24"/>
          <w:szCs w:val="24"/>
        </w:rPr>
        <w:t xml:space="preserve">Recovery: Fastest — unaffected modules continue function during recovery</w:t>
      </w:r>
    </w:p>
    <w:p>
      <w:pPr>
        <w:pStyle w:val="ListParagraph"/>
        <w:numPr>
          <w:ilvl w:val="0"/>
          <w:numId w:val="2"/>
        </w:numPr>
        <w:spacing w:after="40" w:before="40"/>
      </w:pPr>
      <w:r>
        <w:rPr>
          <w:rFonts w:ascii="Times New Roman" w:cs="Times New Roman" w:eastAsia="Times New Roman" w:hAnsi="Times New Roman"/>
          <w:sz w:val="24"/>
          <w:szCs w:val="24"/>
        </w:rPr>
        <w:t xml:space="preserve">SOE design principle: Node civilization network is explicitly modular to exploit Topology C resilience</w:t>
      </w:r>
    </w:p>
    <w:p>
      <w:pPr>
        <w:spacing w:after="60" w:before="60"/>
      </w:pPr>
      <w:r>
        <w:t xml:space="preserve"/>
      </w:r>
    </w:p>
    <w:p>
      <w:pPr>
        <w:spacing w:after="80" w:before="80"/>
      </w:pPr>
      <w:r>
        <w:rPr>
          <w:rFonts w:ascii="Times New Roman" w:cs="Times New Roman" w:eastAsia="Times New Roman" w:hAnsi="Times New Roman"/>
          <w:sz w:val="24"/>
          <w:szCs w:val="24"/>
        </w:rPr>
        <w:t xml:space="preserve">Topology implication: The same failure mode produces different outcomes depending on network structure. FM II in a centralized topology produces rapid total collapse; FM II in a modular topology produces local lock-in that can be isolated and corrected. This is why SOE's modular node architecture is not aesthetic preference — it is structural failure management.</w:t>
      </w:r>
    </w:p>
    <w:p>
      <w:pPr>
        <w:spacing w:after="60" w:before="60"/>
      </w:pPr>
      <w:r>
        <w:t xml:space="preserve"/>
      </w:r>
    </w:p>
    <w:p>
      <w:pPr>
        <w:pStyle w:val="Heading1"/>
        <w:spacing w:after="180" w:before="360"/>
      </w:pPr>
      <w:r>
        <w:rPr>
          <w:rFonts w:ascii="Arial" w:cs="Arial" w:eastAsia="Arial" w:hAnsi="Arial"/>
          <w:b/>
          <w:bCs/>
          <w:color w:val="1F3864"/>
          <w:sz w:val="36"/>
          <w:szCs w:val="36"/>
        </w:rPr>
        <w:t xml:space="preserve">5. Civilizational Stability Index (CSI) — Formal Definition</w:t>
      </w:r>
    </w:p>
    <w:p>
      <w:pPr>
        <w:pStyle w:val="Heading2"/>
        <w:spacing w:after="140" w:before="280"/>
      </w:pPr>
      <w:r>
        <w:rPr>
          <w:rFonts w:ascii="Arial" w:cs="Arial" w:eastAsia="Arial" w:hAnsi="Arial"/>
          <w:b/>
          <w:bCs/>
          <w:color w:val="2E5596"/>
          <w:sz w:val="28"/>
          <w:szCs w:val="28"/>
        </w:rPr>
        <w:t xml:space="preserve">5.1 Index Construction</w:t>
      </w:r>
    </w:p>
    <w:p>
      <w:pPr>
        <w:spacing w:after="80" w:before="80"/>
      </w:pPr>
      <w:r>
        <w:rPr>
          <w:rFonts w:ascii="Times New Roman" w:cs="Times New Roman" w:eastAsia="Times New Roman" w:hAnsi="Times New Roman"/>
          <w:sz w:val="24"/>
          <w:szCs w:val="24"/>
        </w:rPr>
        <w:t xml:space="preserve">The Civilizational Stability Index uses a conservative max-norm formulation. Each failure mode is normalized to [0, 1] where 0 = stable and 1 = full failure activation:</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600"/>
        <w:gridCol w:w="3560"/>
      </w:tblGrid>
      <w:tr>
        <w:trPr>
          <w:tblHeader/>
        </w:trPr>
        <w:tc>
          <w:tcPr>
            <w:tcW w:type="dxa" w:w="220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r>
              <w:rPr>
                <w:rFonts w:ascii="Arial" w:cs="Arial" w:eastAsia="Arial" w:hAnsi="Arial"/>
                <w:b/>
                <w:bCs/>
                <w:sz w:val="22"/>
                <w:szCs w:val="22"/>
              </w:rPr>
              <w:t xml:space="preserve">Component</w:t>
            </w:r>
          </w:p>
        </w:tc>
        <w:tc>
          <w:tcPr>
            <w:tcW w:type="dxa" w:w="360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r>
              <w:rPr>
                <w:rFonts w:ascii="Arial" w:cs="Arial" w:eastAsia="Arial" w:hAnsi="Arial"/>
                <w:b/>
                <w:bCs/>
                <w:sz w:val="22"/>
                <w:szCs w:val="22"/>
              </w:rPr>
              <w:t xml:space="preserve">Normalized Form</w:t>
            </w:r>
          </w:p>
        </w:tc>
        <w:tc>
          <w:tcPr>
            <w:tcW w:type="dxa" w:w="356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r>
              <w:rPr>
                <w:rFonts w:ascii="Arial" w:cs="Arial" w:eastAsia="Arial" w:hAnsi="Arial"/>
                <w:b/>
                <w:bCs/>
                <w:sz w:val="22"/>
                <w:szCs w:val="22"/>
              </w:rPr>
              <w:t xml:space="preserve">Failure Threshold</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sz w:val="22"/>
                <w:szCs w:val="22"/>
              </w:rPr>
              <w:t xml:space="preserve">Stress_norm</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sz w:val="22"/>
                <w:szCs w:val="22"/>
              </w:rPr>
              <w:t xml:space="preserve">Stress(t) / S_critical</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sz w:val="22"/>
                <w:szCs w:val="22"/>
              </w:rPr>
              <w:t xml:space="preserve">&gt; 1.0</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sz w:val="22"/>
                <w:szCs w:val="22"/>
              </w:rPr>
              <w:t xml:space="preserve">LI (Lock-in Index)</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sz w:val="22"/>
                <w:szCs w:val="22"/>
              </w:rPr>
              <w:t xml:space="preserve">P_i(t) × (1 - Reform_i(t))</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sz w:val="22"/>
                <w:szCs w:val="22"/>
              </w:rPr>
              <w:t xml:space="preserve">&gt; 0.85</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sz w:val="22"/>
                <w:szCs w:val="22"/>
              </w:rPr>
              <w:t xml:space="preserve">VC (Value Collapse Index)</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sz w:val="22"/>
                <w:szCs w:val="22"/>
              </w:rPr>
              <w:t xml:space="preserve">max_i [max(0, v_i_min - v_i(t)) / v_i_min]</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sz w:val="22"/>
                <w:szCs w:val="22"/>
              </w:rPr>
              <w:t xml:space="preserve">&gt; 0.80</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sz w:val="22"/>
                <w:szCs w:val="22"/>
              </w:rPr>
              <w:t xml:space="preserve">CD (Cognitive Distortion)</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sz w:val="22"/>
                <w:szCs w:val="22"/>
              </w:rPr>
              <w:t xml:space="preserve">1 - max(0, COC(t))</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sz w:val="22"/>
                <w:szCs w:val="22"/>
              </w:rPr>
              <w:t xml:space="preserve">COC(t) &lt; 0 sustained</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sz w:val="22"/>
                <w:szCs w:val="22"/>
              </w:rPr>
              <w:t xml:space="preserve">CO (Complexity Overload)</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sz w:val="22"/>
                <w:szCs w:val="22"/>
              </w:rPr>
              <w:t xml:space="preserve">C(t) / (U × M(t))</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sz w:val="22"/>
                <w:szCs w:val="22"/>
              </w:rPr>
              <w:t xml:space="preserve">&gt; 1.0</w:t>
            </w:r>
          </w:p>
        </w:tc>
      </w:tr>
    </w:tbl>
    <w:p>
      <w:pPr>
        <w:spacing w:after="60" w:before="60"/>
      </w:pPr>
      <w:r>
        <w:t xml:space="preserve"/>
      </w:r>
    </w:p>
    <w:p>
      <w:pPr>
        <w:spacing w:after="80" w:before="80"/>
      </w:pPr>
      <w:r>
        <w:rPr>
          <w:rFonts w:ascii="Times New Roman" w:cs="Times New Roman" w:eastAsia="Times New Roman" w:hAnsi="Times New Roman"/>
          <w:sz w:val="24"/>
          <w:szCs w:val="24"/>
        </w:rPr>
        <w:t xml:space="preserve">The CSI is then:</w:t>
      </w:r>
    </w:p>
    <w:p>
      <w:pPr>
        <w:spacing w:after="160" w:before="160"/>
        <w:jc w:val="center"/>
      </w:pPr>
      <w:r>
        <w:rPr>
          <w:rFonts w:ascii="Courier New" w:cs="Courier New" w:eastAsia="Courier New" w:hAnsi="Courier New"/>
          <w:b/>
          <w:bCs/>
          <w:sz w:val="24"/>
          <w:szCs w:val="24"/>
        </w:rPr>
        <w:t xml:space="preserve">CSI(t) = max(Stress_norm, LI, VC, CD, CO)</w:t>
      </w:r>
    </w:p>
    <w:p>
      <w:pPr>
        <w:spacing w:after="80" w:before="80"/>
      </w:pPr>
      <w:r>
        <w:rPr>
          <w:rFonts w:ascii="Times New Roman" w:cs="Times New Roman" w:eastAsia="Times New Roman" w:hAnsi="Times New Roman"/>
          <w:sz w:val="24"/>
          <w:szCs w:val="24"/>
        </w:rPr>
        <w:t xml:space="preserve">This formulation is intentionally conservative: CSI reflects the worst active failure mode, not a weighted average. Rationale: a system with four stable dimensions and one at full failure is still failing. Averaging would mask single-mode catastrophic activation.</w:t>
      </w:r>
    </w:p>
    <w:p>
      <w:pPr>
        <w:spacing w:after="60" w:before="60"/>
      </w:pPr>
      <w:r>
        <w:t xml:space="preserve"/>
      </w:r>
    </w:p>
    <w:p>
      <w:pPr>
        <w:pStyle w:val="Heading2"/>
        <w:spacing w:after="140" w:before="280"/>
      </w:pPr>
      <w:r>
        <w:rPr>
          <w:rFonts w:ascii="Arial" w:cs="Arial" w:eastAsia="Arial" w:hAnsi="Arial"/>
          <w:b/>
          <w:bCs/>
          <w:color w:val="2E5596"/>
          <w:sz w:val="28"/>
          <w:szCs w:val="28"/>
        </w:rPr>
        <w:t xml:space="preserve">5.2 Failure Conditions</w:t>
      </w:r>
    </w:p>
    <w:p>
      <w:pPr>
        <w:spacing w:after="80" w:before="80"/>
      </w:pPr>
      <w:r>
        <w:rPr>
          <w:rFonts w:ascii="Times New Roman" w:cs="Times New Roman" w:eastAsia="Times New Roman" w:hAnsi="Times New Roman"/>
          <w:sz w:val="24"/>
          <w:szCs w:val="24"/>
        </w:rPr>
        <w:t xml:space="preserve">System exits stable regime when any single component crosses threshold:</w:t>
      </w:r>
    </w:p>
    <w:p>
      <w:pPr>
        <w:spacing w:after="160" w:before="160"/>
        <w:jc w:val="center"/>
      </w:pPr>
      <w:r>
        <w:rPr>
          <w:rFonts w:ascii="Courier New" w:cs="Courier New" w:eastAsia="Courier New" w:hAnsi="Courier New"/>
          <w:b/>
          <w:bCs/>
          <w:sz w:val="24"/>
          <w:szCs w:val="24"/>
        </w:rPr>
        <w:t xml:space="preserve">Stress_norm(t) &gt; 1.0</w:t>
      </w:r>
    </w:p>
    <w:p>
      <w:pPr>
        <w:spacing w:after="160" w:before="160"/>
        <w:jc w:val="center"/>
      </w:pPr>
      <w:r>
        <w:rPr>
          <w:rFonts w:ascii="Courier New" w:cs="Courier New" w:eastAsia="Courier New" w:hAnsi="Courier New"/>
          <w:b/>
          <w:bCs/>
          <w:sz w:val="24"/>
          <w:szCs w:val="24"/>
        </w:rPr>
        <w:t xml:space="preserve">LI(t) &gt; 0.85</w:t>
      </w:r>
    </w:p>
    <w:p>
      <w:pPr>
        <w:spacing w:after="160" w:before="160"/>
        <w:jc w:val="center"/>
      </w:pPr>
      <w:r>
        <w:rPr>
          <w:rFonts w:ascii="Courier New" w:cs="Courier New" w:eastAsia="Courier New" w:hAnsi="Courier New"/>
          <w:b/>
          <w:bCs/>
          <w:sz w:val="24"/>
          <w:szCs w:val="24"/>
        </w:rPr>
        <w:t xml:space="preserve">VC(t) &gt; 0.80</w:t>
      </w:r>
    </w:p>
    <w:p>
      <w:pPr>
        <w:spacing w:after="160" w:before="160"/>
        <w:jc w:val="center"/>
      </w:pPr>
      <w:r>
        <w:rPr>
          <w:rFonts w:ascii="Courier New" w:cs="Courier New" w:eastAsia="Courier New" w:hAnsi="Courier New"/>
          <w:b/>
          <w:bCs/>
          <w:sz w:val="24"/>
          <w:szCs w:val="24"/>
        </w:rPr>
        <w:t xml:space="preserve">COC(t) &lt; 0  sustained over k periods</w:t>
      </w:r>
    </w:p>
    <w:p>
      <w:pPr>
        <w:spacing w:after="160" w:before="160"/>
        <w:jc w:val="center"/>
      </w:pPr>
      <w:r>
        <w:rPr>
          <w:rFonts w:ascii="Courier New" w:cs="Courier New" w:eastAsia="Courier New" w:hAnsi="Courier New"/>
          <w:b/>
          <w:bCs/>
          <w:sz w:val="24"/>
          <w:szCs w:val="24"/>
        </w:rPr>
        <w:t xml:space="preserve">CO(t) &gt; 1.0</w:t>
      </w:r>
    </w:p>
    <w:p>
      <w:pPr>
        <w:spacing w:after="60" w:before="60"/>
      </w:pPr>
      <w:r>
        <w:t xml:space="preserve"/>
      </w:r>
    </w:p>
    <w:p>
      <w:pPr>
        <w:spacing w:after="80" w:before="80"/>
      </w:pPr>
      <w:r>
        <w:rPr>
          <w:rFonts w:ascii="Times New Roman" w:cs="Times New Roman" w:eastAsia="Times New Roman" w:hAnsi="Times New Roman"/>
          <w:sz w:val="24"/>
          <w:szCs w:val="24"/>
        </w:rPr>
        <w:t xml:space="preserve">These are OR-linked: any single breach is sufficient for instability entry. The system does not require simultaneous multi-mode activation — though compound activation (Section 4) accelerates progression from instability to collapse.</w:t>
      </w:r>
    </w:p>
    <w:p>
      <w:pPr>
        <w:spacing w:after="60" w:before="60"/>
      </w:pPr>
      <w:r>
        <w:t xml:space="preserve"/>
      </w:r>
    </w:p>
    <w:p>
      <w:pPr>
        <w:pStyle w:val="Heading2"/>
        <w:spacing w:after="140" w:before="280"/>
      </w:pPr>
      <w:r>
        <w:rPr>
          <w:rFonts w:ascii="Arial" w:cs="Arial" w:eastAsia="Arial" w:hAnsi="Arial"/>
          <w:b/>
          <w:bCs/>
          <w:color w:val="2E5596"/>
          <w:sz w:val="28"/>
          <w:szCs w:val="28"/>
        </w:rPr>
        <w:t xml:space="preserve">5.3 Threshold Calibration Protocol</w:t>
      </w:r>
    </w:p>
    <w:p>
      <w:pPr>
        <w:spacing w:after="80" w:before="80"/>
      </w:pPr>
      <w:r>
        <w:rPr>
          <w:rFonts w:ascii="Times New Roman" w:cs="Times New Roman" w:eastAsia="Times New Roman" w:hAnsi="Times New Roman"/>
          <w:sz w:val="24"/>
          <w:szCs w:val="24"/>
        </w:rPr>
        <w:t xml:space="preserve">The thresholds above are not universal constants. They are calibration targets derived from SOE simulation and historical case analysis. For application to specific systems, calibration requires:</w:t>
      </w:r>
    </w:p>
    <w:p>
      <w:pPr>
        <w:pStyle w:val="ListParagraph"/>
        <w:numPr>
          <w:ilvl w:val="0"/>
          <w:numId w:val="2"/>
        </w:numPr>
        <w:spacing w:after="40" w:before="40"/>
      </w:pPr>
      <w:r>
        <w:rPr>
          <w:rFonts w:ascii="Times New Roman" w:cs="Times New Roman" w:eastAsia="Times New Roman" w:hAnsi="Times New Roman"/>
          <w:sz w:val="24"/>
          <w:szCs w:val="24"/>
        </w:rPr>
        <w:t xml:space="preserve">Step 1: Select proxy variables for A, R, S appropriate to the institutional context</w:t>
      </w:r>
    </w:p>
    <w:p>
      <w:pPr>
        <w:pStyle w:val="ListParagraph"/>
        <w:numPr>
          <w:ilvl w:val="0"/>
          <w:numId w:val="2"/>
        </w:numPr>
        <w:spacing w:after="40" w:before="40"/>
      </w:pPr>
      <w:r>
        <w:rPr>
          <w:rFonts w:ascii="Times New Roman" w:cs="Times New Roman" w:eastAsia="Times New Roman" w:hAnsi="Times New Roman"/>
          <w:sz w:val="24"/>
          <w:szCs w:val="24"/>
        </w:rPr>
        <w:t xml:space="preserve">Step 2: Map historical failure cases to identify empirical threshold values for that context</w:t>
      </w:r>
    </w:p>
    <w:p>
      <w:pPr>
        <w:pStyle w:val="ListParagraph"/>
        <w:numPr>
          <w:ilvl w:val="0"/>
          <w:numId w:val="2"/>
        </w:numPr>
        <w:spacing w:after="40" w:before="40"/>
      </w:pPr>
      <w:r>
        <w:rPr>
          <w:rFonts w:ascii="Times New Roman" w:cs="Times New Roman" w:eastAsia="Times New Roman" w:hAnsi="Times New Roman"/>
          <w:sz w:val="24"/>
          <w:szCs w:val="24"/>
        </w:rPr>
        <w:t xml:space="preserve">Step 3: Validate threshold stability across multiple historical cases in the same context</w:t>
      </w:r>
    </w:p>
    <w:p>
      <w:pPr>
        <w:pStyle w:val="ListParagraph"/>
        <w:numPr>
          <w:ilvl w:val="0"/>
          <w:numId w:val="2"/>
        </w:numPr>
        <w:spacing w:after="40" w:before="40"/>
      </w:pPr>
      <w:r>
        <w:rPr>
          <w:rFonts w:ascii="Times New Roman" w:cs="Times New Roman" w:eastAsia="Times New Roman" w:hAnsi="Times New Roman"/>
          <w:sz w:val="24"/>
          <w:szCs w:val="24"/>
        </w:rPr>
        <w:t xml:space="preserve">Step 4: Apply calibrated thresholds prospectively with explicit uncertainty ranges</w:t>
      </w:r>
    </w:p>
    <w:p>
      <w:pPr>
        <w:spacing w:after="60" w:before="60"/>
      </w:pPr>
      <w:r>
        <w:t xml:space="preserve"/>
      </w:r>
    </w:p>
    <w:p>
      <w:pPr>
        <w:spacing w:after="80" w:before="80"/>
      </w:pPr>
      <w:r>
        <w:rPr>
          <w:rFonts w:ascii="Times New Roman" w:cs="Times New Roman" w:eastAsia="Times New Roman" w:hAnsi="Times New Roman"/>
          <w:sz w:val="24"/>
          <w:szCs w:val="24"/>
        </w:rPr>
        <w:t xml:space="preserve">The SOE simulation values (0.85, 0.055) represent one calibration derived from closed-system simulation. The historical cases in Section 3 provide independent calibration anchors. Convergence between simulation and historical calibration increases threshold confidence.</w:t>
      </w:r>
    </w:p>
    <w:p>
      <w:pPr>
        <w:spacing w:after="60" w:before="60"/>
      </w:pPr>
      <w:r>
        <w:t xml:space="preserve"/>
      </w:r>
    </w:p>
    <w:p>
      <w:pPr>
        <w:pStyle w:val="Heading1"/>
        <w:spacing w:after="180" w:before="360"/>
      </w:pPr>
      <w:r>
        <w:rPr>
          <w:rFonts w:ascii="Arial" w:cs="Arial" w:eastAsia="Arial" w:hAnsi="Arial"/>
          <w:b/>
          <w:bCs/>
          <w:color w:val="1F3864"/>
          <w:sz w:val="36"/>
          <w:szCs w:val="36"/>
        </w:rPr>
        <w:t xml:space="preserve">6. Why Existing Governance Models Cannot Address All Five Failure Modes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000"/>
        <w:gridCol w:w="1000"/>
        <w:gridCol w:w="1000"/>
        <w:gridCol w:w="1000"/>
        <w:gridCol w:w="1000"/>
        <w:gridCol w:w="2160"/>
      </w:tblGrid>
      <w:tr>
        <w:trPr>
          <w:tblHeader/>
        </w:trPr>
        <w:tc>
          <w:tcPr>
            <w:tcW w:type="dxa" w:w="220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r>
              <w:rPr>
                <w:rFonts w:ascii="Arial" w:cs="Arial" w:eastAsia="Arial" w:hAnsi="Arial"/>
                <w:b/>
                <w:bCs/>
                <w:sz w:val="22"/>
                <w:szCs w:val="22"/>
              </w:rPr>
              <w:t xml:space="preserve">Governance Model</w:t>
            </w:r>
          </w:p>
        </w:tc>
        <w:tc>
          <w:tcPr>
            <w:tcW w:type="dxa" w:w="100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r>
              <w:rPr>
                <w:rFonts w:ascii="Arial" w:cs="Arial" w:eastAsia="Arial" w:hAnsi="Arial"/>
                <w:b/>
                <w:bCs/>
                <w:sz w:val="22"/>
                <w:szCs w:val="22"/>
              </w:rPr>
              <w:t xml:space="preserve">FM I</w:t>
            </w:r>
          </w:p>
        </w:tc>
        <w:tc>
          <w:tcPr>
            <w:tcW w:type="dxa" w:w="100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r>
              <w:rPr>
                <w:rFonts w:ascii="Arial" w:cs="Arial" w:eastAsia="Arial" w:hAnsi="Arial"/>
                <w:b/>
                <w:bCs/>
                <w:sz w:val="22"/>
                <w:szCs w:val="22"/>
              </w:rPr>
              <w:t xml:space="preserve">FM II</w:t>
            </w:r>
          </w:p>
        </w:tc>
        <w:tc>
          <w:tcPr>
            <w:tcW w:type="dxa" w:w="100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r>
              <w:rPr>
                <w:rFonts w:ascii="Arial" w:cs="Arial" w:eastAsia="Arial" w:hAnsi="Arial"/>
                <w:b/>
                <w:bCs/>
                <w:sz w:val="22"/>
                <w:szCs w:val="22"/>
              </w:rPr>
              <w:t xml:space="preserve">FM III</w:t>
            </w:r>
          </w:p>
        </w:tc>
        <w:tc>
          <w:tcPr>
            <w:tcW w:type="dxa" w:w="100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r>
              <w:rPr>
                <w:rFonts w:ascii="Arial" w:cs="Arial" w:eastAsia="Arial" w:hAnsi="Arial"/>
                <w:b/>
                <w:bCs/>
                <w:sz w:val="22"/>
                <w:szCs w:val="22"/>
              </w:rPr>
              <w:t xml:space="preserve">FM IV</w:t>
            </w:r>
          </w:p>
        </w:tc>
        <w:tc>
          <w:tcPr>
            <w:tcW w:type="dxa" w:w="100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r>
              <w:rPr>
                <w:rFonts w:ascii="Arial" w:cs="Arial" w:eastAsia="Arial" w:hAnsi="Arial"/>
                <w:b/>
                <w:bCs/>
                <w:sz w:val="22"/>
                <w:szCs w:val="22"/>
              </w:rPr>
              <w:t xml:space="preserve">FM V</w:t>
            </w:r>
          </w:p>
        </w:tc>
        <w:tc>
          <w:tcPr>
            <w:tcW w:type="dxa" w:w="216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r>
              <w:rPr>
                <w:rFonts w:ascii="Arial" w:cs="Arial" w:eastAsia="Arial" w:hAnsi="Arial"/>
                <w:b/>
                <w:bCs/>
                <w:sz w:val="22"/>
                <w:szCs w:val="22"/>
              </w:rPr>
              <w:t xml:space="preserve">Max Modes Addressed</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sz w:val="22"/>
                <w:szCs w:val="22"/>
              </w:rPr>
              <w:t xml:space="preserve">Democratic Governance</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sz w:val="22"/>
                <w:szCs w:val="22"/>
              </w:rPr>
              <w:t xml:space="preserve">Partial</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sz w:val="22"/>
                <w:szCs w:val="22"/>
              </w:rPr>
              <w:t xml:space="preserve">Partial</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sz w:val="22"/>
                <w:szCs w:val="22"/>
              </w:rPr>
              <w:t xml:space="preserve">Fails</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sz w:val="22"/>
                <w:szCs w:val="22"/>
              </w:rPr>
              <w:t xml:space="preserve">Fails</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sz w:val="22"/>
                <w:szCs w:val="22"/>
              </w:rPr>
              <w:t xml:space="preserve">Fails</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sz w:val="22"/>
                <w:szCs w:val="22"/>
              </w:rPr>
              <w:t xml:space="preserve">2 of 5</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sz w:val="22"/>
                <w:szCs w:val="22"/>
              </w:rPr>
              <w:t xml:space="preserve">Market Systems</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sz w:val="22"/>
                <w:szCs w:val="22"/>
              </w:rPr>
              <w:t xml:space="preserve">Fails</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sz w:val="22"/>
                <w:szCs w:val="22"/>
              </w:rPr>
              <w:t xml:space="preserve">Fails</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sz w:val="22"/>
                <w:szCs w:val="22"/>
              </w:rPr>
              <w:t xml:space="preserve">Fails</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sz w:val="22"/>
                <w:szCs w:val="22"/>
              </w:rPr>
              <w:t xml:space="preserve">Fails</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sz w:val="22"/>
                <w:szCs w:val="22"/>
              </w:rPr>
              <w:t xml:space="preserve">Partial</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sz w:val="22"/>
                <w:szCs w:val="22"/>
              </w:rPr>
              <w:t xml:space="preserve">1 of 5</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sz w:val="22"/>
                <w:szCs w:val="22"/>
              </w:rPr>
              <w:t xml:space="preserve">Technocratic Systems</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sz w:val="22"/>
                <w:szCs w:val="22"/>
              </w:rPr>
              <w:t xml:space="preserve">Fails</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sz w:val="22"/>
                <w:szCs w:val="22"/>
              </w:rPr>
              <w:t xml:space="preserve">Fails</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sz w:val="22"/>
                <w:szCs w:val="22"/>
              </w:rPr>
              <w:t xml:space="preserve">Fails</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sz w:val="22"/>
                <w:szCs w:val="22"/>
              </w:rPr>
              <w:t xml:space="preserve">Partial</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sz w:val="22"/>
                <w:szCs w:val="22"/>
              </w:rPr>
              <w:t xml:space="preserve">Fails</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sz w:val="22"/>
                <w:szCs w:val="22"/>
              </w:rPr>
              <w:t xml:space="preserve">1 of 5</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sz w:val="22"/>
                <w:szCs w:val="22"/>
              </w:rPr>
              <w:t xml:space="preserve">Decentralized Systems</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sz w:val="22"/>
                <w:szCs w:val="22"/>
              </w:rPr>
              <w:t xml:space="preserve">Fails</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sz w:val="22"/>
                <w:szCs w:val="22"/>
              </w:rPr>
              <w:t xml:space="preserve">Partial</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sz w:val="22"/>
                <w:szCs w:val="22"/>
              </w:rPr>
              <w:t xml:space="preserve">Fails</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sz w:val="22"/>
                <w:szCs w:val="22"/>
              </w:rPr>
              <w:t xml:space="preserve">Fails</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sz w:val="22"/>
                <w:szCs w:val="22"/>
              </w:rPr>
              <w:t xml:space="preserve">Partial</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sz w:val="22"/>
                <w:szCs w:val="22"/>
              </w:rPr>
              <w:t xml:space="preserve">2 of 5</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sz w:val="22"/>
                <w:szCs w:val="22"/>
              </w:rPr>
              <w:t xml:space="preserve">SOE (designed target)</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sz w:val="22"/>
                <w:szCs w:val="22"/>
              </w:rPr>
              <w:t xml:space="preserve">Addresses</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sz w:val="22"/>
                <w:szCs w:val="22"/>
              </w:rPr>
              <w:t xml:space="preserve">Addresses</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sz w:val="22"/>
                <w:szCs w:val="22"/>
              </w:rPr>
              <w:t xml:space="preserve">Addresses</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sz w:val="22"/>
                <w:szCs w:val="22"/>
              </w:rPr>
              <w:t xml:space="preserve">Addresses</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sz w:val="22"/>
                <w:szCs w:val="22"/>
              </w:rPr>
              <w:t xml:space="preserve">Addresses</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sz w:val="22"/>
                <w:szCs w:val="22"/>
              </w:rPr>
              <w:t xml:space="preserve">5 of 5</w:t>
            </w:r>
          </w:p>
        </w:tc>
      </w:tr>
    </w:tbl>
    <w:p>
      <w:pPr>
        <w:spacing w:after="60" w:before="60"/>
      </w:pPr>
      <w:r>
        <w:t xml:space="preserve"/>
      </w:r>
    </w:p>
    <w:p>
      <w:pPr>
        <w:spacing w:after="80" w:before="80"/>
      </w:pPr>
      <w:r>
        <w:rPr>
          <w:rFonts w:ascii="Times New Roman" w:cs="Times New Roman" w:eastAsia="Times New Roman" w:hAnsi="Times New Roman"/>
          <w:sz w:val="24"/>
          <w:szCs w:val="24"/>
        </w:rPr>
        <w:t xml:space="preserve">Interpretation note: 'Addresses' does not mean 'solves.' It means: SOE contains explicit structural mechanisms targeting that failure mode. Whether those mechanisms succeed depends on implementation quality and calibration — which is why the Architecture Design phase (currently in development) is necessary. SOE is the first governance architecture to explicitly target all five simultaneously; it is not claimed to be the only possible such architecture.
Rating justifications: Democratic Governance partially addresses FM I because electoral cycles create periodic adaptation pressure, but institutional lag L(t) is structurally bounded below by those same cycles — making full FM I resolution impossible within the architecture. It partially addresses FM II because competitive elections provide external reform pressure, but entrenched interests routinely survive electoral cycles (Olson 1982). It fails FM III because majority rule systematically suppresses minority values without structural correction mechanisms. It fails FM IV because information environments are decentralized and unverified — distortion propagates without institutional detection. It fails FM V because legislative complexity grows with system complexity and no simplification mechanism exists. Market Systems fail FM I because price signals lag structural change by years in complex domains; fail FM II because monopolistic lock-in is a known market failure without endogenous correction; fail FM III because markets optimize for revealed preferences, not feasibility ranges of suppressed values; fail FM IV because market confidence (asset prices) notoriously diverges from systemic risk (2008 case); partially address FM V through price-based coordination that handles local complexity but breaks down at systemic scale. Technocratic Systems fail FM I because expert consensus itself has institutional lag; fail FM II because technocratic institutions are maximally subject to narrative capture and personnel reproduction lock-in; fail FM III because technocratic optimization typically targets measurable variables, systematically neglecting unmeasurable values; partially address FM IV through evidence-based decision processes, but are vulnerable to the distortion of the evidence selection process itself; fail FM V because technocratic management capacity M(t) is still cognitively bounded. Decentralized Systems fail FM I because coordination across decentralized nodes is slower than centralized response; partially address FM II because no single institution can achieve global lock-in; fail FM III because local value monocultures persist without cross-node correction; fail FM IV because decentralized information environments have no verification layer; partially address FM V because modular structure limits cascade propagation.</w:t>
      </w:r>
    </w:p>
    <w:p>
      <w:pPr>
        <w:spacing w:after="60" w:before="60"/>
      </w:pPr>
      <w:r>
        <w:t xml:space="preserve"/>
      </w:r>
    </w:p>
    <w:p>
      <w:pPr>
        <w:pStyle w:val="Heading1"/>
        <w:spacing w:after="180" w:before="360"/>
      </w:pPr>
      <w:r>
        <w:rPr>
          <w:rFonts w:ascii="Arial" w:cs="Arial" w:eastAsia="Arial" w:hAnsi="Arial"/>
          <w:b/>
          <w:bCs/>
          <w:color w:val="1F3864"/>
          <w:sz w:val="36"/>
          <w:szCs w:val="36"/>
        </w:rPr>
        <w:t xml:space="preserve">7. Formal Model Summary</w:t>
      </w:r>
    </w:p>
    <w:p>
      <w:pPr>
        <w:pStyle w:val="Heading2"/>
        <w:spacing w:after="140" w:before="280"/>
      </w:pPr>
      <w:r>
        <w:rPr>
          <w:rFonts w:ascii="Arial" w:cs="Arial" w:eastAsia="Arial" w:hAnsi="Arial"/>
          <w:b/>
          <w:bCs/>
          <w:color w:val="2E5596"/>
          <w:sz w:val="28"/>
          <w:szCs w:val="28"/>
        </w:rPr>
        <w:t xml:space="preserve">7.1 Complete Model Hierarchy</w:t>
      </w:r>
    </w:p>
    <w:p>
      <w:pPr>
        <w:spacing w:after="60" w:before="120"/>
      </w:pPr>
      <w:r>
        <w:rPr>
          <w:rFonts w:ascii="Arial" w:cs="Arial" w:eastAsia="Arial" w:hAnsi="Arial"/>
          <w:b/>
          <w:bCs/>
          <w:sz w:val="24"/>
          <w:szCs w:val="24"/>
        </w:rPr>
        <w:t xml:space="preserve">Layer 1 — ACGM Core:</w:t>
      </w:r>
    </w:p>
    <w:p>
      <w:pPr>
        <w:spacing w:after="160" w:before="160"/>
        <w:jc w:val="center"/>
      </w:pPr>
      <w:r>
        <w:rPr>
          <w:rFonts w:ascii="Courier New" w:cs="Courier New" w:eastAsia="Courier New" w:hAnsi="Courier New"/>
          <w:b/>
          <w:bCs/>
          <w:sz w:val="24"/>
          <w:szCs w:val="24"/>
        </w:rPr>
        <w:t xml:space="preserve">Stress(t) = A(t) / (R(t) × S(t))</w:t>
      </w:r>
    </w:p>
    <w:p>
      <w:pPr>
        <w:spacing w:after="60" w:before="120"/>
      </w:pPr>
      <w:r>
        <w:rPr>
          <w:rFonts w:ascii="Arial" w:cs="Arial" w:eastAsia="Arial" w:hAnsi="Arial"/>
          <w:b/>
          <w:bCs/>
          <w:sz w:val="24"/>
          <w:szCs w:val="24"/>
        </w:rPr>
        <w:t xml:space="preserve">Layer 2 — Five Failure Mode Conditions:</w:t>
      </w:r>
    </w:p>
    <w:p>
      <w:pPr>
        <w:spacing w:after="160" w:before="160"/>
        <w:jc w:val="center"/>
      </w:pPr>
      <w:r>
        <w:rPr>
          <w:rFonts w:ascii="Courier New" w:cs="Courier New" w:eastAsia="Courier New" w:hAnsi="Courier New"/>
          <w:b/>
          <w:bCs/>
          <w:sz w:val="24"/>
          <w:szCs w:val="24"/>
        </w:rPr>
        <w:t xml:space="preserve">FM_I:   A(t) × L(t) &gt; ΔE_max               [temporal mismatch]</w:t>
      </w:r>
    </w:p>
    <w:p>
      <w:pPr>
        <w:spacing w:after="160" w:before="160"/>
        <w:jc w:val="center"/>
      </w:pPr>
      <w:r>
        <w:rPr>
          <w:rFonts w:ascii="Courier New" w:cs="Courier New" w:eastAsia="Courier New" w:hAnsi="Courier New"/>
          <w:b/>
          <w:bCs/>
          <w:sz w:val="24"/>
          <w:szCs w:val="24"/>
        </w:rPr>
        <w:t xml:space="preserve">FM_II:  dC_i/dt &gt; 0, dP_i/dt &gt; 0, dR_i/dt &lt; 0  [lock-in triple condition]</w:t>
      </w:r>
    </w:p>
    <w:p>
      <w:pPr>
        <w:spacing w:after="160" w:before="160"/>
        <w:jc w:val="center"/>
      </w:pPr>
      <w:r>
        <w:rPr>
          <w:rFonts w:ascii="Courier New" w:cs="Courier New" w:eastAsia="Courier New" w:hAnsi="Courier New"/>
          <w:b/>
          <w:bCs/>
          <w:sz w:val="24"/>
          <w:szCs w:val="24"/>
        </w:rPr>
        <w:t xml:space="preserve">FM_III: v_i(t) &lt; v_i_min for any i          [value outside feasible range]</w:t>
      </w:r>
    </w:p>
    <w:p>
      <w:pPr>
        <w:spacing w:after="160" w:before="160"/>
        <w:jc w:val="center"/>
      </w:pPr>
      <w:r>
        <w:rPr>
          <w:rFonts w:ascii="Courier New" w:cs="Courier New" w:eastAsia="Courier New" w:hAnsi="Courier New"/>
          <w:b/>
          <w:bCs/>
          <w:sz w:val="24"/>
          <w:szCs w:val="24"/>
        </w:rPr>
        <w:t xml:space="preserve">FM_IV:  |I(t)-R_actual| &gt; ΔE_sys AND COC&lt;0  [distortion + confidence inversion]</w:t>
      </w:r>
    </w:p>
    <w:p>
      <w:pPr>
        <w:spacing w:after="160" w:before="160"/>
        <w:jc w:val="center"/>
      </w:pPr>
      <w:r>
        <w:rPr>
          <w:rFonts w:ascii="Courier New" w:cs="Courier New" w:eastAsia="Courier New" w:hAnsi="Courier New"/>
          <w:b/>
          <w:bCs/>
          <w:sz w:val="24"/>
          <w:szCs w:val="24"/>
        </w:rPr>
        <w:t xml:space="preserve">FM_V:   C(t) &gt; U × M(t)                     [structural overload]</w:t>
      </w:r>
    </w:p>
    <w:p>
      <w:pPr>
        <w:spacing w:after="60" w:before="120"/>
      </w:pPr>
      <w:r>
        <w:rPr>
          <w:rFonts w:ascii="Arial" w:cs="Arial" w:eastAsia="Arial" w:hAnsi="Arial"/>
          <w:b/>
          <w:bCs/>
          <w:sz w:val="24"/>
          <w:szCs w:val="24"/>
        </w:rPr>
        <w:t xml:space="preserve">Layer 3 — CSI (max-norm formulation):</w:t>
      </w:r>
    </w:p>
    <w:p>
      <w:pPr>
        <w:spacing w:after="160" w:before="160"/>
        <w:jc w:val="center"/>
      </w:pPr>
      <w:r>
        <w:rPr>
          <w:rFonts w:ascii="Courier New" w:cs="Courier New" w:eastAsia="Courier New" w:hAnsi="Courier New"/>
          <w:b/>
          <w:bCs/>
          <w:sz w:val="24"/>
          <w:szCs w:val="24"/>
        </w:rPr>
        <w:t xml:space="preserve">CSI(t) = max(Stress_norm, LI, VC, CD, CO)</w:t>
      </w:r>
    </w:p>
    <w:p>
      <w:pPr>
        <w:spacing w:after="80" w:before="80"/>
      </w:pPr>
      <w:r>
        <w:rPr>
          <w:rFonts w:ascii="Times New Roman" w:cs="Times New Roman" w:eastAsia="Times New Roman" w:hAnsi="Times New Roman"/>
          <w:sz w:val="24"/>
          <w:szCs w:val="24"/>
        </w:rPr>
        <w:t xml:space="preserve">System stability: CSI(t) &lt; 1.0 across all five dimensions simultaneously.</w:t>
      </w:r>
    </w:p>
    <w:p>
      <w:pPr>
        <w:spacing w:after="60" w:before="60"/>
      </w:pPr>
      <w:r>
        <w:t xml:space="preserve"/>
      </w:r>
    </w:p>
    <w:p>
      <w:pPr>
        <w:pStyle w:val="Heading2"/>
        <w:spacing w:after="140" w:before="280"/>
      </w:pPr>
      <w:r>
        <w:rPr>
          <w:rFonts w:ascii="Arial" w:cs="Arial" w:eastAsia="Arial" w:hAnsi="Arial"/>
          <w:b/>
          <w:bCs/>
          <w:color w:val="2E5596"/>
          <w:sz w:val="28"/>
          <w:szCs w:val="28"/>
        </w:rPr>
        <w:t xml:space="preserve">7.2 Falsifiability</w:t>
      </w:r>
    </w:p>
    <w:p>
      <w:pPr>
        <w:spacing w:after="80" w:before="80"/>
      </w:pPr>
      <w:r>
        <w:rPr>
          <w:rFonts w:ascii="Times New Roman" w:cs="Times New Roman" w:eastAsia="Times New Roman" w:hAnsi="Times New Roman"/>
          <w:sz w:val="24"/>
          <w:szCs w:val="24"/>
        </w:rPr>
        <w:t xml:space="preserve">Following ACGM's falsifiability criterion, the unified model makes testable predictions:</w:t>
      </w:r>
    </w:p>
    <w:p>
      <w:pPr>
        <w:pStyle w:val="ListParagraph"/>
        <w:numPr>
          <w:ilvl w:val="0"/>
          <w:numId w:val="2"/>
        </w:numPr>
        <w:spacing w:after="40" w:before="40"/>
      </w:pPr>
      <w:r>
        <w:rPr>
          <w:rFonts w:ascii="Times New Roman" w:cs="Times New Roman" w:eastAsia="Times New Roman" w:hAnsi="Times New Roman"/>
          <w:sz w:val="24"/>
          <w:szCs w:val="24"/>
        </w:rPr>
        <w:t xml:space="preserve">FM_I: A system with sustained high A × L exceeding threshold that does not exhibit instability falsifies FM_I</w:t>
      </w:r>
    </w:p>
    <w:p>
      <w:pPr>
        <w:pStyle w:val="ListParagraph"/>
        <w:numPr>
          <w:ilvl w:val="0"/>
          <w:numId w:val="2"/>
        </w:numPr>
        <w:spacing w:after="40" w:before="40"/>
      </w:pPr>
      <w:r>
        <w:rPr>
          <w:rFonts w:ascii="Times New Roman" w:cs="Times New Roman" w:eastAsia="Times New Roman" w:hAnsi="Times New Roman"/>
          <w:sz w:val="24"/>
          <w:szCs w:val="24"/>
        </w:rPr>
        <w:t xml:space="preserve">FM_II: An institution with all three lock-in conditions met that successfully self-corrects falsifies FM_II</w:t>
      </w:r>
    </w:p>
    <w:p>
      <w:pPr>
        <w:pStyle w:val="ListParagraph"/>
        <w:numPr>
          <w:ilvl w:val="0"/>
          <w:numId w:val="2"/>
        </w:numPr>
        <w:spacing w:after="40" w:before="40"/>
      </w:pPr>
      <w:r>
        <w:rPr>
          <w:rFonts w:ascii="Times New Roman" w:cs="Times New Roman" w:eastAsia="Times New Roman" w:hAnsi="Times New Roman"/>
          <w:sz w:val="24"/>
          <w:szCs w:val="24"/>
        </w:rPr>
        <w:t xml:space="preserve">FM_III: A system maintaining dominant-value optimization indefinitely without suppressed-value collapse falsifies FM_III</w:t>
      </w:r>
    </w:p>
    <w:p>
      <w:pPr>
        <w:pStyle w:val="ListParagraph"/>
        <w:numPr>
          <w:ilvl w:val="0"/>
          <w:numId w:val="2"/>
        </w:numPr>
        <w:spacing w:after="40" w:before="40"/>
      </w:pPr>
      <w:r>
        <w:rPr>
          <w:rFonts w:ascii="Times New Roman" w:cs="Times New Roman" w:eastAsia="Times New Roman" w:hAnsi="Times New Roman"/>
          <w:sz w:val="24"/>
          <w:szCs w:val="24"/>
        </w:rPr>
        <w:t xml:space="preserve">FM_IV: An institution with rising confidence, growing information-reality gap, and negative COC that does not deepen distortion falsifies FM_IV</w:t>
      </w:r>
    </w:p>
    <w:p>
      <w:pPr>
        <w:pStyle w:val="ListParagraph"/>
        <w:numPr>
          <w:ilvl w:val="0"/>
          <w:numId w:val="2"/>
        </w:numPr>
        <w:spacing w:after="40" w:before="40"/>
      </w:pPr>
      <w:r>
        <w:rPr>
          <w:rFonts w:ascii="Times New Roman" w:cs="Times New Roman" w:eastAsia="Times New Roman" w:hAnsi="Times New Roman"/>
          <w:sz w:val="24"/>
          <w:szCs w:val="24"/>
        </w:rPr>
        <w:t xml:space="preserve">FM_V: A system with C(t) &gt; U × M(t) maintaining predictable controlled behavior falsifies FM_V</w:t>
      </w:r>
    </w:p>
    <w:p>
      <w:pPr>
        <w:pStyle w:val="ListParagraph"/>
        <w:numPr>
          <w:ilvl w:val="0"/>
          <w:numId w:val="2"/>
        </w:numPr>
        <w:spacing w:after="40" w:before="40"/>
      </w:pPr>
      <w:r>
        <w:rPr>
          <w:rFonts w:ascii="Times New Roman" w:cs="Times New Roman" w:eastAsia="Times New Roman" w:hAnsi="Times New Roman"/>
          <w:sz w:val="24"/>
          <w:szCs w:val="24"/>
        </w:rPr>
        <w:t xml:space="preserve">CSI: A civilization maintaining all five components below threshold without explicit corrective mechanisms over multi-generational timescales falsifies the unified model</w:t>
      </w:r>
    </w:p>
    <w:p>
      <w:pPr>
        <w:spacing w:after="60" w:before="60"/>
      </w:pPr>
      <w:r>
        <w:t xml:space="preserve"/>
      </w:r>
    </w:p>
    <w:p>
      <w:pPr>
        <w:pStyle w:val="Heading1"/>
        <w:spacing w:after="180" w:before="360"/>
      </w:pPr>
      <w:r>
        <w:rPr>
          <w:rFonts w:ascii="Arial" w:cs="Arial" w:eastAsia="Arial" w:hAnsi="Arial"/>
          <w:b/>
          <w:bCs/>
          <w:color w:val="1F3864"/>
          <w:sz w:val="36"/>
          <w:szCs w:val="36"/>
        </w:rPr>
        <w:t xml:space="preserve">References</w:t>
      </w:r>
    </w:p>
    <w:p>
      <w:pPr>
        <w:spacing w:after="80" w:before="80"/>
      </w:pPr>
      <w:r>
        <w:rPr>
          <w:rFonts w:ascii="Times New Roman" w:cs="Times New Roman" w:eastAsia="Times New Roman" w:hAnsi="Times New Roman"/>
          <w:sz w:val="24"/>
          <w:szCs w:val="24"/>
        </w:rPr>
        <w:t xml:space="preserve">Tainter, J.A. (1988). The Collapse of Complex Societies. Cambridge University Press.</w:t>
      </w:r>
    </w:p>
    <w:p>
      <w:pPr>
        <w:spacing w:after="80" w:before="80"/>
      </w:pPr>
      <w:r>
        <w:rPr>
          <w:rFonts w:ascii="Times New Roman" w:cs="Times New Roman" w:eastAsia="Times New Roman" w:hAnsi="Times New Roman"/>
          <w:sz w:val="24"/>
          <w:szCs w:val="24"/>
        </w:rPr>
        <w:t xml:space="preserve">Diamond, J. (2005). Collapse: How Societies Choose to Fail or Succeed. Viking.</w:t>
      </w:r>
    </w:p>
    <w:p>
      <w:pPr>
        <w:spacing w:after="80" w:before="80"/>
      </w:pPr>
      <w:r>
        <w:rPr>
          <w:rFonts w:ascii="Times New Roman" w:cs="Times New Roman" w:eastAsia="Times New Roman" w:hAnsi="Times New Roman"/>
          <w:sz w:val="24"/>
          <w:szCs w:val="24"/>
        </w:rPr>
        <w:t xml:space="preserve">Acemoglu, D. &amp; Robinson, J.A. (2012). Why Nations Fail. Crown Business.</w:t>
      </w:r>
    </w:p>
    <w:p>
      <w:pPr>
        <w:spacing w:after="80" w:before="80"/>
      </w:pPr>
      <w:r>
        <w:rPr>
          <w:rFonts w:ascii="Times New Roman" w:cs="Times New Roman" w:eastAsia="Times New Roman" w:hAnsi="Times New Roman"/>
          <w:sz w:val="24"/>
          <w:szCs w:val="24"/>
        </w:rPr>
        <w:t xml:space="preserve">Olson, M. (1982). The Rise and Decline of Nations. Yale University Press.</w:t>
      </w:r>
    </w:p>
    <w:p>
      <w:pPr>
        <w:spacing w:after="80" w:before="80"/>
      </w:pPr>
      <w:r>
        <w:rPr>
          <w:rFonts w:ascii="Times New Roman" w:cs="Times New Roman" w:eastAsia="Times New Roman" w:hAnsi="Times New Roman"/>
          <w:sz w:val="24"/>
          <w:szCs w:val="24"/>
        </w:rPr>
        <w:t xml:space="preserve">Meadows, D.H. et al. (1972). The Limits to Growth. Universe Books.</w:t>
      </w:r>
    </w:p>
    <w:p>
      <w:pPr>
        <w:spacing w:after="80" w:before="80"/>
      </w:pPr>
      <w:r>
        <w:rPr>
          <w:rFonts w:ascii="Times New Roman" w:cs="Times New Roman" w:eastAsia="Times New Roman" w:hAnsi="Times New Roman"/>
          <w:sz w:val="24"/>
          <w:szCs w:val="24"/>
        </w:rPr>
        <w:t xml:space="preserve">Greenspan, A. (2005). Risk and Uncertainty in Monetary Policy. American Economic Review 94(2).</w:t>
      </w:r>
    </w:p>
    <w:p>
      <w:pPr>
        <w:spacing w:after="80" w:before="80"/>
      </w:pPr>
      <w:r>
        <w:rPr>
          <w:rFonts w:ascii="Times New Roman" w:cs="Times New Roman" w:eastAsia="Times New Roman" w:hAnsi="Times New Roman"/>
          <w:sz w:val="24"/>
          <w:szCs w:val="24"/>
        </w:rPr>
        <w:t xml:space="preserve">Yu, Q. (2025). Acceleration-Capacity Gap Model (ACGM): A Working Model of System Stability in the AI Era. Zenodo [pending].</w:t>
      </w:r>
    </w:p>
    <w:p>
      <w:pPr>
        <w:spacing w:after="80" w:before="80"/>
      </w:pPr>
      <w:r>
        <w:rPr>
          <w:rFonts w:ascii="Times New Roman" w:cs="Times New Roman" w:eastAsia="Times New Roman" w:hAnsi="Times New Roman"/>
          <w:sz w:val="24"/>
          <w:szCs w:val="24"/>
        </w:rPr>
        <w:t xml:space="preserve">Yu, Q. (2025). SOE Simulation Log v12 (Integrated). System of Eternity Research Program.</w:t>
      </w:r>
    </w:p>
    <w:p>
      <w:pPr>
        <w:spacing w:after="80" w:before="80"/>
      </w:pPr>
      <w:r>
        <w:rPr>
          <w:rFonts w:ascii="Times New Roman" w:cs="Times New Roman" w:eastAsia="Times New Roman" w:hAnsi="Times New Roman"/>
          <w:sz w:val="24"/>
          <w:szCs w:val="24"/>
        </w:rPr>
        <w:t xml:space="preserve">Yu, Q. (2025). System of Eternity V4.1: Civilizational Governance Framework. Internal Research Document.</w:t>
      </w:r>
    </w:p>
    <w:p>
      <w:pPr>
        <w:spacing w:after="60" w:before="60"/>
      </w:pPr>
      <w:r>
        <w:t xml:space="preserve"/>
      </w:r>
    </w:p>
    <w:p>
      <w:pPr>
        <w:pBdr>
          <w:top w:val="single" w:color="2E5596" w:sz="4"/>
        </w:pBdr>
        <w:spacing w:after="0" w:before="360"/>
      </w:pPr>
      <w:r>
        <w:rPr>
          <w:rFonts w:ascii="Arial" w:cs="Arial" w:eastAsia="Arial" w:hAnsi="Arial"/>
          <w:i/>
          <w:iCs/>
          <w:color w:val="2E5596"/>
          <w:sz w:val="20"/>
          <w:szCs w:val="20"/>
        </w:rPr>
        <w:t xml:space="preserve">SOE Failure Layer v1.1 | Post Multi-AI Review | System of Eternity Research Program</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color w:val="1F3864"/>
      <w:sz w:val="36"/>
      <w:szCs w:val="36"/>
    </w:rPr>
  </w:style>
  <w:style w:type="paragraph" w:styleId="Heading2">
    <w:name w:val="Heading 2"/>
    <w:basedOn w:val="Normal"/>
    <w:next w:val="Normal"/>
    <w:qFormat/>
    <w:pPr>
      <w:spacing w:after="140" w:before="280"/>
      <w:outlineLvl w:val="1"/>
    </w:pPr>
    <w:rPr>
      <w:rFonts w:ascii="Arial" w:cs="Arial" w:eastAsia="Arial" w:hAnsi="Arial"/>
      <w:b/>
      <w:bCs/>
      <w:color w:val="2E5596"/>
      <w:sz w:val="28"/>
      <w:szCs w:val="28"/>
    </w:rPr>
  </w:style>
  <w:style w:type="paragraph" w:styleId="Heading3">
    <w:name w:val="Heading 3"/>
    <w:basedOn w:val="Normal"/>
    <w:next w:val="Normal"/>
    <w:qFormat/>
    <w:pPr>
      <w:spacing w:after="100" w:before="200"/>
      <w:outlineLvl w:val="2"/>
    </w:pPr>
    <w:rPr>
      <w:rFonts w:ascii="Arial" w:cs="Arial" w:eastAsia="Arial" w:hAnsi="Arial"/>
      <w:b/>
      <w:bCs/>
      <w:color w:val="4A6FA5"/>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2026-05-02T16:31:48.667Z</dcterms:created>
  <dcterms:modified xsi:type="dcterms:W3CDTF">2026-05-02T16:31:48.668Z</dcterms:modified>
</cp:coreProperties>
</file>

<file path=docProps/custom.xml><?xml version="1.0" encoding="utf-8"?>
<Properties xmlns="http://schemas.openxmlformats.org/officeDocument/2006/custom-properties" xmlns:vt="http://schemas.openxmlformats.org/officeDocument/2006/docPropsVTypes"/>
</file>