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300"/>
      </w:pPr>
    </w:p>
    <w:p>
      <w:pPr>
        <w:spacing w:before="0" w:after="60"/>
        <w:jc w:val="left"/>
      </w:pPr>
      <w:r>
        <w:rPr>
          <w:rFonts w:ascii="Calibri" w:cs="Calibri" w:eastAsia="Calibri" w:hAnsi="Calibri"/>
          <w:b/>
          <w:bCs/>
          <w:caps/>
          <w:color w:val="5A6070"/>
          <w:sz w:val="22"/>
          <w:szCs w:val="22"/>
        </w:rPr>
        <w:t xml:space="preserve">System of Eternity</w:t>
      </w:r>
    </w:p>
    <w:p>
      <w:pPr>
        <w:spacing w:before="0" w:after="40"/>
        <w:jc w:val="left"/>
      </w:pPr>
      <w:r>
        <w:rPr>
          <w:rFonts w:ascii="Calibri" w:cs="Calibri" w:eastAsia="Calibri" w:hAnsi="Calibri"/>
          <w:b/>
          <w:bCs/>
          <w:color w:val="0B1A2E"/>
          <w:sz w:val="64"/>
          <w:szCs w:val="64"/>
        </w:rPr>
        <w:t xml:space="preserve">SOE Simulation Log</w:t>
      </w:r>
    </w:p>
    <w:p>
      <w:pPr>
        <w:pBdr>
          <w:bottom w:val="single" w:color="9A7B2F" w:sz="3" w:space="6"/>
        </w:pBdr>
        <w:spacing w:before="0" w:after="40"/>
        <w:jc w:val="left"/>
      </w:pPr>
      <w:r>
        <w:rPr>
          <w:rFonts w:ascii="Calibri" w:cs="Calibri" w:eastAsia="Calibri" w:hAnsi="Calibri"/>
          <w:b/>
          <w:bCs/>
          <w:color w:val="2A5F8F"/>
          <w:sz w:val="28"/>
          <w:szCs w:val="28"/>
        </w:rPr>
        <w:t xml:space="preserve">Version 11  ·  Cleaned and Integrated Review Edition</w:t>
      </w:r>
    </w:p>
    <w:p>
      <w:pPr>
        <w:spacing w:before="60" w:after="60"/>
      </w:pPr>
    </w:p>
    <w:p>
      <w:pPr>
        <w:spacing w:before="0" w:after="20"/>
        <w:jc w:val="left"/>
      </w:pPr>
      <w:r>
        <w:rPr>
          <w:rFonts w:ascii="Calibri" w:cs="Calibri" w:eastAsia="Calibri" w:hAnsi="Calibri"/>
          <w:color w:val="5A6070"/>
          <w:sz w:val="20"/>
          <w:szCs w:val="20"/>
        </w:rPr>
        <w:t xml:space="preserve">Prepared 2026-03-22 from SOE_Simulation_Log_v10.docx</w:t>
      </w:r>
    </w:p>
    <w:p>
      <w:pPr>
        <w:spacing w:before="0" w:after="20"/>
        <w:jc w:val="left"/>
      </w:pPr>
      <w:r>
        <w:rPr>
          <w:rFonts w:ascii="Calibri" w:cs="Calibri" w:eastAsia="Calibri" w:hAnsi="Calibri"/>
          <w:color w:val="5A6070"/>
          <w:sz w:val="20"/>
          <w:szCs w:val="20"/>
        </w:rPr>
        <w:t xml:space="preserve">Consolidated review input: Codex  ·  Claude  ·  Gemini  ·  Grok  ·  ChatGPT</w:t>
      </w:r>
    </w:p>
    <w:p>
      <w:pPr>
        <w:spacing w:before="40" w:after="40"/>
      </w:pPr>
    </w:p>
    <w:p>
      <w:pPr>
        <w:spacing w:before="0" w:after="400"/>
        <w:ind w:left="0" w:right="0"/>
        <w:jc w:val="both"/>
      </w:pPr>
      <w:r>
        <w:rPr>
          <w:rFonts w:ascii="Calibri" w:cs="Calibri" w:eastAsia="Calibri" w:hAnsi="Calibri"/>
          <w:i/>
          <w:iCs/>
          <w:color w:val="5A6070"/>
          <w:sz w:val="20"/>
          <w:szCs w:val="20"/>
        </w:rPr>
        <w:t xml:space="preserve">Revision note: This edition preserves the completed experiment record while fixing section order, reducing overclaiming, clarifying the meaning of collapse, and separating validated findings from preliminary or superseded material.</w:t>
      </w:r>
    </w:p>
    <w:p>
      <w:r>
        <w:br w:type="page"/>
      </w:r>
    </w:p>
    <w:p>
      <w:pPr>
        <w:spacing w:before="0" w:after="80"/>
      </w:pPr>
      <w:r>
        <w:rPr>
          <w:rFonts w:ascii="Calibri" w:cs="Calibri" w:eastAsia="Calibri" w:hAnsi="Calibri"/>
          <w:b/>
          <w:bCs/>
          <w:color w:val="0B1A2E"/>
          <w:sz w:val="28"/>
          <w:szCs w:val="28"/>
        </w:rPr>
        <w:t xml:space="preserve">Table of Contents</w:t>
      </w:r>
    </w:p>
    <w:p>
      <w:pPr>
        <w:pBdr>
          <w:bottom w:val="single" w:color="AABBCC" w:sz="1" w:space="4"/>
        </w:pBdr>
        <w:spacing w:before="0" w:after="100"/>
      </w:pP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Section</w:t>
            </w:r>
          </w:p>
        </w:tc>
        <w:tc>
          <w:tcPr>
            <w:tcW w:type="dxa" w:w="696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Title</w:t>
            </w:r>
          </w:p>
        </w:tc>
      </w:tr>
      <w:tr>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Core Definitions</w:t>
            </w:r>
          </w:p>
        </w:tc>
        <w:tc>
          <w:tcPr>
            <w:tcW w:type="dxa" w:w="69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Key terms used throughout this log</w:t>
            </w:r>
          </w:p>
        </w:tc>
      </w:tr>
      <w:tr>
        <w:tc>
          <w:tcPr>
            <w:tcW w:type="dxa" w:w="24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Experiment Naming System</w:t>
            </w:r>
          </w:p>
        </w:tc>
        <w:tc>
          <w:tcPr>
            <w:tcW w:type="dxa" w:w="69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Prefix, category, and versioning conventions</w:t>
            </w:r>
          </w:p>
        </w:tc>
      </w:tr>
      <w:tr>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Section A</w:t>
            </w:r>
          </w:p>
        </w:tc>
        <w:tc>
          <w:tcPr>
            <w:tcW w:type="dxa" w:w="69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Codex Simulator — Validated Results</w:t>
            </w:r>
          </w:p>
        </w:tc>
      </w:tr>
      <w:tr>
        <w:tc>
          <w:tcPr>
            <w:tcW w:type="dxa" w:w="24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Section B</w:t>
            </w:r>
          </w:p>
        </w:tc>
        <w:tc>
          <w:tcPr>
            <w:tcW w:type="dxa" w:w="69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xAI Simulator — Preliminary Results</w:t>
            </w:r>
          </w:p>
        </w:tc>
      </w:tr>
      <w:tr>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Section C</w:t>
            </w:r>
          </w:p>
        </w:tc>
        <w:tc>
          <w:tcPr>
            <w:tcW w:type="dxa" w:w="69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Agent Simulations (Claude) + Formation Layer Synthesis</w:t>
            </w:r>
          </w:p>
        </w:tc>
      </w:tr>
      <w:tr>
        <w:tc>
          <w:tcPr>
            <w:tcW w:type="dxa" w:w="24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Section D</w:t>
            </w:r>
          </w:p>
        </w:tc>
        <w:tc>
          <w:tcPr>
            <w:tcW w:type="dxa" w:w="69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Network Topology Experiments (Gemini / Codex)</w:t>
            </w:r>
          </w:p>
        </w:tc>
      </w:tr>
      <w:tr>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Section E</w:t>
            </w:r>
          </w:p>
        </w:tc>
        <w:tc>
          <w:tcPr>
            <w:tcW w:type="dxa" w:w="69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Adversarial Stress Tests (Grok / xAI)</w:t>
            </w:r>
          </w:p>
        </w:tc>
      </w:tr>
      <w:tr>
        <w:tc>
          <w:tcPr>
            <w:tcW w:type="dxa" w:w="24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Section F</w:t>
            </w:r>
          </w:p>
        </w:tc>
        <w:tc>
          <w:tcPr>
            <w:tcW w:type="dxa" w:w="69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Cross-Model Experiments (Superseded / Audit Record)</w:t>
            </w:r>
          </w:p>
        </w:tc>
      </w:tr>
      <w:tr>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Section G</w:t>
            </w:r>
          </w:p>
        </w:tc>
        <w:tc>
          <w:tcPr>
            <w:tcW w:type="dxa" w:w="69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Bureaucratic Layer Experiments (Codex v1.5)</w:t>
            </w:r>
          </w:p>
        </w:tc>
      </w:tr>
      <w:tr>
        <w:tc>
          <w:tcPr>
            <w:tcW w:type="dxa" w:w="24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Section H</w:t>
            </w:r>
          </w:p>
        </w:tc>
        <w:tc>
          <w:tcPr>
            <w:tcW w:type="dxa" w:w="69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Behavior × Topology Integration — CL-NET Series</w:t>
            </w:r>
          </w:p>
        </w:tc>
      </w:tr>
      <w:tr>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Section Y</w:t>
            </w:r>
          </w:p>
        </w:tc>
        <w:tc>
          <w:tcPr>
            <w:tcW w:type="dxa" w:w="69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Execution Layer Constraints</w:t>
            </w:r>
          </w:p>
        </w:tc>
      </w:tr>
      <w:tr>
        <w:tc>
          <w:tcPr>
            <w:tcW w:type="dxa" w:w="24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Section X</w:t>
            </w:r>
          </w:p>
        </w:tc>
        <w:tc>
          <w:tcPr>
            <w:tcW w:type="dxa" w:w="69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Core System Laws</w:t>
            </w:r>
          </w:p>
        </w:tc>
      </w:tr>
    </w:tbl>
    <w:p>
      <w:pPr>
        <w:spacing w:before="120" w:after="120"/>
      </w:pPr>
    </w:p>
    <w:p>
      <w:r>
        <w:br w:type="page"/>
      </w: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1A2E4A" w:val="clear"/>
            <w:tcMar>
              <w:top w:type="dxa" w:w="120"/>
              <w:start w:type="dxa" w:w="200"/>
              <w:bottom w:type="dxa" w:w="120"/>
              <w:end w:type="dxa" w:w="200"/>
            </w:tcMar>
          </w:tcPr>
          <w:p>
            <w:pPr>
              <w:spacing w:before="120" w:after="80"/>
            </w:pPr>
            <w:r>
              <w:rPr>
                <w:b/>
                <w:bCs/>
                <w:color w:val="FFFFFF"/>
                <w:sz w:val="36"/>
                <w:szCs w:val="36"/>
                <w:rFonts w:ascii="Arial" w:hAnsi="Arial"/>
              </w:rPr>
              <w:t>Section I — GPT Dynamic Node-Level Simulation</w:t>
            </w:r>
          </w:p>
        </w:tc>
      </w:tr>
      <w:tr>
        <w:tc>
          <w:tcPr>
            <w:tcW w:type="dxa" w:w="9360"/>
            <w:shd w:fill="2E5FA3" w:val="clear"/>
            <w:tcMar>
              <w:top w:type="dxa" w:w="120"/>
              <w:start w:type="dxa" w:w="200"/>
              <w:bottom w:type="dxa" w:w="120"/>
              <w:end w:type="dxa" w:w="200"/>
            </w:tcMar>
          </w:tcPr>
          <w:p>
            <w:pPr>
              <w:spacing w:before="120" w:after="80"/>
            </w:pPr>
            <w:r>
              <w:rPr>
                <w:b/>
                <w:bCs/>
                <w:color w:val="FFFFFF"/>
                <w:sz w:val="26"/>
                <w:szCs w:val="26"/>
                <w:rFonts w:ascii="Arial" w:hAnsi="Arial"/>
              </w:rPr>
              <w:t>Secondary Simulation Log v3  ·  GPT Branch</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F0F4FA" w:val="clear"/>
            <w:tcMar>
              <w:top w:type="dxa" w:w="80"/>
              <w:start w:type="dxa" w:w="200"/>
              <w:bottom w:type="dxa" w:w="60"/>
              <w:end w:type="dxa" w:w="200"/>
            </w:tcMar>
          </w:tcPr>
          <w:p>
            <w:pPr>
              <w:spacing w:before="160" w:after="60"/>
            </w:pPr>
            <w:r>
              <w:rPr>
                <w:b/>
                <w:bCs/>
                <w:color w:val="1A2E4A"/>
                <w:sz w:val="26"/>
                <w:szCs w:val="26"/>
                <w:rFonts w:ascii="Arial" w:hAnsi="Arial"/>
              </w:rPr>
              <w:t>Integration Preface</w:t>
            </w:r>
          </w:p>
        </w:tc>
      </w:tr>
      <w:tr>
        <w:tc>
          <w:tcPr>
            <w:tcW w:type="dxa" w:w="9360"/>
            <w:shd w:fill="F0F4FA" w:val="clear"/>
            <w:tcMar>
              <w:top w:type="dxa" w:w="60"/>
              <w:start w:type="dxa" w:w="200"/>
              <w:bottom w:type="dxa" w:w="60"/>
              <w:end w:type="dxa" w:w="200"/>
            </w:tcMar>
          </w:tcPr>
          <w:p>
            <w:pPr>
              <w:spacing w:before="40" w:after="40"/>
            </w:pPr>
            <w:r>
              <w:rPr>
                <w:color w:val="333333"/>
                <w:sz w:val="20"/>
                <w:szCs w:val="20"/>
                <w:rFonts w:ascii="Arial" w:hAnsi="Arial"/>
              </w:rPr>
              <w:t xml:space="preserve">This section contains the finalized node-level dynamic simulation conducted using GPT (ChatGPT) on 2026-03-22.</w:t>
            </w:r>
          </w:p>
        </w:tc>
      </w:tr>
      <w:tr>
        <w:tc>
          <w:tcPr>
            <w:tcW w:type="dxa" w:w="9360"/>
            <w:shd w:fill="F0F4FA" w:val="clear"/>
            <w:tcMar>
              <w:top w:type="dxa" w:w="60"/>
              <w:start w:type="dxa" w:w="200"/>
              <w:bottom w:type="dxa" w:w="60"/>
              <w:end w:type="dxa" w:w="200"/>
            </w:tcMar>
          </w:tcPr>
          <w:p>
            <w:pPr>
              <w:spacing w:before="40" w:after="40"/>
            </w:pPr>
            <w:r>
              <w:rPr>
                <w:color w:val="333333"/>
                <w:sz w:val="20"/>
                <w:szCs w:val="20"/>
                <w:rFonts w:ascii="Arial" w:hAnsi="Arial"/>
              </w:rPr>
              <w:t xml:space="preserve"> </w:t>
            </w:r>
          </w:p>
        </w:tc>
      </w:tr>
      <w:tr>
        <w:tc>
          <w:tcPr>
            <w:tcW w:type="dxa" w:w="9360"/>
            <w:shd w:fill="F0F4FA" w:val="clear"/>
            <w:tcMar>
              <w:top w:type="dxa" w:w="60"/>
              <w:start w:type="dxa" w:w="200"/>
              <w:bottom w:type="dxa" w:w="60"/>
              <w:end w:type="dxa" w:w="200"/>
            </w:tcMar>
          </w:tcPr>
          <w:p>
            <w:pPr>
              <w:spacing w:before="40" w:after="40"/>
            </w:pPr>
            <w:r>
              <w:rPr>
                <w:color w:val="333333"/>
                <w:sz w:val="20"/>
                <w:szCs w:val="20"/>
                <w:rFonts w:ascii="Arial" w:hAnsi="Arial"/>
              </w:rPr>
              <w:t xml:space="preserve">Branch: secondary baseline_v1</w:t>
            </w:r>
          </w:p>
        </w:tc>
      </w:tr>
      <w:tr>
        <w:tc>
          <w:tcPr>
            <w:tcW w:type="dxa" w:w="9360"/>
            <w:shd w:fill="F0F4FA" w:val="clear"/>
            <w:tcMar>
              <w:top w:type="dxa" w:w="60"/>
              <w:start w:type="dxa" w:w="200"/>
              <w:bottom w:type="dxa" w:w="60"/>
              <w:end w:type="dxa" w:w="200"/>
            </w:tcMar>
          </w:tcPr>
          <w:p>
            <w:pPr>
              <w:spacing w:before="40" w:after="40"/>
            </w:pPr>
            <w:r>
              <w:rPr>
                <w:color w:val="333333"/>
                <w:sz w:val="20"/>
                <w:szCs w:val="20"/>
                <w:rFonts w:ascii="Arial" w:hAnsi="Arial"/>
              </w:rPr>
              <w:t xml:space="preserve">Model versions:</w:t>
            </w:r>
          </w:p>
        </w:tc>
      </w:tr>
      <w:tr>
        <w:tc>
          <w:tcPr>
            <w:tcW w:type="dxa" w:w="9360"/>
            <w:shd w:fill="FFFFFF" w:val="clear"/>
            <w:tcMar>
              <w:top w:type="dxa" w:w="40"/>
              <w:start w:type="dxa" w:w="400"/>
              <w:bottom w:type="dxa" w:w="40"/>
              <w:end w:type="dxa" w:w="200"/>
            </w:tcMar>
          </w:tcPr>
          <w:p>
            <w:pPr>
              <w:spacing w:before="30" w:after="30"/>
            </w:pPr>
            <w:r>
              <w:rPr>
                <w:color w:val="333333"/>
                <w:sz w:val="20"/>
                <w:szCs w:val="20"/>
                <w:rFonts w:ascii="Arial" w:hAnsi="Arial"/>
              </w:rPr>
              <w:t xml:space="preserve">•  v1 — lock baseline (no cognition→trust coupling)</w:t>
            </w:r>
          </w:p>
        </w:tc>
      </w:tr>
      <w:tr>
        <w:tc>
          <w:tcPr>
            <w:tcW w:type="dxa" w:w="9360"/>
            <w:shd w:fill="FFFFFF" w:val="clear"/>
            <w:tcMar>
              <w:top w:type="dxa" w:w="40"/>
              <w:start w:type="dxa" w:w="400"/>
              <w:bottom w:type="dxa" w:w="40"/>
              <w:end w:type="dxa" w:w="200"/>
            </w:tcMar>
          </w:tcPr>
          <w:p>
            <w:pPr>
              <w:spacing w:before="30" w:after="30"/>
            </w:pPr>
            <w:r>
              <w:rPr>
                <w:color w:val="333333"/>
                <w:sz w:val="20"/>
                <w:szCs w:val="20"/>
                <w:rFonts w:ascii="Arial" w:hAnsi="Arial"/>
              </w:rPr>
              <w:t xml:space="preserve">•  v2 — cognition-linked (distortion reduces trust directly)</w:t>
            </w:r>
          </w:p>
        </w:tc>
      </w:tr>
      <w:tr>
        <w:tc>
          <w:tcPr>
            <w:tcW w:type="dxa" w:w="9360"/>
            <w:shd w:fill="F0F4FA" w:val="clear"/>
            <w:tcMar>
              <w:top w:type="dxa" w:w="60"/>
              <w:start w:type="dxa" w:w="200"/>
              <w:bottom w:type="dxa" w:w="60"/>
              <w:end w:type="dxa" w:w="200"/>
            </w:tcMar>
          </w:tcPr>
          <w:p>
            <w:pPr>
              <w:spacing w:before="40" w:after="40"/>
            </w:pPr>
            <w:r>
              <w:rPr>
                <w:color w:val="333333"/>
                <w:sz w:val="20"/>
                <w:szCs w:val="20"/>
                <w:rFonts w:ascii="Arial" w:hAnsi="Arial"/>
              </w:rPr>
              <w:t xml:space="preserve"> </w:t>
            </w:r>
          </w:p>
        </w:tc>
      </w:tr>
      <w:tr>
        <w:tc>
          <w:tcPr>
            <w:tcW w:type="dxa" w:w="9360"/>
            <w:shd w:fill="F0F4FA" w:val="clear"/>
            <w:tcMar>
              <w:top w:type="dxa" w:w="60"/>
              <w:start w:type="dxa" w:w="200"/>
              <w:bottom w:type="dxa" w:w="60"/>
              <w:end w:type="dxa" w:w="200"/>
            </w:tcMar>
          </w:tcPr>
          <w:p>
            <w:pPr>
              <w:spacing w:before="40" w:after="40"/>
            </w:pPr>
            <w:r>
              <w:rPr>
                <w:color w:val="333333"/>
                <w:sz w:val="20"/>
                <w:szCs w:val="20"/>
                <w:rFonts w:ascii="Arial" w:hAnsi="Arial"/>
              </w:rPr>
              <w:t xml:space="preserve">This branch is fully validated, adversarially reviewed, and scoped as a model-constrained result set.</w:t>
            </w:r>
          </w:p>
        </w:tc>
      </w:tr>
      <w:tr>
        <w:tc>
          <w:tcPr>
            <w:tcW w:type="dxa" w:w="9360"/>
            <w:shd w:fill="FDECEA" w:val="clear"/>
            <w:tcMar>
              <w:top w:type="dxa" w:w="60"/>
              <w:start w:type="dxa" w:w="200"/>
              <w:bottom w:type="dxa" w:w="60"/>
              <w:end w:type="dxa" w:w="200"/>
            </w:tcMar>
          </w:tcPr>
          <w:p>
            <w:pPr>
              <w:spacing w:before="40" w:after="40"/>
            </w:pPr>
            <w:r>
              <w:rPr>
                <w:color w:val="333333"/>
                <w:sz w:val="20"/>
                <w:szCs w:val="20"/>
                <w:rFonts w:ascii="Arial" w:hAnsi="Arial"/>
              </w:rPr>
              <w:t xml:space="preserve"> </w:t>
            </w:r>
          </w:p>
        </w:tc>
      </w:tr>
      <w:tr>
        <w:tc>
          <w:tcPr>
            <w:tcW w:type="dxa" w:w="9360"/>
            <w:shd w:fill="FDECEA" w:val="clear"/>
            <w:tcMar>
              <w:top w:type="dxa" w:w="60"/>
              <w:start w:type="dxa" w:w="200"/>
              <w:bottom w:type="dxa" w:w="60"/>
              <w:end w:type="dxa" w:w="200"/>
            </w:tcMar>
          </w:tcPr>
          <w:p>
            <w:pPr>
              <w:spacing w:before="40" w:after="40"/>
            </w:pPr>
            <w:r>
              <w:rPr>
                <w:color w:val="C0392B"/>
                <w:sz w:val="20"/>
                <w:szCs w:val="20"/>
                <w:rFonts w:ascii="Arial" w:hAnsi="Arial"/>
              </w:rPr>
              <w:t xml:space="preserve">IMPORTANT INTEGRATION RULES:</w:t>
            </w:r>
          </w:p>
        </w:tc>
      </w:tr>
      <w:tr>
        <w:tc>
          <w:tcPr>
            <w:tcW w:type="dxa" w:w="9360"/>
            <w:shd w:fill="FFFFFF" w:val="clear"/>
            <w:tcMar>
              <w:top w:type="dxa" w:w="40"/>
              <w:start w:type="dxa" w:w="400"/>
              <w:bottom w:type="dxa" w:w="40"/>
              <w:end w:type="dxa" w:w="200"/>
            </w:tcMar>
          </w:tcPr>
          <w:p>
            <w:pPr>
              <w:spacing w:before="30" w:after="30"/>
            </w:pPr>
            <w:r>
              <w:rPr>
                <w:color w:val="C0392B"/>
                <w:sz w:val="20"/>
                <w:szCs w:val="20"/>
                <w:rFonts w:ascii="Arial" w:hAnsi="Arial"/>
              </w:rPr>
              <w:t xml:space="preserve">•  This section must NOT be numerically merged with other branches (xAI, CL-NET, macro, topology).</w:t>
            </w:r>
          </w:p>
        </w:tc>
      </w:tr>
      <w:tr>
        <w:tc>
          <w:tcPr>
            <w:tcW w:type="dxa" w:w="9360"/>
            <w:shd w:fill="FFFFFF" w:val="clear"/>
            <w:tcMar>
              <w:top w:type="dxa" w:w="40"/>
              <w:start w:type="dxa" w:w="400"/>
              <w:bottom w:type="dxa" w:w="40"/>
              <w:end w:type="dxa" w:w="200"/>
            </w:tcMar>
          </w:tcPr>
          <w:p>
            <w:pPr>
              <w:spacing w:before="30" w:after="30"/>
            </w:pPr>
            <w:r>
              <w:rPr>
                <w:color w:val="C0392B"/>
                <w:sz w:val="20"/>
                <w:szCs w:val="20"/>
                <w:rFonts w:ascii="Arial" w:hAnsi="Arial"/>
              </w:rPr>
              <w:t xml:space="preserve">•  All conclusions apply only within this model branch unless explicitly cross-validated.</w:t>
            </w:r>
          </w:p>
        </w:tc>
      </w:tr>
      <w:tr>
        <w:tc>
          <w:tcPr>
            <w:tcW w:type="dxa" w:w="9360"/>
            <w:shd w:fill="FFFFFF" w:val="clear"/>
            <w:tcMar>
              <w:top w:type="dxa" w:w="40"/>
              <w:start w:type="dxa" w:w="400"/>
              <w:bottom w:type="dxa" w:w="40"/>
              <w:end w:type="dxa" w:w="200"/>
            </w:tcMar>
          </w:tcPr>
          <w:p>
            <w:pPr>
              <w:spacing w:before="30" w:after="30"/>
            </w:pPr>
            <w:r>
              <w:rPr>
                <w:color w:val="C0392B"/>
                <w:sz w:val="20"/>
                <w:szCs w:val="20"/>
                <w:rFonts w:ascii="Arial" w:hAnsi="Arial"/>
              </w:rPr>
              <w:t xml:space="preserve">•  One unresolved item: governance null diagnostic (see Governance Null Addendum).</w:t>
            </w:r>
          </w:p>
        </w:tc>
      </w:tr>
      <w:tr>
        <w:tc>
          <w:tcPr>
            <w:tcW w:type="dxa" w:w="9360"/>
            <w:shd w:fill="FDECEA" w:val="clear"/>
            <w:tcMar>
              <w:top w:type="dxa" w:w="60"/>
              <w:start w:type="dxa" w:w="200"/>
              <w:bottom w:type="dxa" w:w="60"/>
              <w:end w:type="dxa" w:w="200"/>
            </w:tcMar>
          </w:tcPr>
          <w:p>
            <w:pPr>
              <w:spacing w:before="40" w:after="40"/>
            </w:pPr>
            <w:r>
              <w:rPr>
                <w:i/>
                <w:iCs/>
                <w:color w:val="333333"/>
                <w:sz w:val="20"/>
                <w:szCs w:val="20"/>
                <w:rFonts w:ascii="Arial" w:hAnsi="Arial"/>
              </w:rPr>
              <w:t xml:space="preserve">This section is included for structural insight, not direct aggregation.</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2E5FA3" w:val="clear"/>
            <w:tcMar>
              <w:top w:type="dxa" w:w="120"/>
              <w:start w:type="dxa" w:w="200"/>
              <w:bottom w:type="dxa" w:w="120"/>
              <w:end w:type="dxa" w:w="200"/>
            </w:tcMar>
          </w:tcPr>
          <w:p>
            <w:pPr>
              <w:spacing w:before="120" w:after="80"/>
            </w:pPr>
            <w:r>
              <w:rPr>
                <w:b/>
                <w:bCs/>
                <w:color w:val="FFFFFF"/>
                <w:sz w:val="28"/>
                <w:szCs w:val="28"/>
                <w:rFonts w:ascii="Arial" w:hAnsi="Arial"/>
              </w:rPr>
              <w:t>Scope</w:t>
            </w:r>
          </w:p>
        </w:tc>
      </w:tr>
      <w:tr>
        <w:tc>
          <w:tcPr>
            <w:tcW w:type="dxa" w:w="9360"/>
            <w:shd w:fill="FFFFFF" w:val="clear"/>
            <w:tcMar>
              <w:top w:type="dxa" w:w="60"/>
              <w:start w:type="dxa" w:w="200"/>
              <w:bottom w:type="dxa" w:w="60"/>
              <w:end w:type="dxa" w:w="200"/>
            </w:tcMar>
          </w:tcPr>
          <w:p>
            <w:pPr>
              <w:spacing w:before="40" w:after="40"/>
            </w:pPr>
            <w:r>
              <w:rPr>
                <w:color w:val="333333"/>
                <w:sz w:val="20"/>
                <w:szCs w:val="20"/>
                <w:rFonts w:ascii="Arial" w:hAnsi="Arial"/>
              </w:rPr>
              <w:t xml:space="preserve">This log documents the secondary baseline_v1 simulation branch only.</w:t>
            </w:r>
          </w:p>
        </w:tc>
      </w:tr>
      <w:tr>
        <w:tc>
          <w:tcPr>
            <w:tcW w:type="dxa" w:w="9360"/>
            <w:shd w:fill="FFFFFF" w:val="clear"/>
            <w:tcMar>
              <w:top w:type="dxa" w:w="60"/>
              <w:start w:type="dxa" w:w="200"/>
              <w:bottom w:type="dxa" w:w="60"/>
              <w:end w:type="dxa" w:w="200"/>
            </w:tcMar>
          </w:tcPr>
          <w:p>
            <w:pPr>
              <w:spacing w:before="40" w:after="40"/>
            </w:pPr>
            <w:r>
              <w:rPr>
                <w:color w:val="333333"/>
                <w:sz w:val="20"/>
                <w:szCs w:val="20"/>
                <w:rFonts w:ascii="Arial" w:hAnsi="Arial"/>
              </w:rPr>
              <w:t xml:space="preserve">It should not be merged numerically with the older macro, topology, or CL-NET branches without explicit model separation.</w:t>
            </w:r>
          </w:p>
        </w:tc>
      </w:tr>
      <w:tr>
        <w:tc>
          <w:tcPr>
            <w:tcW w:type="dxa" w:w="9360"/>
            <w:shd w:fill="FFFFFF" w:val="clear"/>
            <w:tcMar>
              <w:top w:type="dxa" w:w="60"/>
              <w:start w:type="dxa" w:w="200"/>
              <w:bottom w:type="dxa" w:w="60"/>
              <w:end w:type="dxa" w:w="200"/>
            </w:tcMar>
          </w:tcPr>
          <w:p>
            <w:pPr>
              <w:spacing w:before="40" w:after="40"/>
            </w:pPr>
            <w:r>
              <w:rPr>
                <w:color w:val="333333"/>
                <w:sz w:val="20"/>
                <w:szCs w:val="20"/>
                <w:rFonts w:ascii="Arial" w:hAnsi="Arial"/>
              </w:rPr>
              <w:t xml:space="preserve">Results are interpreted as model-constrained findings rather than universal SOE laws.</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2E5FA3" w:val="clear"/>
            <w:tcMar>
              <w:top w:type="dxa" w:w="120"/>
              <w:start w:type="dxa" w:w="200"/>
              <w:bottom w:type="dxa" w:w="120"/>
              <w:end w:type="dxa" w:w="200"/>
            </w:tcMar>
          </w:tcPr>
          <w:p>
            <w:pPr>
              <w:spacing w:before="120" w:after="80"/>
            </w:pPr>
            <w:r>
              <w:rPr>
                <w:b/>
                <w:bCs/>
                <w:color w:val="FFFFFF"/>
                <w:sz w:val="28"/>
                <w:szCs w:val="28"/>
                <w:rFonts w:ascii="Arial" w:hAnsi="Arial"/>
              </w:rPr>
              <w:t>Model Versioning</w:t>
            </w:r>
          </w:p>
        </w:tc>
      </w:tr>
    </w:tbl>
    <w:p>
      <w:pPr>
        <w:spacing w:before="80" w:after="80"/>
      </w:pPr>
    </w:p>
    <w:tbl>
      <w:tblPr>
        <w:tblW w:type="dxa" w:w="8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00"/>
        <w:gridCol w:w="3700"/>
        <w:gridCol w:w="800"/>
        <w:gridCol w:w="900"/>
        <w:gridCol w:w="800"/>
        <w:gridCol w:w="1260"/>
      </w:tblGrid>
      <w:tr>
        <w:tc>
          <w:tcPr>
            <w:tcW w:type="dxa" w:w="900"/>
            <w:shd w:fill="1A2E4A" w:val="clear"/>
            <w:tcMar>
              <w:top w:type="dxa" w:w="80"/>
              <w:start w:type="dxa" w:w="120"/>
              <w:bottom w:type="dxa" w:w="80"/>
              <w:end w:type="dxa" w:w="120"/>
            </w:tcMar>
          </w:tcPr>
          <w:p>
            <w:pPr>
              <w:jc w:val="center"/>
            </w:pPr>
            <w:r>
              <w:rPr>
                <w:b/>
                <w:bCs/>
                <w:color w:val="FFFFFF"/>
                <w:sz w:val="20"/>
                <w:szCs w:val="20"/>
                <w:rFonts w:ascii="Arial" w:hAnsi="Arial"/>
              </w:rPr>
              <w:t>Version</w:t>
            </w:r>
          </w:p>
        </w:tc>
        <w:tc>
          <w:tcPr>
            <w:tcW w:type="dxa" w:w="3700"/>
            <w:shd w:fill="1A2E4A" w:val="clear"/>
            <w:tcMar>
              <w:top w:type="dxa" w:w="80"/>
              <w:start w:type="dxa" w:w="120"/>
              <w:bottom w:type="dxa" w:w="80"/>
              <w:end w:type="dxa" w:w="120"/>
            </w:tcMar>
          </w:tcPr>
          <w:p>
            <w:pPr>
              <w:jc w:val="center"/>
            </w:pPr>
            <w:r>
              <w:rPr>
                <w:b/>
                <w:bCs/>
                <w:color w:val="FFFFFF"/>
                <w:sz w:val="20"/>
                <w:szCs w:val="20"/>
                <w:rFonts w:ascii="Arial" w:hAnsi="Arial"/>
              </w:rPr>
              <w:t>Description</w:t>
            </w:r>
          </w:p>
        </w:tc>
        <w:tc>
          <w:tcPr>
            <w:tcW w:type="dxa" w:w="800"/>
            <w:shd w:fill="1A2E4A" w:val="clear"/>
            <w:tcMar>
              <w:top w:type="dxa" w:w="80"/>
              <w:start w:type="dxa" w:w="120"/>
              <w:bottom w:type="dxa" w:w="80"/>
              <w:end w:type="dxa" w:w="120"/>
            </w:tcMar>
          </w:tcPr>
          <w:p>
            <w:pPr>
              <w:jc w:val="center"/>
            </w:pPr>
            <w:r>
              <w:rPr>
                <w:b/>
                <w:bCs/>
                <w:color w:val="FFFFFF"/>
                <w:sz w:val="20"/>
                <w:szCs w:val="20"/>
                <w:rFonts w:ascii="Arial" w:hAnsi="Arial"/>
              </w:rPr>
              <w:t>Stable</w:t>
            </w:r>
          </w:p>
        </w:tc>
        <w:tc>
          <w:tcPr>
            <w:tcW w:type="dxa" w:w="900"/>
            <w:shd w:fill="1A2E4A" w:val="clear"/>
            <w:tcMar>
              <w:top w:type="dxa" w:w="80"/>
              <w:start w:type="dxa" w:w="120"/>
              <w:bottom w:type="dxa" w:w="80"/>
              <w:end w:type="dxa" w:w="120"/>
            </w:tcMar>
          </w:tcPr>
          <w:p>
            <w:pPr>
              <w:jc w:val="center"/>
            </w:pPr>
            <w:r>
              <w:rPr>
                <w:b/>
                <w:bCs/>
                <w:color w:val="FFFFFF"/>
                <w:sz w:val="20"/>
                <w:szCs w:val="20"/>
                <w:rFonts w:ascii="Arial" w:hAnsi="Arial"/>
              </w:rPr>
              <w:t>Recovered</w:t>
            </w:r>
          </w:p>
        </w:tc>
        <w:tc>
          <w:tcPr>
            <w:tcW w:type="dxa" w:w="800"/>
            <w:shd w:fill="1A2E4A" w:val="clear"/>
            <w:tcMar>
              <w:top w:type="dxa" w:w="80"/>
              <w:start w:type="dxa" w:w="120"/>
              <w:bottom w:type="dxa" w:w="80"/>
              <w:end w:type="dxa" w:w="120"/>
            </w:tcMar>
          </w:tcPr>
          <w:p>
            <w:pPr>
              <w:jc w:val="center"/>
            </w:pPr>
            <w:r>
              <w:rPr>
                <w:b/>
                <w:bCs/>
                <w:color w:val="FFFFFF"/>
                <w:sz w:val="20"/>
                <w:szCs w:val="20"/>
                <w:rFonts w:ascii="Arial" w:hAnsi="Arial"/>
              </w:rPr>
              <w:t>Fragile</w:t>
            </w:r>
          </w:p>
        </w:tc>
        <w:tc>
          <w:tcPr>
            <w:tcW w:type="dxa" w:w="1260"/>
            <w:shd w:fill="1A2E4A" w:val="clear"/>
            <w:tcMar>
              <w:top w:type="dxa" w:w="80"/>
              <w:start w:type="dxa" w:w="120"/>
              <w:bottom w:type="dxa" w:w="80"/>
              <w:end w:type="dxa" w:w="120"/>
            </w:tcMar>
          </w:tcPr>
          <w:p>
            <w:pPr>
              <w:jc w:val="center"/>
            </w:pPr>
            <w:r>
              <w:rPr>
                <w:b/>
                <w:bCs/>
                <w:color w:val="FFFFFF"/>
                <w:sz w:val="20"/>
                <w:szCs w:val="20"/>
                <w:rFonts w:ascii="Arial" w:hAnsi="Arial"/>
              </w:rPr>
              <w:t>Avg Coop.</w:t>
            </w:r>
          </w:p>
        </w:tc>
      </w:tr>
      <w:tr>
        <w:tc>
          <w:tcPr>
            <w:tcW w:type="dxa" w:w="900"/>
            <w:shd w:fill="FFFFFF" w:val="clear"/>
            <w:tcMar>
              <w:top w:type="dxa" w:w="60"/>
              <w:start w:type="dxa" w:w="120"/>
              <w:bottom w:type="dxa" w:w="60"/>
              <w:end w:type="dxa" w:w="120"/>
            </w:tcMar>
          </w:tcPr>
          <w:p>
            <w:pPr>
              <w:jc w:val="left"/>
            </w:pPr>
            <w:r>
              <w:rPr>
                <w:color w:val="333333"/>
                <w:sz w:val="20"/>
                <w:szCs w:val="20"/>
                <w:rFonts w:ascii="Arial" w:hAnsi="Arial"/>
              </w:rPr>
              <w:t>v1</w:t>
            </w:r>
          </w:p>
        </w:tc>
        <w:tc>
          <w:tcPr>
            <w:tcW w:type="dxa" w:w="3700"/>
            <w:shd w:fill="FFFFFF" w:val="clear"/>
            <w:tcMar>
              <w:top w:type="dxa" w:w="60"/>
              <w:start w:type="dxa" w:w="120"/>
              <w:bottom w:type="dxa" w:w="60"/>
              <w:end w:type="dxa" w:w="120"/>
            </w:tcMar>
          </w:tcPr>
          <w:p>
            <w:pPr>
              <w:jc w:val="center"/>
            </w:pPr>
            <w:r>
              <w:rPr>
                <w:color w:val="333333"/>
                <w:sz w:val="20"/>
                <w:szCs w:val="20"/>
                <w:rFonts w:ascii="Arial" w:hAnsi="Arial"/>
              </w:rPr>
              <w:t>Lock baseline — no cognition→trust coupling</w:t>
            </w:r>
          </w:p>
        </w:tc>
        <w:tc>
          <w:tcPr>
            <w:tcW w:type="dxa" w:w="800"/>
            <w:shd w:fill="FFFFFF" w:val="clear"/>
            <w:tcMar>
              <w:top w:type="dxa" w:w="60"/>
              <w:start w:type="dxa" w:w="120"/>
              <w:bottom w:type="dxa" w:w="60"/>
              <w:end w:type="dxa" w:w="120"/>
            </w:tcMar>
          </w:tcPr>
          <w:p>
            <w:pPr>
              <w:jc w:val="center"/>
            </w:pPr>
            <w:r>
              <w:rPr>
                <w:color w:val="333333"/>
                <w:sz w:val="20"/>
                <w:szCs w:val="20"/>
                <w:rFonts w:ascii="Arial" w:hAnsi="Arial"/>
              </w:rPr>
              <w:t>6/20</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14/20</w:t>
            </w:r>
          </w:p>
        </w:tc>
        <w:tc>
          <w:tcPr>
            <w:tcW w:type="dxa" w:w="800"/>
            <w:shd w:fill="FFFFFF" w:val="clear"/>
            <w:tcMar>
              <w:top w:type="dxa" w:w="60"/>
              <w:start w:type="dxa" w:w="120"/>
              <w:bottom w:type="dxa" w:w="60"/>
              <w:end w:type="dxa" w:w="120"/>
            </w:tcMar>
          </w:tcPr>
          <w:p>
            <w:pPr>
              <w:jc w:val="center"/>
            </w:pPr>
            <w:r>
              <w:rPr>
                <w:color w:val="333333"/>
                <w:sz w:val="20"/>
                <w:szCs w:val="20"/>
                <w:rFonts w:ascii="Arial" w:hAnsi="Arial"/>
              </w:rPr>
              <w:t>3/20</w:t>
            </w:r>
          </w:p>
        </w:tc>
        <w:tc>
          <w:tcPr>
            <w:tcW w:type="dxa" w:w="1260"/>
            <w:shd w:fill="FFFFFF" w:val="clear"/>
            <w:tcMar>
              <w:top w:type="dxa" w:w="60"/>
              <w:start w:type="dxa" w:w="120"/>
              <w:bottom w:type="dxa" w:w="60"/>
              <w:end w:type="dxa" w:w="120"/>
            </w:tcMar>
          </w:tcPr>
          <w:p>
            <w:pPr>
              <w:jc w:val="center"/>
            </w:pPr>
            <w:r>
              <w:rPr>
                <w:color w:val="333333"/>
                <w:sz w:val="20"/>
                <w:szCs w:val="20"/>
                <w:rFonts w:ascii="Arial" w:hAnsi="Arial"/>
              </w:rPr>
              <w:t>0.864</w:t>
            </w:r>
          </w:p>
        </w:tc>
      </w:tr>
      <w:tr>
        <w:tc>
          <w:tcPr>
            <w:tcW w:type="dxa" w:w="900"/>
            <w:shd w:fill="F0F4FA" w:val="clear"/>
            <w:tcMar>
              <w:top w:type="dxa" w:w="60"/>
              <w:start w:type="dxa" w:w="120"/>
              <w:bottom w:type="dxa" w:w="60"/>
              <w:end w:type="dxa" w:w="120"/>
            </w:tcMar>
          </w:tcPr>
          <w:p>
            <w:pPr>
              <w:jc w:val="left"/>
            </w:pPr>
            <w:r>
              <w:rPr>
                <w:color w:val="333333"/>
                <w:sz w:val="20"/>
                <w:szCs w:val="20"/>
                <w:rFonts w:ascii="Arial" w:hAnsi="Arial"/>
              </w:rPr>
              <w:t>v2</w:t>
            </w:r>
          </w:p>
        </w:tc>
        <w:tc>
          <w:tcPr>
            <w:tcW w:type="dxa" w:w="3700"/>
            <w:shd w:fill="F0F4FA" w:val="clear"/>
            <w:tcMar>
              <w:top w:type="dxa" w:w="60"/>
              <w:start w:type="dxa" w:w="120"/>
              <w:bottom w:type="dxa" w:w="60"/>
              <w:end w:type="dxa" w:w="120"/>
            </w:tcMar>
          </w:tcPr>
          <w:p>
            <w:pPr>
              <w:jc w:val="center"/>
            </w:pPr>
            <w:r>
              <w:rPr>
                <w:color w:val="333333"/>
                <w:sz w:val="20"/>
                <w:szCs w:val="20"/>
                <w:rFonts w:ascii="Arial" w:hAnsi="Arial"/>
              </w:rPr>
              <w:t>Cognition-linked — distortion reduces trust</w:t>
            </w:r>
          </w:p>
        </w:tc>
        <w:tc>
          <w:tcPr>
            <w:tcW w:type="dxa" w:w="800"/>
            <w:shd w:fill="F0F4FA" w:val="clear"/>
            <w:tcMar>
              <w:top w:type="dxa" w:w="60"/>
              <w:start w:type="dxa" w:w="120"/>
              <w:bottom w:type="dxa" w:w="60"/>
              <w:end w:type="dxa" w:w="120"/>
            </w:tcMar>
          </w:tcPr>
          <w:p>
            <w:pPr>
              <w:jc w:val="center"/>
            </w:pPr>
            <w:r>
              <w:rPr>
                <w:color w:val="333333"/>
                <w:sz w:val="20"/>
                <w:szCs w:val="20"/>
                <w:rFonts w:ascii="Arial" w:hAnsi="Arial"/>
              </w:rPr>
              <w:t>5/20</w:t>
            </w:r>
          </w:p>
        </w:tc>
        <w:tc>
          <w:tcPr>
            <w:tcW w:type="dxa" w:w="900"/>
            <w:shd w:fill="F0F4FA" w:val="clear"/>
            <w:tcMar>
              <w:top w:type="dxa" w:w="60"/>
              <w:start w:type="dxa" w:w="120"/>
              <w:bottom w:type="dxa" w:w="60"/>
              <w:end w:type="dxa" w:w="120"/>
            </w:tcMar>
          </w:tcPr>
          <w:p>
            <w:pPr>
              <w:jc w:val="center"/>
            </w:pPr>
            <w:r>
              <w:rPr>
                <w:color w:val="333333"/>
                <w:sz w:val="20"/>
                <w:szCs w:val="20"/>
                <w:rFonts w:ascii="Arial" w:hAnsi="Arial"/>
              </w:rPr>
              <w:t>14/20</w:t>
            </w:r>
          </w:p>
        </w:tc>
        <w:tc>
          <w:tcPr>
            <w:tcW w:type="dxa" w:w="800"/>
            <w:shd w:fill="F0F4FA" w:val="clear"/>
            <w:tcMar>
              <w:top w:type="dxa" w:w="60"/>
              <w:start w:type="dxa" w:w="120"/>
              <w:bottom w:type="dxa" w:w="60"/>
              <w:end w:type="dxa" w:w="120"/>
            </w:tcMar>
          </w:tcPr>
          <w:p>
            <w:pPr>
              <w:jc w:val="center"/>
            </w:pPr>
            <w:r>
              <w:rPr>
                <w:color w:val="333333"/>
                <w:sz w:val="20"/>
                <w:szCs w:val="20"/>
                <w:rFonts w:ascii="Arial" w:hAnsi="Arial"/>
              </w:rPr>
              <w:t>4/20</w:t>
            </w:r>
          </w:p>
        </w:tc>
        <w:tc>
          <w:tcPr>
            <w:tcW w:type="dxa" w:w="1260"/>
            <w:shd w:fill="F0F4FA" w:val="clear"/>
            <w:tcMar>
              <w:top w:type="dxa" w:w="60"/>
              <w:start w:type="dxa" w:w="120"/>
              <w:bottom w:type="dxa" w:w="60"/>
              <w:end w:type="dxa" w:w="120"/>
            </w:tcMar>
          </w:tcPr>
          <w:p>
            <w:pPr>
              <w:jc w:val="center"/>
            </w:pPr>
            <w:r>
              <w:rPr>
                <w:color w:val="333333"/>
                <w:sz w:val="20"/>
                <w:szCs w:val="20"/>
                <w:rFonts w:ascii="Arial" w:hAnsi="Arial"/>
              </w:rPr>
              <w:t>0.852</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FFFFFF" w:val="clear"/>
            <w:tcMar>
              <w:top w:type="dxa" w:w="60"/>
              <w:start w:type="dxa" w:w="200"/>
              <w:bottom w:type="dxa" w:w="60"/>
              <w:end w:type="dxa" w:w="200"/>
            </w:tcMar>
          </w:tcPr>
          <w:p>
            <w:pPr>
              <w:spacing w:before="40" w:after="40"/>
            </w:pPr>
            <w:r>
              <w:rPr>
                <w:i/>
                <w:iCs/>
                <w:color w:val="333333"/>
                <w:sz w:val="20"/>
                <w:szCs w:val="20"/>
                <w:rFonts w:ascii="Arial" w:hAnsi="Arial"/>
              </w:rPr>
              <w:t xml:space="preserve">All cognitive and interaction tests after the cognition upgrade reference v2, not v1.</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2E5FA3" w:val="clear"/>
            <w:tcMar>
              <w:top w:type="dxa" w:w="120"/>
              <w:start w:type="dxa" w:w="200"/>
              <w:bottom w:type="dxa" w:w="120"/>
              <w:end w:type="dxa" w:w="200"/>
            </w:tcMar>
          </w:tcPr>
          <w:p>
            <w:pPr>
              <w:spacing w:before="120" w:after="80"/>
            </w:pPr>
            <w:r>
              <w:rPr>
                <w:b/>
                <w:bCs/>
                <w:color w:val="FFFFFF"/>
                <w:sz w:val="28"/>
                <w:szCs w:val="28"/>
                <w:rFonts w:ascii="Arial" w:hAnsi="Arial"/>
              </w:rPr>
              <w:t>Phase 0 — Early Baseline Sequence</w:t>
            </w:r>
          </w:p>
        </w:tc>
      </w:tr>
      <w:tr>
        <w:tc>
          <w:tcPr>
            <w:tcW w:type="dxa" w:w="9360"/>
            <w:shd w:fill="F0F4FA" w:val="clear"/>
            <w:tcMar>
              <w:top w:type="dxa" w:w="80"/>
              <w:start w:type="dxa" w:w="200"/>
              <w:bottom w:type="dxa" w:w="60"/>
              <w:end w:type="dxa" w:w="200"/>
            </w:tcMar>
          </w:tcPr>
          <w:p>
            <w:pPr>
              <w:spacing w:before="160" w:after="60"/>
            </w:pPr>
            <w:r>
              <w:rPr>
                <w:b/>
                <w:bCs/>
                <w:color w:val="2E5FA3"/>
                <w:sz w:val="26"/>
                <w:szCs w:val="26"/>
                <w:rFonts w:ascii="Arial" w:hAnsi="Arial"/>
              </w:rPr>
              <w:t>BASELINE_v1 — Initial State</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340"/>
        <w:gridCol w:w="2340"/>
        <w:gridCol w:w="2340"/>
        <w:gridCol w:w="2340"/>
      </w:tblGrid>
      <w:tr>
        <w:tc>
          <w:tcPr>
            <w:tcW w:type="dxa" w:w="2340"/>
            <w:shd w:fill="1A2E4A" w:val="clear"/>
            <w:tcMar>
              <w:top w:type="dxa" w:w="80"/>
              <w:start w:type="dxa" w:w="120"/>
              <w:bottom w:type="dxa" w:w="80"/>
              <w:end w:type="dxa" w:w="120"/>
            </w:tcMar>
          </w:tcPr>
          <w:p>
            <w:pPr>
              <w:jc w:val="center"/>
            </w:pPr>
            <w:r>
              <w:rPr>
                <w:b/>
                <w:bCs/>
                <w:color w:val="FFFFFF"/>
                <w:sz w:val="20"/>
                <w:szCs w:val="20"/>
                <w:rFonts w:ascii="Arial" w:hAnsi="Arial"/>
              </w:rPr>
              <w:t>Stable Runs</w:t>
            </w:r>
          </w:p>
        </w:tc>
        <w:tc>
          <w:tcPr>
            <w:tcW w:type="dxa" w:w="2340"/>
            <w:shd w:fill="1A2E4A" w:val="clear"/>
            <w:tcMar>
              <w:top w:type="dxa" w:w="80"/>
              <w:start w:type="dxa" w:w="120"/>
              <w:bottom w:type="dxa" w:w="80"/>
              <w:end w:type="dxa" w:w="120"/>
            </w:tcMar>
          </w:tcPr>
          <w:p>
            <w:pPr>
              <w:jc w:val="center"/>
            </w:pPr>
            <w:r>
              <w:rPr>
                <w:b/>
                <w:bCs/>
                <w:color w:val="FFFFFF"/>
                <w:sz w:val="20"/>
                <w:szCs w:val="20"/>
                <w:rFonts w:ascii="Arial" w:hAnsi="Arial"/>
              </w:rPr>
              <w:t>Recovered</w:t>
            </w:r>
          </w:p>
        </w:tc>
        <w:tc>
          <w:tcPr>
            <w:tcW w:type="dxa" w:w="2340"/>
            <w:shd w:fill="1A2E4A" w:val="clear"/>
            <w:tcMar>
              <w:top w:type="dxa" w:w="80"/>
              <w:start w:type="dxa" w:w="120"/>
              <w:bottom w:type="dxa" w:w="80"/>
              <w:end w:type="dxa" w:w="120"/>
            </w:tcMar>
          </w:tcPr>
          <w:p>
            <w:pPr>
              <w:jc w:val="center"/>
            </w:pPr>
            <w:r>
              <w:rPr>
                <w:b/>
                <w:bCs/>
                <w:color w:val="FFFFFF"/>
                <w:sz w:val="20"/>
                <w:szCs w:val="20"/>
                <w:rFonts w:ascii="Arial" w:hAnsi="Arial"/>
              </w:rPr>
              <w:t>Fragile</w:t>
            </w:r>
          </w:p>
        </w:tc>
        <w:tc>
          <w:tcPr>
            <w:tcW w:type="dxa" w:w="2340"/>
            <w:shd w:fill="1A2E4A" w:val="clear"/>
            <w:tcMar>
              <w:top w:type="dxa" w:w="80"/>
              <w:start w:type="dxa" w:w="120"/>
              <w:bottom w:type="dxa" w:w="80"/>
              <w:end w:type="dxa" w:w="120"/>
            </w:tcMar>
          </w:tcPr>
          <w:p>
            <w:pPr>
              <w:jc w:val="center"/>
            </w:pPr>
            <w:r>
              <w:rPr>
                <w:b/>
                <w:bCs/>
                <w:color w:val="FFFFFF"/>
                <w:sz w:val="20"/>
                <w:szCs w:val="20"/>
                <w:rFonts w:ascii="Arial" w:hAnsi="Arial"/>
              </w:rPr>
              <w:t>Avg Final Coop.</w:t>
            </w:r>
          </w:p>
        </w:tc>
      </w:tr>
      <w:tr>
        <w:tc>
          <w:tcPr>
            <w:tcW w:type="dxa" w:w="2340"/>
            <w:shd w:fill="FFFFFF" w:val="clear"/>
            <w:tcMar>
              <w:top w:type="dxa" w:w="60"/>
              <w:start w:type="dxa" w:w="120"/>
              <w:bottom w:type="dxa" w:w="60"/>
              <w:end w:type="dxa" w:w="120"/>
            </w:tcMar>
          </w:tcPr>
          <w:p>
            <w:pPr>
              <w:jc w:val="left"/>
            </w:pPr>
            <w:r>
              <w:rPr>
                <w:color w:val="333333"/>
                <w:sz w:val="20"/>
                <w:szCs w:val="20"/>
                <w:rFonts w:ascii="Arial" w:hAnsi="Arial"/>
              </w:rPr>
              <w:t>0 / 20</w:t>
            </w:r>
          </w:p>
        </w:tc>
        <w:tc>
          <w:tcPr>
            <w:tcW w:type="dxa" w:w="2340"/>
            <w:shd w:fill="FFFFFF" w:val="clear"/>
            <w:tcMar>
              <w:top w:type="dxa" w:w="60"/>
              <w:start w:type="dxa" w:w="120"/>
              <w:bottom w:type="dxa" w:w="60"/>
              <w:end w:type="dxa" w:w="120"/>
            </w:tcMar>
          </w:tcPr>
          <w:p>
            <w:pPr>
              <w:jc w:val="center"/>
            </w:pPr>
            <w:r>
              <w:rPr>
                <w:color w:val="333333"/>
                <w:sz w:val="20"/>
                <w:szCs w:val="20"/>
                <w:rFonts w:ascii="Arial" w:hAnsi="Arial"/>
              </w:rPr>
              <w:t>8 / 20</w:t>
            </w:r>
          </w:p>
        </w:tc>
        <w:tc>
          <w:tcPr>
            <w:tcW w:type="dxa" w:w="2340"/>
            <w:shd w:fill="FFFFFF" w:val="clear"/>
            <w:tcMar>
              <w:top w:type="dxa" w:w="60"/>
              <w:start w:type="dxa" w:w="120"/>
              <w:bottom w:type="dxa" w:w="60"/>
              <w:end w:type="dxa" w:w="120"/>
            </w:tcMar>
          </w:tcPr>
          <w:p>
            <w:pPr>
              <w:jc w:val="center"/>
            </w:pPr>
            <w:r>
              <w:rPr>
                <w:color w:val="333333"/>
                <w:sz w:val="20"/>
                <w:szCs w:val="20"/>
                <w:rFonts w:ascii="Arial" w:hAnsi="Arial"/>
              </w:rPr>
              <w:t>20 / 20</w:t>
            </w:r>
          </w:p>
        </w:tc>
        <w:tc>
          <w:tcPr>
            <w:tcW w:type="dxa" w:w="2340"/>
            <w:shd w:fill="FFFFFF" w:val="clear"/>
            <w:tcMar>
              <w:top w:type="dxa" w:w="60"/>
              <w:start w:type="dxa" w:w="120"/>
              <w:bottom w:type="dxa" w:w="60"/>
              <w:end w:type="dxa" w:w="120"/>
            </w:tcMar>
          </w:tcPr>
          <w:p>
            <w:pPr>
              <w:jc w:val="center"/>
            </w:pPr>
            <w:r>
              <w:rPr>
                <w:color w:val="333333"/>
                <w:sz w:val="20"/>
                <w:szCs w:val="20"/>
                <w:rFonts w:ascii="Arial" w:hAnsi="Arial"/>
              </w:rPr>
              <w:t>0.625</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FFFFFF" w:val="clear"/>
            <w:tcMar>
              <w:top w:type="dxa" w:w="60"/>
              <w:start w:type="dxa" w:w="200"/>
              <w:bottom w:type="dxa" w:w="60"/>
              <w:end w:type="dxa" w:w="200"/>
            </w:tcMar>
          </w:tcPr>
          <w:p>
            <w:pPr>
              <w:spacing w:before="40" w:after="40"/>
            </w:pPr>
            <w:r>
              <w:rPr>
                <w:i/>
                <w:iCs/>
                <w:color w:val="333333"/>
                <w:sz w:val="20"/>
                <w:szCs w:val="20"/>
                <w:rFonts w:ascii="Arial" w:hAnsi="Arial"/>
              </w:rPr>
              <w:t xml:space="preserve">Interpretation: dynamic but underpowered. System recovers sporadically but cannot sustain high cooperation.</w:t>
            </w:r>
          </w:p>
        </w:tc>
      </w:tr>
      <w:tr>
        <w:tc>
          <w:tcPr>
            <w:tcW w:type="dxa" w:w="9360"/>
            <w:shd w:fill="F0F4FA" w:val="clear"/>
            <w:tcMar>
              <w:top w:type="dxa" w:w="80"/>
              <w:start w:type="dxa" w:w="200"/>
              <w:bottom w:type="dxa" w:w="60"/>
              <w:end w:type="dxa" w:w="200"/>
            </w:tcMar>
          </w:tcPr>
          <w:p>
            <w:pPr>
              <w:spacing w:before="160" w:after="60"/>
            </w:pPr>
            <w:r>
              <w:rPr>
                <w:b/>
                <w:bCs/>
                <w:color w:val="2E5FA3"/>
                <w:sz w:val="26"/>
                <w:szCs w:val="26"/>
                <w:rFonts w:ascii="Arial" w:hAnsi="Arial"/>
              </w:rPr>
              <w:t>Early Phase Findings</w:t>
            </w:r>
          </w:p>
        </w:tc>
      </w:tr>
      <w:tr>
        <w:tc>
          <w:tcPr>
            <w:tcW w:type="dxa" w:w="9360"/>
            <w:shd w:fill="FFFFFF" w:val="clear"/>
            <w:tcMar>
              <w:top w:type="dxa" w:w="40"/>
              <w:start w:type="dxa" w:w="400"/>
              <w:bottom w:type="dxa" w:w="40"/>
              <w:end w:type="dxa" w:w="200"/>
            </w:tcMar>
          </w:tcPr>
          <w:p>
            <w:pPr>
              <w:spacing w:before="30" w:after="30"/>
            </w:pPr>
            <w:r>
              <w:rPr>
                <w:color w:val="333333"/>
                <w:sz w:val="20"/>
                <w:szCs w:val="20"/>
                <w:rFonts w:ascii="Arial" w:hAnsi="Arial"/>
              </w:rPr>
              <w:t xml:space="preserve">•  Recovery-rate increase to 0.04 improved recovery strongly but did not create stability.</w:t>
            </w:r>
          </w:p>
        </w:tc>
      </w:tr>
      <w:tr>
        <w:tc>
          <w:tcPr>
            <w:tcW w:type="dxa" w:w="9360"/>
            <w:shd w:fill="FFFFFF" w:val="clear"/>
            <w:tcMar>
              <w:top w:type="dxa" w:w="40"/>
              <w:start w:type="dxa" w:w="400"/>
              <w:bottom w:type="dxa" w:w="40"/>
              <w:end w:type="dxa" w:w="200"/>
            </w:tcMar>
          </w:tcPr>
          <w:p>
            <w:pPr>
              <w:spacing w:before="30" w:after="30"/>
            </w:pPr>
            <w:r>
              <w:rPr>
                <w:color w:val="333333"/>
                <w:sz w:val="20"/>
                <w:szCs w:val="20"/>
                <w:rFonts w:ascii="Arial" w:hAnsi="Arial"/>
              </w:rPr>
              <w:t xml:space="preserve">•  Governance-only improvement (governance_capacity 0.50 → 0.70) produced only marginal effect.</w:t>
            </w:r>
          </w:p>
        </w:tc>
      </w:tr>
      <w:tr>
        <w:tc>
          <w:tcPr>
            <w:tcW w:type="dxa" w:w="9360"/>
            <w:shd w:fill="FFFFFF" w:val="clear"/>
            <w:tcMar>
              <w:top w:type="dxa" w:w="40"/>
              <w:start w:type="dxa" w:w="400"/>
              <w:bottom w:type="dxa" w:w="40"/>
              <w:end w:type="dxa" w:w="200"/>
            </w:tcMar>
          </w:tcPr>
          <w:p>
            <w:pPr>
              <w:spacing w:before="30" w:after="30"/>
            </w:pPr>
            <w:r>
              <w:rPr>
                <w:color w:val="333333"/>
                <w:sz w:val="20"/>
                <w:szCs w:val="20"/>
                <w:rFonts w:ascii="Arial" w:hAnsi="Arial"/>
              </w:rPr>
              <w:t xml:space="preserve">•  Lower disturbance and higher structural_weight produced the strongest gains before the lock mechanism was introduced.</w:t>
            </w:r>
          </w:p>
        </w:tc>
      </w:tr>
      <w:tr>
        <w:tc>
          <w:tcPr>
            <w:tcW w:type="dxa" w:w="9360"/>
            <w:shd w:fill="FFFFFF" w:val="clear"/>
            <w:tcMar>
              <w:top w:type="dxa" w:w="40"/>
              <w:start w:type="dxa" w:w="400"/>
              <w:bottom w:type="dxa" w:w="40"/>
              <w:end w:type="dxa" w:w="200"/>
            </w:tcMar>
          </w:tcPr>
          <w:p>
            <w:pPr>
              <w:spacing w:before="30" w:after="30"/>
            </w:pPr>
            <w:r>
              <w:rPr>
                <w:color w:val="333333"/>
                <w:sz w:val="20"/>
                <w:szCs w:val="20"/>
                <w:rFonts w:ascii="Arial" w:hAnsi="Arial"/>
              </w:rPr>
              <w:t xml:space="preserve">•  Key discovery: average cooperation above 0.80 was insufficient — the model required state-dependent reinforcement.</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2E5FA3" w:val="clear"/>
            <w:tcMar>
              <w:top w:type="dxa" w:w="120"/>
              <w:start w:type="dxa" w:w="200"/>
              <w:bottom w:type="dxa" w:w="120"/>
              <w:end w:type="dxa" w:w="200"/>
            </w:tcMar>
          </w:tcPr>
          <w:p>
            <w:pPr>
              <w:spacing w:before="120" w:after="80"/>
            </w:pPr>
            <w:r>
              <w:rPr>
                <w:b/>
                <w:bCs/>
                <w:color w:val="FFFFFF"/>
                <w:sz w:val="28"/>
                <w:szCs w:val="28"/>
                <w:rFonts w:ascii="Arial" w:hAnsi="Arial"/>
              </w:rPr>
              <w:t>Phase A — Lock Mechanism and Stability Envelope</w:t>
            </w:r>
          </w:p>
        </w:tc>
      </w:tr>
      <w:tr>
        <w:tc>
          <w:tcPr>
            <w:tcW w:type="dxa" w:w="9360"/>
            <w:shd w:fill="F0F4FA" w:val="clear"/>
            <w:tcMar>
              <w:top w:type="dxa" w:w="80"/>
              <w:start w:type="dxa" w:w="200"/>
              <w:bottom w:type="dxa" w:w="60"/>
              <w:end w:type="dxa" w:w="200"/>
            </w:tcMar>
          </w:tcPr>
          <w:p>
            <w:pPr>
              <w:spacing w:before="160" w:after="60"/>
            </w:pPr>
            <w:r>
              <w:rPr>
                <w:b/>
                <w:bCs/>
                <w:color w:val="2E5FA3"/>
                <w:sz w:val="26"/>
                <w:szCs w:val="26"/>
                <w:rFonts w:ascii="Arial" w:hAnsi="Arial"/>
              </w:rPr>
              <w:t>LOCK_MECHANISM_TEST_v1 — Parameters Introduced</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800"/>
        <w:gridCol w:w="6560"/>
      </w:tblGrid>
      <w:tr>
        <w:tc>
          <w:tcPr>
            <w:tcW w:type="dxa" w:w="2800"/>
            <w:shd w:fill="DDE6F4" w:val="clear"/>
            <w:tcMar>
              <w:top w:type="dxa" w:w="70"/>
              <w:start w:type="dxa" w:w="120"/>
              <w:bottom w:type="dxa" w:w="70"/>
              <w:end w:type="dxa" w:w="120"/>
            </w:tcMar>
          </w:tcPr>
          <w:p>
            <w:r>
              <w:rPr>
                <w:b/>
                <w:bCs/>
                <w:color w:val="1A2E4A"/>
                <w:sz w:val="20"/>
                <w:szCs w:val="20"/>
                <w:rFonts w:ascii="Arial" w:hAnsi="Arial"/>
              </w:rPr>
              <w:t>stability_threshold</w:t>
            </w:r>
          </w:p>
        </w:tc>
        <w:tc>
          <w:tcPr>
            <w:tcW w:type="dxa" w:w="6560"/>
            <w:shd w:fill="FFFFFF" w:val="clear"/>
            <w:tcMar>
              <w:top w:type="dxa" w:w="70"/>
              <w:start w:type="dxa" w:w="120"/>
              <w:bottom w:type="dxa" w:w="70"/>
              <w:end w:type="dxa" w:w="120"/>
            </w:tcMar>
          </w:tcPr>
          <w:p>
            <w:r>
              <w:rPr>
                <w:color w:val="333333"/>
                <w:sz w:val="20"/>
                <w:szCs w:val="20"/>
                <w:rFonts w:ascii="Arial" w:hAnsi="Arial"/>
              </w:rPr>
              <w:t xml:space="preserve">0.80</w:t>
            </w:r>
          </w:p>
        </w:tc>
      </w:tr>
      <w:tr>
        <w:tc>
          <w:tcPr>
            <w:tcW w:type="dxa" w:w="2800"/>
            <w:shd w:fill="DDE6F4" w:val="clear"/>
            <w:tcMar>
              <w:top w:type="dxa" w:w="70"/>
              <w:start w:type="dxa" w:w="120"/>
              <w:bottom w:type="dxa" w:w="70"/>
              <w:end w:type="dxa" w:w="120"/>
            </w:tcMar>
          </w:tcPr>
          <w:p>
            <w:r>
              <w:rPr>
                <w:b/>
                <w:bCs/>
                <w:color w:val="1A2E4A"/>
                <w:sz w:val="20"/>
                <w:szCs w:val="20"/>
                <w:rFonts w:ascii="Arial" w:hAnsi="Arial"/>
              </w:rPr>
              <w:t>stability_boost</w:t>
            </w:r>
          </w:p>
        </w:tc>
        <w:tc>
          <w:tcPr>
            <w:tcW w:type="dxa" w:w="6560"/>
            <w:shd w:fill="FFFFFF" w:val="clear"/>
            <w:tcMar>
              <w:top w:type="dxa" w:w="70"/>
              <w:start w:type="dxa" w:w="120"/>
              <w:bottom w:type="dxa" w:w="70"/>
              <w:end w:type="dxa" w:w="120"/>
            </w:tcMar>
          </w:tcPr>
          <w:p>
            <w:r>
              <w:rPr>
                <w:color w:val="333333"/>
                <w:sz w:val="20"/>
                <w:szCs w:val="20"/>
                <w:rFonts w:ascii="Arial" w:hAnsi="Arial"/>
              </w:rPr>
              <w:t xml:space="preserve">1.2</w:t>
            </w:r>
          </w:p>
        </w:tc>
      </w:tr>
      <w:tr>
        <w:tc>
          <w:tcPr>
            <w:tcW w:type="dxa" w:w="2800"/>
            <w:shd w:fill="DDE6F4" w:val="clear"/>
            <w:tcMar>
              <w:top w:type="dxa" w:w="70"/>
              <w:start w:type="dxa" w:w="120"/>
              <w:bottom w:type="dxa" w:w="70"/>
              <w:end w:type="dxa" w:w="120"/>
            </w:tcMar>
          </w:tcPr>
          <w:p>
            <w:r>
              <w:rPr>
                <w:b/>
                <w:bCs/>
                <w:color w:val="1A2E4A"/>
                <w:sz w:val="20"/>
                <w:szCs w:val="20"/>
                <w:rFonts w:ascii="Arial" w:hAnsi="Arial"/>
              </w:rPr>
              <w:t>disturbance_damping</w:t>
            </w:r>
          </w:p>
        </w:tc>
        <w:tc>
          <w:tcPr>
            <w:tcW w:type="dxa" w:w="6560"/>
            <w:shd w:fill="FFFFFF" w:val="clear"/>
            <w:tcMar>
              <w:top w:type="dxa" w:w="70"/>
              <w:start w:type="dxa" w:w="120"/>
              <w:bottom w:type="dxa" w:w="70"/>
              <w:end w:type="dxa" w:w="120"/>
            </w:tcMar>
          </w:tcPr>
          <w:p>
            <w:r>
              <w:rPr>
                <w:color w:val="333333"/>
                <w:sz w:val="20"/>
                <w:szCs w:val="20"/>
                <w:rFonts w:ascii="Arial" w:hAnsi="Arial"/>
              </w:rPr>
              <w:t xml:space="preserve">0.80</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F0F4FA" w:val="clear"/>
            <w:tcMar>
              <w:top w:type="dxa" w:w="80"/>
              <w:start w:type="dxa" w:w="200"/>
              <w:bottom w:type="dxa" w:w="60"/>
              <w:end w:type="dxa" w:w="200"/>
            </w:tcMar>
          </w:tcPr>
          <w:p>
            <w:pPr>
              <w:spacing w:before="160" w:after="60"/>
            </w:pPr>
            <w:r>
              <w:rPr>
                <w:b/>
                <w:bCs/>
                <w:color w:val="2E5FA3"/>
                <w:sz w:val="26"/>
                <w:szCs w:val="26"/>
                <w:rFonts w:ascii="Arial" w:hAnsi="Arial"/>
              </w:rPr>
              <w:t>BASELINE_LOCK_v1 — Reference Result</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340"/>
        <w:gridCol w:w="2340"/>
        <w:gridCol w:w="2340"/>
        <w:gridCol w:w="2340"/>
      </w:tblGrid>
      <w:tr>
        <w:tc>
          <w:tcPr>
            <w:tcW w:type="dxa" w:w="2340"/>
            <w:shd w:fill="1A2E4A" w:val="clear"/>
            <w:tcMar>
              <w:top w:type="dxa" w:w="80"/>
              <w:start w:type="dxa" w:w="120"/>
              <w:bottom w:type="dxa" w:w="80"/>
              <w:end w:type="dxa" w:w="120"/>
            </w:tcMar>
          </w:tcPr>
          <w:p>
            <w:pPr>
              <w:jc w:val="center"/>
            </w:pPr>
            <w:r>
              <w:rPr>
                <w:b/>
                <w:bCs/>
                <w:color w:val="FFFFFF"/>
                <w:sz w:val="20"/>
                <w:szCs w:val="20"/>
                <w:rFonts w:ascii="Arial" w:hAnsi="Arial"/>
              </w:rPr>
              <w:t>Stable Runs</w:t>
            </w:r>
          </w:p>
        </w:tc>
        <w:tc>
          <w:tcPr>
            <w:tcW w:type="dxa" w:w="2340"/>
            <w:shd w:fill="1A2E4A" w:val="clear"/>
            <w:tcMar>
              <w:top w:type="dxa" w:w="80"/>
              <w:start w:type="dxa" w:w="120"/>
              <w:bottom w:type="dxa" w:w="80"/>
              <w:end w:type="dxa" w:w="120"/>
            </w:tcMar>
          </w:tcPr>
          <w:p>
            <w:pPr>
              <w:jc w:val="center"/>
            </w:pPr>
            <w:r>
              <w:rPr>
                <w:b/>
                <w:bCs/>
                <w:color w:val="FFFFFF"/>
                <w:sz w:val="20"/>
                <w:szCs w:val="20"/>
                <w:rFonts w:ascii="Arial" w:hAnsi="Arial"/>
              </w:rPr>
              <w:t>Recovered</w:t>
            </w:r>
          </w:p>
        </w:tc>
        <w:tc>
          <w:tcPr>
            <w:tcW w:type="dxa" w:w="2340"/>
            <w:shd w:fill="1A2E4A" w:val="clear"/>
            <w:tcMar>
              <w:top w:type="dxa" w:w="80"/>
              <w:start w:type="dxa" w:w="120"/>
              <w:bottom w:type="dxa" w:w="80"/>
              <w:end w:type="dxa" w:w="120"/>
            </w:tcMar>
          </w:tcPr>
          <w:p>
            <w:pPr>
              <w:jc w:val="center"/>
            </w:pPr>
            <w:r>
              <w:rPr>
                <w:b/>
                <w:bCs/>
                <w:color w:val="FFFFFF"/>
                <w:sz w:val="20"/>
                <w:szCs w:val="20"/>
                <w:rFonts w:ascii="Arial" w:hAnsi="Arial"/>
              </w:rPr>
              <w:t>Fragile</w:t>
            </w:r>
          </w:p>
        </w:tc>
        <w:tc>
          <w:tcPr>
            <w:tcW w:type="dxa" w:w="2340"/>
            <w:shd w:fill="1A2E4A" w:val="clear"/>
            <w:tcMar>
              <w:top w:type="dxa" w:w="80"/>
              <w:start w:type="dxa" w:w="120"/>
              <w:bottom w:type="dxa" w:w="80"/>
              <w:end w:type="dxa" w:w="120"/>
            </w:tcMar>
          </w:tcPr>
          <w:p>
            <w:pPr>
              <w:jc w:val="center"/>
            </w:pPr>
            <w:r>
              <w:rPr>
                <w:b/>
                <w:bCs/>
                <w:color w:val="FFFFFF"/>
                <w:sz w:val="20"/>
                <w:szCs w:val="20"/>
                <w:rFonts w:ascii="Arial" w:hAnsi="Arial"/>
              </w:rPr>
              <w:t>Avg Final Coop.</w:t>
            </w:r>
          </w:p>
        </w:tc>
      </w:tr>
      <w:tr>
        <w:tc>
          <w:tcPr>
            <w:tcW w:type="dxa" w:w="2340"/>
            <w:shd w:fill="FFFFFF" w:val="clear"/>
            <w:tcMar>
              <w:top w:type="dxa" w:w="60"/>
              <w:start w:type="dxa" w:w="120"/>
              <w:bottom w:type="dxa" w:w="60"/>
              <w:end w:type="dxa" w:w="120"/>
            </w:tcMar>
          </w:tcPr>
          <w:p>
            <w:pPr>
              <w:jc w:val="left"/>
            </w:pPr>
            <w:r>
              <w:rPr>
                <w:color w:val="333333"/>
                <w:sz w:val="20"/>
                <w:szCs w:val="20"/>
                <w:rFonts w:ascii="Arial" w:hAnsi="Arial"/>
              </w:rPr>
              <w:t>6 / 20</w:t>
            </w:r>
          </w:p>
        </w:tc>
        <w:tc>
          <w:tcPr>
            <w:tcW w:type="dxa" w:w="2340"/>
            <w:shd w:fill="FFFFFF" w:val="clear"/>
            <w:tcMar>
              <w:top w:type="dxa" w:w="60"/>
              <w:start w:type="dxa" w:w="120"/>
              <w:bottom w:type="dxa" w:w="60"/>
              <w:end w:type="dxa" w:w="120"/>
            </w:tcMar>
          </w:tcPr>
          <w:p>
            <w:pPr>
              <w:jc w:val="center"/>
            </w:pPr>
            <w:r>
              <w:rPr>
                <w:color w:val="333333"/>
                <w:sz w:val="20"/>
                <w:szCs w:val="20"/>
                <w:rFonts w:ascii="Arial" w:hAnsi="Arial"/>
              </w:rPr>
              <w:t>14 / 20</w:t>
            </w:r>
          </w:p>
        </w:tc>
        <w:tc>
          <w:tcPr>
            <w:tcW w:type="dxa" w:w="2340"/>
            <w:shd w:fill="FFFFFF" w:val="clear"/>
            <w:tcMar>
              <w:top w:type="dxa" w:w="60"/>
              <w:start w:type="dxa" w:w="120"/>
              <w:bottom w:type="dxa" w:w="60"/>
              <w:end w:type="dxa" w:w="120"/>
            </w:tcMar>
          </w:tcPr>
          <w:p>
            <w:pPr>
              <w:jc w:val="center"/>
            </w:pPr>
            <w:r>
              <w:rPr>
                <w:color w:val="333333"/>
                <w:sz w:val="20"/>
                <w:szCs w:val="20"/>
                <w:rFonts w:ascii="Arial" w:hAnsi="Arial"/>
              </w:rPr>
              <w:t>3 / 20</w:t>
            </w:r>
          </w:p>
        </w:tc>
        <w:tc>
          <w:tcPr>
            <w:tcW w:type="dxa" w:w="2340"/>
            <w:shd w:fill="FFFFFF" w:val="clear"/>
            <w:tcMar>
              <w:top w:type="dxa" w:w="60"/>
              <w:start w:type="dxa" w:w="120"/>
              <w:bottom w:type="dxa" w:w="60"/>
              <w:end w:type="dxa" w:w="120"/>
            </w:tcMar>
          </w:tcPr>
          <w:p>
            <w:pPr>
              <w:jc w:val="center"/>
            </w:pPr>
            <w:r>
              <w:rPr>
                <w:color w:val="333333"/>
                <w:sz w:val="20"/>
                <w:szCs w:val="20"/>
                <w:rFonts w:ascii="Arial" w:hAnsi="Arial"/>
              </w:rPr>
              <w:t>0.864</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F0F4FA" w:val="clear"/>
            <w:tcMar>
              <w:top w:type="dxa" w:w="80"/>
              <w:start w:type="dxa" w:w="200"/>
              <w:bottom w:type="dxa" w:w="60"/>
              <w:end w:type="dxa" w:w="200"/>
            </w:tcMar>
          </w:tcPr>
          <w:p>
            <w:pPr>
              <w:spacing w:before="160" w:after="60"/>
            </w:pPr>
            <w:r>
              <w:rPr>
                <w:b/>
                <w:bCs/>
                <w:color w:val="2E5FA3"/>
                <w:sz w:val="26"/>
                <w:szCs w:val="26"/>
                <w:rFonts w:ascii="Arial" w:hAnsi="Arial"/>
              </w:rPr>
              <w:t>Stability Envelope — Boundary Mapping</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1100"/>
        <w:gridCol w:w="1400"/>
        <w:gridCol w:w="1050"/>
        <w:gridCol w:w="1050"/>
        <w:gridCol w:w="4760"/>
      </w:tblGrid>
      <w:tr>
        <w:tc>
          <w:tcPr>
            <w:tcW w:type="dxa" w:w="1100"/>
            <w:shd w:fill="1A2E4A" w:val="clear"/>
            <w:tcMar>
              <w:top w:type="dxa" w:w="80"/>
              <w:start w:type="dxa" w:w="120"/>
              <w:bottom w:type="dxa" w:w="80"/>
              <w:end w:type="dxa" w:w="120"/>
            </w:tcMar>
          </w:tcPr>
          <w:p>
            <w:pPr>
              <w:jc w:val="center"/>
            </w:pPr>
            <w:r>
              <w:rPr>
                <w:b/>
                <w:bCs/>
                <w:color w:val="FFFFFF"/>
                <w:sz w:val="20"/>
                <w:szCs w:val="20"/>
                <w:rFonts w:ascii="Arial" w:hAnsi="Arial"/>
              </w:rPr>
              <w:t>noise_level</w:t>
            </w:r>
          </w:p>
        </w:tc>
        <w:tc>
          <w:tcPr>
            <w:tcW w:type="dxa" w:w="1400"/>
            <w:shd w:fill="1A2E4A" w:val="clear"/>
            <w:tcMar>
              <w:top w:type="dxa" w:w="80"/>
              <w:start w:type="dxa" w:w="120"/>
              <w:bottom w:type="dxa" w:w="80"/>
              <w:end w:type="dxa" w:w="120"/>
            </w:tcMar>
          </w:tcPr>
          <w:p>
            <w:pPr>
              <w:jc w:val="center"/>
            </w:pPr>
            <w:r>
              <w:rPr>
                <w:b/>
                <w:bCs/>
                <w:color w:val="FFFFFF"/>
                <w:sz w:val="20"/>
                <w:szCs w:val="20"/>
                <w:rFonts w:ascii="Arial" w:hAnsi="Arial"/>
              </w:rPr>
              <w:t>structural_weight</w:t>
            </w:r>
          </w:p>
        </w:tc>
        <w:tc>
          <w:tcPr>
            <w:tcW w:type="dxa" w:w="1050"/>
            <w:shd w:fill="1A2E4A" w:val="clear"/>
            <w:tcMar>
              <w:top w:type="dxa" w:w="80"/>
              <w:start w:type="dxa" w:w="120"/>
              <w:bottom w:type="dxa" w:w="80"/>
              <w:end w:type="dxa" w:w="120"/>
            </w:tcMar>
          </w:tcPr>
          <w:p>
            <w:pPr>
              <w:jc w:val="center"/>
            </w:pPr>
            <w:r>
              <w:rPr>
                <w:b/>
                <w:bCs/>
                <w:color w:val="FFFFFF"/>
                <w:sz w:val="20"/>
                <w:szCs w:val="20"/>
                <w:rFonts w:ascii="Arial" w:hAnsi="Arial"/>
              </w:rPr>
              <w:t>Stable / 20</w:t>
            </w:r>
          </w:p>
        </w:tc>
        <w:tc>
          <w:tcPr>
            <w:tcW w:type="dxa" w:w="1050"/>
            <w:shd w:fill="1A2E4A" w:val="clear"/>
            <w:tcMar>
              <w:top w:type="dxa" w:w="80"/>
              <w:start w:type="dxa" w:w="120"/>
              <w:bottom w:type="dxa" w:w="80"/>
              <w:end w:type="dxa" w:w="120"/>
            </w:tcMar>
          </w:tcPr>
          <w:p>
            <w:pPr>
              <w:jc w:val="center"/>
            </w:pPr>
            <w:r>
              <w:rPr>
                <w:b/>
                <w:bCs/>
                <w:color w:val="FFFFFF"/>
                <w:sz w:val="20"/>
                <w:szCs w:val="20"/>
                <w:rFonts w:ascii="Arial" w:hAnsi="Arial"/>
              </w:rPr>
              <w:t>Avg Coop.</w:t>
            </w:r>
          </w:p>
        </w:tc>
        <w:tc>
          <w:tcPr>
            <w:tcW w:type="dxa" w:w="4760"/>
            <w:shd w:fill="1A2E4A" w:val="clear"/>
            <w:tcMar>
              <w:top w:type="dxa" w:w="80"/>
              <w:start w:type="dxa" w:w="120"/>
              <w:bottom w:type="dxa" w:w="80"/>
              <w:end w:type="dxa" w:w="120"/>
            </w:tcMar>
          </w:tcPr>
          <w:p>
            <w:pPr>
              <w:jc w:val="center"/>
            </w:pPr>
            <w:r>
              <w:rPr>
                <w:b/>
                <w:bCs/>
                <w:color w:val="FFFFFF"/>
                <w:sz w:val="20"/>
                <w:szCs w:val="20"/>
                <w:rFonts w:ascii="Arial" w:hAnsi="Arial"/>
              </w:rPr>
              <w:t>Assessment</w:t>
            </w:r>
          </w:p>
        </w:tc>
      </w:tr>
      <w:tr>
        <w:tc>
          <w:tcPr>
            <w:tcW w:type="dxa" w:w="1100"/>
            <w:shd w:fill="FFFFFF" w:val="clear"/>
            <w:tcMar>
              <w:top w:type="dxa" w:w="60"/>
              <w:start w:type="dxa" w:w="120"/>
              <w:bottom w:type="dxa" w:w="60"/>
              <w:end w:type="dxa" w:w="120"/>
            </w:tcMar>
          </w:tcPr>
          <w:p>
            <w:pPr>
              <w:jc w:val="left"/>
            </w:pPr>
            <w:r>
              <w:rPr>
                <w:color w:val="333333"/>
                <w:sz w:val="20"/>
                <w:szCs w:val="20"/>
                <w:rFonts w:ascii="Arial" w:hAnsi="Arial"/>
              </w:rPr>
              <w:t>0.045</w:t>
            </w:r>
          </w:p>
        </w:tc>
        <w:tc>
          <w:tcPr>
            <w:tcW w:type="dxa" w:w="1400"/>
            <w:shd w:fill="FFFFFF" w:val="clear"/>
            <w:tcMar>
              <w:top w:type="dxa" w:w="60"/>
              <w:start w:type="dxa" w:w="120"/>
              <w:bottom w:type="dxa" w:w="60"/>
              <w:end w:type="dxa" w:w="120"/>
            </w:tcMar>
          </w:tcPr>
          <w:p>
            <w:pPr>
              <w:jc w:val="center"/>
            </w:pPr>
            <w:r>
              <w:rPr>
                <w:color w:val="333333"/>
                <w:sz w:val="20"/>
                <w:szCs w:val="20"/>
                <w:rFonts w:ascii="Arial" w:hAnsi="Arial"/>
              </w:rPr>
              <w:t>0.90</w:t>
            </w:r>
          </w:p>
        </w:tc>
        <w:tc>
          <w:tcPr>
            <w:tcW w:type="dxa" w:w="1050"/>
            <w:shd w:fill="FFFFFF" w:val="clear"/>
            <w:tcMar>
              <w:top w:type="dxa" w:w="60"/>
              <w:start w:type="dxa" w:w="120"/>
              <w:bottom w:type="dxa" w:w="60"/>
              <w:end w:type="dxa" w:w="120"/>
            </w:tcMar>
          </w:tcPr>
          <w:p>
            <w:pPr>
              <w:jc w:val="center"/>
            </w:pPr>
            <w:r>
              <w:rPr>
                <w:color w:val="333333"/>
                <w:sz w:val="20"/>
                <w:szCs w:val="20"/>
                <w:rFonts w:ascii="Arial" w:hAnsi="Arial"/>
              </w:rPr>
              <w:t>7/20</w:t>
            </w:r>
          </w:p>
        </w:tc>
        <w:tc>
          <w:tcPr>
            <w:tcW w:type="dxa" w:w="1050"/>
            <w:shd w:fill="FFFFFF" w:val="clear"/>
            <w:tcMar>
              <w:top w:type="dxa" w:w="60"/>
              <w:start w:type="dxa" w:w="120"/>
              <w:bottom w:type="dxa" w:w="60"/>
              <w:end w:type="dxa" w:w="120"/>
            </w:tcMar>
          </w:tcPr>
          <w:p>
            <w:pPr>
              <w:jc w:val="center"/>
            </w:pPr>
            <w:r>
              <w:rPr>
                <w:color w:val="333333"/>
                <w:sz w:val="20"/>
                <w:szCs w:val="20"/>
                <w:rFonts w:ascii="Arial" w:hAnsi="Arial"/>
              </w:rPr>
              <w:t>~0.864</w:t>
            </w:r>
          </w:p>
        </w:tc>
        <w:tc>
          <w:tcPr>
            <w:tcW w:type="dxa" w:w="4760"/>
            <w:shd w:fill="FFFFFF" w:val="clear"/>
            <w:tcMar>
              <w:top w:type="dxa" w:w="60"/>
              <w:start w:type="dxa" w:w="120"/>
              <w:bottom w:type="dxa" w:w="60"/>
              <w:end w:type="dxa" w:w="120"/>
            </w:tcMar>
          </w:tcPr>
          <w:p>
            <w:pPr>
              <w:jc w:val="center"/>
            </w:pPr>
            <w:r>
              <w:rPr>
                <w:color w:val="333333"/>
                <w:sz w:val="20"/>
                <w:szCs w:val="20"/>
                <w:rFonts w:ascii="Arial" w:hAnsi="Arial"/>
              </w:rPr>
              <w:t>Slightly strengthened</w:t>
            </w:r>
          </w:p>
        </w:tc>
      </w:tr>
      <w:tr>
        <w:tc>
          <w:tcPr>
            <w:tcW w:type="dxa" w:w="1100"/>
            <w:shd w:fill="F0F4FA" w:val="clear"/>
            <w:tcMar>
              <w:top w:type="dxa" w:w="60"/>
              <w:start w:type="dxa" w:w="120"/>
              <w:bottom w:type="dxa" w:w="60"/>
              <w:end w:type="dxa" w:w="120"/>
            </w:tcMar>
          </w:tcPr>
          <w:p>
            <w:pPr>
              <w:jc w:val="left"/>
            </w:pPr>
            <w:r>
              <w:rPr>
                <w:color w:val="333333"/>
                <w:sz w:val="20"/>
                <w:szCs w:val="20"/>
                <w:rFonts w:ascii="Arial" w:hAnsi="Arial"/>
              </w:rPr>
              <w:t>0.050</w:t>
            </w:r>
          </w:p>
        </w:tc>
        <w:tc>
          <w:tcPr>
            <w:tcW w:type="dxa" w:w="1400"/>
            <w:shd w:fill="F0F4FA" w:val="clear"/>
            <w:tcMar>
              <w:top w:type="dxa" w:w="60"/>
              <w:start w:type="dxa" w:w="120"/>
              <w:bottom w:type="dxa" w:w="60"/>
              <w:end w:type="dxa" w:w="120"/>
            </w:tcMar>
          </w:tcPr>
          <w:p>
            <w:pPr>
              <w:jc w:val="center"/>
            </w:pPr>
            <w:r>
              <w:rPr>
                <w:color w:val="333333"/>
                <w:sz w:val="20"/>
                <w:szCs w:val="20"/>
                <w:rFonts w:ascii="Arial" w:hAnsi="Arial"/>
              </w:rPr>
              <w:t>0.90</w:t>
            </w:r>
          </w:p>
        </w:tc>
        <w:tc>
          <w:tcPr>
            <w:tcW w:type="dxa" w:w="1050"/>
            <w:shd w:fill="F0F4FA" w:val="clear"/>
            <w:tcMar>
              <w:top w:type="dxa" w:w="60"/>
              <w:start w:type="dxa" w:w="120"/>
              <w:bottom w:type="dxa" w:w="60"/>
              <w:end w:type="dxa" w:w="120"/>
            </w:tcMar>
          </w:tcPr>
          <w:p>
            <w:pPr>
              <w:jc w:val="center"/>
            </w:pPr>
            <w:r>
              <w:rPr>
                <w:color w:val="333333"/>
                <w:sz w:val="20"/>
                <w:szCs w:val="20"/>
                <w:rFonts w:ascii="Arial" w:hAnsi="Arial"/>
              </w:rPr>
              <w:t>6/20</w:t>
            </w:r>
          </w:p>
        </w:tc>
        <w:tc>
          <w:tcPr>
            <w:tcW w:type="dxa" w:w="1050"/>
            <w:shd w:fill="F0F4FA" w:val="clear"/>
            <w:tcMar>
              <w:top w:type="dxa" w:w="60"/>
              <w:start w:type="dxa" w:w="120"/>
              <w:bottom w:type="dxa" w:w="60"/>
              <w:end w:type="dxa" w:w="120"/>
            </w:tcMar>
          </w:tcPr>
          <w:p>
            <w:pPr>
              <w:jc w:val="center"/>
            </w:pPr>
            <w:r>
              <w:rPr>
                <w:color w:val="333333"/>
                <w:sz w:val="20"/>
                <w:szCs w:val="20"/>
                <w:rFonts w:ascii="Arial" w:hAnsi="Arial"/>
              </w:rPr>
              <w:t>0.864</w:t>
            </w:r>
          </w:p>
        </w:tc>
        <w:tc>
          <w:tcPr>
            <w:tcW w:type="dxa" w:w="4760"/>
            <w:shd w:fill="F0F4FA" w:val="clear"/>
            <w:tcMar>
              <w:top w:type="dxa" w:w="60"/>
              <w:start w:type="dxa" w:w="120"/>
              <w:bottom w:type="dxa" w:w="60"/>
              <w:end w:type="dxa" w:w="120"/>
            </w:tcMar>
          </w:tcPr>
          <w:p>
            <w:pPr>
              <w:jc w:val="center"/>
            </w:pPr>
            <w:r>
              <w:rPr>
                <w:color w:val="333333"/>
                <w:sz w:val="20"/>
                <w:szCs w:val="20"/>
                <w:rFonts w:ascii="Arial" w:hAnsi="Arial"/>
              </w:rPr>
              <w:t>Core stable region</w:t>
            </w:r>
          </w:p>
        </w:tc>
      </w:tr>
      <w:tr>
        <w:tc>
          <w:tcPr>
            <w:tcW w:type="dxa" w:w="1100"/>
            <w:shd w:fill="FFFFFF" w:val="clear"/>
            <w:tcMar>
              <w:top w:type="dxa" w:w="60"/>
              <w:start w:type="dxa" w:w="120"/>
              <w:bottom w:type="dxa" w:w="60"/>
              <w:end w:type="dxa" w:w="120"/>
            </w:tcMar>
          </w:tcPr>
          <w:p>
            <w:pPr>
              <w:jc w:val="left"/>
            </w:pPr>
            <w:r>
              <w:rPr>
                <w:color w:val="333333"/>
                <w:sz w:val="20"/>
                <w:szCs w:val="20"/>
                <w:rFonts w:ascii="Arial" w:hAnsi="Arial"/>
              </w:rPr>
              <w:t>0.055</w:t>
            </w:r>
          </w:p>
        </w:tc>
        <w:tc>
          <w:tcPr>
            <w:tcW w:type="dxa" w:w="1400"/>
            <w:shd w:fill="FFFFFF" w:val="clear"/>
            <w:tcMar>
              <w:top w:type="dxa" w:w="60"/>
              <w:start w:type="dxa" w:w="120"/>
              <w:bottom w:type="dxa" w:w="60"/>
              <w:end w:type="dxa" w:w="120"/>
            </w:tcMar>
          </w:tcPr>
          <w:p>
            <w:pPr>
              <w:jc w:val="center"/>
            </w:pPr>
            <w:r>
              <w:rPr>
                <w:color w:val="333333"/>
                <w:sz w:val="20"/>
                <w:szCs w:val="20"/>
                <w:rFonts w:ascii="Arial" w:hAnsi="Arial"/>
              </w:rPr>
              <w:t>0.90</w:t>
            </w:r>
          </w:p>
        </w:tc>
        <w:tc>
          <w:tcPr>
            <w:tcW w:type="dxa" w:w="1050"/>
            <w:shd w:fill="FFFFFF" w:val="clear"/>
            <w:tcMar>
              <w:top w:type="dxa" w:w="60"/>
              <w:start w:type="dxa" w:w="120"/>
              <w:bottom w:type="dxa" w:w="60"/>
              <w:end w:type="dxa" w:w="120"/>
            </w:tcMar>
          </w:tcPr>
          <w:p>
            <w:pPr>
              <w:jc w:val="center"/>
            </w:pPr>
            <w:r>
              <w:rPr>
                <w:color w:val="333333"/>
                <w:sz w:val="20"/>
                <w:szCs w:val="20"/>
                <w:rFonts w:ascii="Arial" w:hAnsi="Arial"/>
              </w:rPr>
              <w:t>6/20</w:t>
            </w:r>
          </w:p>
        </w:tc>
        <w:tc>
          <w:tcPr>
            <w:tcW w:type="dxa" w:w="1050"/>
            <w:shd w:fill="FFFFFF" w:val="clear"/>
            <w:tcMar>
              <w:top w:type="dxa" w:w="60"/>
              <w:start w:type="dxa" w:w="120"/>
              <w:bottom w:type="dxa" w:w="60"/>
              <w:end w:type="dxa" w:w="120"/>
            </w:tcMar>
          </w:tcPr>
          <w:p>
            <w:pPr>
              <w:jc w:val="center"/>
            </w:pPr>
            <w:r>
              <w:rPr>
                <w:color w:val="333333"/>
                <w:sz w:val="20"/>
                <w:szCs w:val="20"/>
                <w:rFonts w:ascii="Arial" w:hAnsi="Arial"/>
              </w:rPr>
              <w:t>0.862</w:t>
            </w:r>
          </w:p>
        </w:tc>
        <w:tc>
          <w:tcPr>
            <w:tcW w:type="dxa" w:w="4760"/>
            <w:shd w:fill="FFFFFF" w:val="clear"/>
            <w:tcMar>
              <w:top w:type="dxa" w:w="60"/>
              <w:start w:type="dxa" w:w="120"/>
              <w:bottom w:type="dxa" w:w="60"/>
              <w:end w:type="dxa" w:w="120"/>
            </w:tcMar>
          </w:tcPr>
          <w:p>
            <w:pPr>
              <w:jc w:val="center"/>
            </w:pPr>
            <w:r>
              <w:rPr>
                <w:color w:val="333333"/>
                <w:sz w:val="20"/>
                <w:szCs w:val="20"/>
                <w:rFonts w:ascii="Arial" w:hAnsi="Arial"/>
              </w:rPr>
              <w:t>Near-flat — plateau edge</w:t>
            </w:r>
          </w:p>
        </w:tc>
      </w:tr>
      <w:tr>
        <w:tc>
          <w:tcPr>
            <w:tcW w:type="dxa" w:w="1100"/>
            <w:shd w:fill="F0F4FA" w:val="clear"/>
            <w:tcMar>
              <w:top w:type="dxa" w:w="60"/>
              <w:start w:type="dxa" w:w="120"/>
              <w:bottom w:type="dxa" w:w="60"/>
              <w:end w:type="dxa" w:w="120"/>
            </w:tcMar>
          </w:tcPr>
          <w:p>
            <w:pPr>
              <w:jc w:val="left"/>
            </w:pPr>
            <w:r>
              <w:rPr>
                <w:color w:val="333333"/>
                <w:sz w:val="20"/>
                <w:szCs w:val="20"/>
                <w:rFonts w:ascii="Arial" w:hAnsi="Arial"/>
              </w:rPr>
              <w:t>0.060</w:t>
            </w:r>
          </w:p>
        </w:tc>
        <w:tc>
          <w:tcPr>
            <w:tcW w:type="dxa" w:w="1400"/>
            <w:shd w:fill="F0F4FA" w:val="clear"/>
            <w:tcMar>
              <w:top w:type="dxa" w:w="60"/>
              <w:start w:type="dxa" w:w="120"/>
              <w:bottom w:type="dxa" w:w="60"/>
              <w:end w:type="dxa" w:w="120"/>
            </w:tcMar>
          </w:tcPr>
          <w:p>
            <w:pPr>
              <w:jc w:val="center"/>
            </w:pPr>
            <w:r>
              <w:rPr>
                <w:color w:val="333333"/>
                <w:sz w:val="20"/>
                <w:szCs w:val="20"/>
                <w:rFonts w:ascii="Arial" w:hAnsi="Arial"/>
              </w:rPr>
              <w:t>0.90</w:t>
            </w:r>
          </w:p>
        </w:tc>
        <w:tc>
          <w:tcPr>
            <w:tcW w:type="dxa" w:w="1050"/>
            <w:shd w:fill="F0F4FA" w:val="clear"/>
            <w:tcMar>
              <w:top w:type="dxa" w:w="60"/>
              <w:start w:type="dxa" w:w="120"/>
              <w:bottom w:type="dxa" w:w="60"/>
              <w:end w:type="dxa" w:w="120"/>
            </w:tcMar>
          </w:tcPr>
          <w:p>
            <w:pPr>
              <w:jc w:val="center"/>
            </w:pPr>
            <w:r>
              <w:rPr>
                <w:color w:val="333333"/>
                <w:sz w:val="20"/>
                <w:szCs w:val="20"/>
                <w:rFonts w:ascii="Arial" w:hAnsi="Arial"/>
              </w:rPr>
              <w:t>3/20</w:t>
            </w:r>
          </w:p>
        </w:tc>
        <w:tc>
          <w:tcPr>
            <w:tcW w:type="dxa" w:w="1050"/>
            <w:shd w:fill="F0F4FA" w:val="clear"/>
            <w:tcMar>
              <w:top w:type="dxa" w:w="60"/>
              <w:start w:type="dxa" w:w="120"/>
              <w:bottom w:type="dxa" w:w="60"/>
              <w:end w:type="dxa" w:w="120"/>
            </w:tcMar>
          </w:tcPr>
          <w:p>
            <w:pPr>
              <w:jc w:val="center"/>
            </w:pPr>
            <w:r>
              <w:rPr>
                <w:color w:val="333333"/>
                <w:sz w:val="20"/>
                <w:szCs w:val="20"/>
                <w:rFonts w:ascii="Arial" w:hAnsi="Arial"/>
              </w:rPr>
              <w:t>0.838</w:t>
            </w:r>
          </w:p>
        </w:tc>
        <w:tc>
          <w:tcPr>
            <w:tcW w:type="dxa" w:w="4760"/>
            <w:shd w:fill="F0F4FA" w:val="clear"/>
            <w:tcMar>
              <w:top w:type="dxa" w:w="60"/>
              <w:start w:type="dxa" w:w="120"/>
              <w:bottom w:type="dxa" w:w="60"/>
              <w:end w:type="dxa" w:w="120"/>
            </w:tcMar>
          </w:tcPr>
          <w:p>
            <w:pPr>
              <w:jc w:val="center"/>
            </w:pPr>
            <w:r>
              <w:rPr>
                <w:color w:val="333333"/>
                <w:sz w:val="20"/>
                <w:szCs w:val="20"/>
                <w:rFonts w:ascii="Arial" w:hAnsi="Arial"/>
              </w:rPr>
              <w:t>Tipping zone — degradation begins</w:t>
            </w:r>
          </w:p>
        </w:tc>
      </w:tr>
      <w:tr>
        <w:tc>
          <w:tcPr>
            <w:tcW w:type="dxa" w:w="1100"/>
            <w:shd w:fill="FFFFFF" w:val="clear"/>
            <w:tcMar>
              <w:top w:type="dxa" w:w="60"/>
              <w:start w:type="dxa" w:w="120"/>
              <w:bottom w:type="dxa" w:w="60"/>
              <w:end w:type="dxa" w:w="120"/>
            </w:tcMar>
          </w:tcPr>
          <w:p>
            <w:pPr>
              <w:jc w:val="left"/>
            </w:pPr>
            <w:r>
              <w:rPr>
                <w:color w:val="333333"/>
                <w:sz w:val="20"/>
                <w:szCs w:val="20"/>
                <w:rFonts w:ascii="Arial" w:hAnsi="Arial"/>
              </w:rPr>
              <w:t>0.050</w:t>
            </w:r>
          </w:p>
        </w:tc>
        <w:tc>
          <w:tcPr>
            <w:tcW w:type="dxa" w:w="1400"/>
            <w:shd w:fill="FFFFFF" w:val="clear"/>
            <w:tcMar>
              <w:top w:type="dxa" w:w="60"/>
              <w:start w:type="dxa" w:w="120"/>
              <w:bottom w:type="dxa" w:w="60"/>
              <w:end w:type="dxa" w:w="120"/>
            </w:tcMar>
          </w:tcPr>
          <w:p>
            <w:pPr>
              <w:jc w:val="center"/>
            </w:pPr>
            <w:r>
              <w:rPr>
                <w:color w:val="333333"/>
                <w:sz w:val="20"/>
                <w:szCs w:val="20"/>
                <w:rFonts w:ascii="Arial" w:hAnsi="Arial"/>
              </w:rPr>
              <w:t>0.80</w:t>
            </w:r>
          </w:p>
        </w:tc>
        <w:tc>
          <w:tcPr>
            <w:tcW w:type="dxa" w:w="1050"/>
            <w:shd w:fill="FFFFFF" w:val="clear"/>
            <w:tcMar>
              <w:top w:type="dxa" w:w="60"/>
              <w:start w:type="dxa" w:w="120"/>
              <w:bottom w:type="dxa" w:w="60"/>
              <w:end w:type="dxa" w:w="120"/>
            </w:tcMar>
          </w:tcPr>
          <w:p>
            <w:pPr>
              <w:jc w:val="center"/>
            </w:pPr>
            <w:r>
              <w:rPr>
                <w:color w:val="333333"/>
                <w:sz w:val="20"/>
                <w:szCs w:val="20"/>
                <w:rFonts w:ascii="Arial" w:hAnsi="Arial"/>
              </w:rPr>
              <w:t>4/20</w:t>
            </w:r>
          </w:p>
        </w:tc>
        <w:tc>
          <w:tcPr>
            <w:tcW w:type="dxa" w:w="1050"/>
            <w:shd w:fill="FFFFFF" w:val="clear"/>
            <w:tcMar>
              <w:top w:type="dxa" w:w="60"/>
              <w:start w:type="dxa" w:w="120"/>
              <w:bottom w:type="dxa" w:w="60"/>
              <w:end w:type="dxa" w:w="120"/>
            </w:tcMar>
          </w:tcPr>
          <w:p>
            <w:pPr>
              <w:jc w:val="center"/>
            </w:pPr>
            <w:r>
              <w:rPr>
                <w:color w:val="333333"/>
                <w:sz w:val="20"/>
                <w:szCs w:val="20"/>
                <w:rFonts w:ascii="Arial" w:hAnsi="Arial"/>
              </w:rPr>
              <w:t>~0.840</w:t>
            </w:r>
          </w:p>
        </w:tc>
        <w:tc>
          <w:tcPr>
            <w:tcW w:type="dxa" w:w="4760"/>
            <w:shd w:fill="FFFFFF" w:val="clear"/>
            <w:tcMar>
              <w:top w:type="dxa" w:w="60"/>
              <w:start w:type="dxa" w:w="120"/>
              <w:bottom w:type="dxa" w:w="60"/>
              <w:end w:type="dxa" w:w="120"/>
            </w:tcMar>
          </w:tcPr>
          <w:p>
            <w:pPr>
              <w:jc w:val="center"/>
            </w:pPr>
            <w:r>
              <w:rPr>
                <w:color w:val="333333"/>
                <w:sz w:val="20"/>
                <w:szCs w:val="20"/>
                <w:rFonts w:ascii="Arial" w:hAnsi="Arial"/>
              </w:rPr>
              <w:t>Structural floor — clear weakening</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F0F4FA" w:val="clear"/>
            <w:tcMar>
              <w:top w:type="dxa" w:w="80"/>
              <w:start w:type="dxa" w:w="200"/>
              <w:bottom w:type="dxa" w:w="60"/>
              <w:end w:type="dxa" w:w="200"/>
            </w:tcMar>
          </w:tcPr>
          <w:p>
            <w:pPr>
              <w:spacing w:before="160" w:after="60"/>
            </w:pPr>
            <w:r>
              <w:rPr>
                <w:b/>
                <w:bCs/>
                <w:color w:val="2E5FA3"/>
                <w:sz w:val="26"/>
                <w:szCs w:val="26"/>
                <w:rFonts w:ascii="Arial" w:hAnsi="Arial"/>
              </w:rPr>
              <w:t>Sensitivity Ranking (within tested range)</w:t>
            </w:r>
          </w:p>
        </w:tc>
      </w:tr>
      <w:tr>
        <w:tc>
          <w:tcPr>
            <w:tcW w:type="dxa" w:w="9360"/>
            <w:shd w:fill="FFFFFF" w:val="clear"/>
            <w:tcMar>
              <w:top w:type="dxa" w:w="40"/>
              <w:start w:type="dxa" w:w="400"/>
              <w:bottom w:type="dxa" w:w="40"/>
              <w:end w:type="dxa" w:w="200"/>
            </w:tcMar>
          </w:tcPr>
          <w:p>
            <w:pPr>
              <w:spacing w:before="30" w:after="30"/>
            </w:pPr>
            <w:r>
              <w:rPr>
                <w:color w:val="333333"/>
                <w:sz w:val="20"/>
                <w:szCs w:val="20"/>
                <w:rFonts w:ascii="Arial" w:hAnsi="Arial"/>
              </w:rPr>
              <w:t xml:space="preserve">•  1. noise_level — dominant constraint</w:t>
            </w:r>
          </w:p>
        </w:tc>
      </w:tr>
      <w:tr>
        <w:tc>
          <w:tcPr>
            <w:tcW w:type="dxa" w:w="9360"/>
            <w:shd w:fill="FFFFFF" w:val="clear"/>
            <w:tcMar>
              <w:top w:type="dxa" w:w="40"/>
              <w:start w:type="dxa" w:w="400"/>
              <w:bottom w:type="dxa" w:w="40"/>
              <w:end w:type="dxa" w:w="200"/>
            </w:tcMar>
          </w:tcPr>
          <w:p>
            <w:pPr>
              <w:spacing w:before="30" w:after="30"/>
            </w:pPr>
            <w:r>
              <w:rPr>
                <w:color w:val="333333"/>
                <w:sz w:val="20"/>
                <w:szCs w:val="20"/>
                <w:rFonts w:ascii="Arial" w:hAnsi="Arial"/>
              </w:rPr>
              <w:t xml:space="preserve">•  2. structural_weight — buffering capacity</w:t>
            </w:r>
          </w:p>
        </w:tc>
      </w:tr>
      <w:tr>
        <w:tc>
          <w:tcPr>
            <w:tcW w:type="dxa" w:w="9360"/>
            <w:shd w:fill="FFFFFF" w:val="clear"/>
            <w:tcMar>
              <w:top w:type="dxa" w:w="40"/>
              <w:start w:type="dxa" w:w="400"/>
              <w:bottom w:type="dxa" w:w="40"/>
              <w:end w:type="dxa" w:w="200"/>
            </w:tcMar>
          </w:tcPr>
          <w:p>
            <w:pPr>
              <w:spacing w:before="30" w:after="30"/>
            </w:pPr>
            <w:r>
              <w:rPr>
                <w:color w:val="333333"/>
                <w:sz w:val="20"/>
                <w:szCs w:val="20"/>
                <w:rFonts w:ascii="Arial" w:hAnsi="Arial"/>
              </w:rPr>
              <w:t xml:space="preserve">•  3. stability_boost — necessary but not tightly tuned</w:t>
            </w:r>
          </w:p>
        </w:tc>
      </w:tr>
      <w:tr>
        <w:tc>
          <w:tcPr>
            <w:tcW w:type="dxa" w:w="9360"/>
            <w:shd w:fill="FFFFFF" w:val="clear"/>
            <w:tcMar>
              <w:top w:type="dxa" w:w="60"/>
              <w:start w:type="dxa" w:w="200"/>
              <w:bottom w:type="dxa" w:w="60"/>
              <w:end w:type="dxa" w:w="200"/>
            </w:tcMar>
          </w:tcPr>
          <w:p>
            <w:pPr>
              <w:spacing w:before="40" w:after="40"/>
            </w:pPr>
            <w:r>
              <w:rPr>
                <w:i/>
                <w:iCs/>
                <w:color w:val="333333"/>
                <w:sz w:val="20"/>
                <w:szCs w:val="20"/>
                <w:rFonts w:ascii="Arial" w:hAnsi="Arial"/>
              </w:rPr>
              <w:t xml:space="preserve">Within the tested parameter range, stability appeared bounded, disturbance-limited, and buffered by structure.</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2E5FA3" w:val="clear"/>
            <w:tcMar>
              <w:top w:type="dxa" w:w="120"/>
              <w:start w:type="dxa" w:w="200"/>
              <w:bottom w:type="dxa" w:w="120"/>
              <w:end w:type="dxa" w:w="200"/>
            </w:tcMar>
          </w:tcPr>
          <w:p>
            <w:pPr>
              <w:spacing w:before="120" w:after="80"/>
            </w:pPr>
            <w:r>
              <w:rPr>
                <w:b/>
                <w:bCs/>
                <w:color w:val="FFFFFF"/>
                <w:sz w:val="28"/>
                <w:szCs w:val="28"/>
                <w:rFonts w:ascii="Arial" w:hAnsi="Arial"/>
              </w:rPr>
              <w:t>Phase B — Disturbance Stress</w:t>
            </w:r>
          </w:p>
        </w:tc>
      </w:tr>
    </w:tbl>
    <w:p>
      <w:pPr>
        <w:spacing w:before="80" w:after="80"/>
      </w:pPr>
    </w:p>
    <w:tbl>
      <w:tblPr>
        <w:tblW w:type="dxa" w:w="7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000"/>
        <w:gridCol w:w="1000"/>
        <w:gridCol w:w="900"/>
        <w:gridCol w:w="1100"/>
        <w:gridCol w:w="900"/>
        <w:gridCol w:w="1460"/>
      </w:tblGrid>
      <w:tr>
        <w:tc>
          <w:tcPr>
            <w:tcW w:type="dxa" w:w="2000"/>
            <w:shd w:fill="1A2E4A" w:val="clear"/>
            <w:tcMar>
              <w:top w:type="dxa" w:w="80"/>
              <w:start w:type="dxa" w:w="120"/>
              <w:bottom w:type="dxa" w:w="80"/>
              <w:end w:type="dxa" w:w="120"/>
            </w:tcMar>
          </w:tcPr>
          <w:p>
            <w:pPr>
              <w:jc w:val="center"/>
            </w:pPr>
            <w:r>
              <w:rPr>
                <w:b/>
                <w:bCs/>
                <w:color w:val="FFFFFF"/>
                <w:sz w:val="20"/>
                <w:szCs w:val="20"/>
                <w:rFonts w:ascii="Arial" w:hAnsi="Arial"/>
              </w:rPr>
              <w:t>Experiment</w:t>
            </w:r>
          </w:p>
        </w:tc>
        <w:tc>
          <w:tcPr>
            <w:tcW w:type="dxa" w:w="1000"/>
            <w:shd w:fill="1A2E4A" w:val="clear"/>
            <w:tcMar>
              <w:top w:type="dxa" w:w="80"/>
              <w:start w:type="dxa" w:w="120"/>
              <w:bottom w:type="dxa" w:w="80"/>
              <w:end w:type="dxa" w:w="120"/>
            </w:tcMar>
          </w:tcPr>
          <w:p>
            <w:pPr>
              <w:jc w:val="center"/>
            </w:pPr>
            <w:r>
              <w:rPr>
                <w:b/>
                <w:bCs/>
                <w:color w:val="FFFFFF"/>
                <w:sz w:val="20"/>
                <w:szCs w:val="20"/>
                <w:rFonts w:ascii="Arial" w:hAnsi="Arial"/>
              </w:rPr>
              <w:t>shock_prob</w:t>
            </w:r>
          </w:p>
        </w:tc>
        <w:tc>
          <w:tcPr>
            <w:tcW w:type="dxa" w:w="900"/>
            <w:shd w:fill="1A2E4A" w:val="clear"/>
            <w:tcMar>
              <w:top w:type="dxa" w:w="80"/>
              <w:start w:type="dxa" w:w="120"/>
              <w:bottom w:type="dxa" w:w="80"/>
              <w:end w:type="dxa" w:w="120"/>
            </w:tcMar>
          </w:tcPr>
          <w:p>
            <w:pPr>
              <w:jc w:val="center"/>
            </w:pPr>
            <w:r>
              <w:rPr>
                <w:b/>
                <w:bCs/>
                <w:color w:val="FFFFFF"/>
                <w:sz w:val="20"/>
                <w:szCs w:val="20"/>
                <w:rFonts w:ascii="Arial" w:hAnsi="Arial"/>
              </w:rPr>
              <w:t>Stable / 20</w:t>
            </w:r>
          </w:p>
        </w:tc>
        <w:tc>
          <w:tcPr>
            <w:tcW w:type="dxa" w:w="1100"/>
            <w:shd w:fill="1A2E4A" w:val="clear"/>
            <w:tcMar>
              <w:top w:type="dxa" w:w="80"/>
              <w:start w:type="dxa" w:w="120"/>
              <w:bottom w:type="dxa" w:w="80"/>
              <w:end w:type="dxa" w:w="120"/>
            </w:tcMar>
          </w:tcPr>
          <w:p>
            <w:pPr>
              <w:jc w:val="center"/>
            </w:pPr>
            <w:r>
              <w:rPr>
                <w:b/>
                <w:bCs/>
                <w:color w:val="FFFFFF"/>
                <w:sz w:val="20"/>
                <w:szCs w:val="20"/>
                <w:rFonts w:ascii="Arial" w:hAnsi="Arial"/>
              </w:rPr>
              <w:t>Recovered / 20</w:t>
            </w:r>
          </w:p>
        </w:tc>
        <w:tc>
          <w:tcPr>
            <w:tcW w:type="dxa" w:w="900"/>
            <w:shd w:fill="1A2E4A" w:val="clear"/>
            <w:tcMar>
              <w:top w:type="dxa" w:w="80"/>
              <w:start w:type="dxa" w:w="120"/>
              <w:bottom w:type="dxa" w:w="80"/>
              <w:end w:type="dxa" w:w="120"/>
            </w:tcMar>
          </w:tcPr>
          <w:p>
            <w:pPr>
              <w:jc w:val="center"/>
            </w:pPr>
            <w:r>
              <w:rPr>
                <w:b/>
                <w:bCs/>
                <w:color w:val="FFFFFF"/>
                <w:sz w:val="20"/>
                <w:szCs w:val="20"/>
                <w:rFonts w:ascii="Arial" w:hAnsi="Arial"/>
              </w:rPr>
              <w:t>Fragile / 20</w:t>
            </w:r>
          </w:p>
        </w:tc>
        <w:tc>
          <w:tcPr>
            <w:tcW w:type="dxa" w:w="1460"/>
            <w:shd w:fill="1A2E4A" w:val="clear"/>
            <w:tcMar>
              <w:top w:type="dxa" w:w="80"/>
              <w:start w:type="dxa" w:w="120"/>
              <w:bottom w:type="dxa" w:w="80"/>
              <w:end w:type="dxa" w:w="120"/>
            </w:tcMar>
          </w:tcPr>
          <w:p>
            <w:pPr>
              <w:jc w:val="center"/>
            </w:pPr>
            <w:r>
              <w:rPr>
                <w:b/>
                <w:bCs/>
                <w:color w:val="FFFFFF"/>
                <w:sz w:val="20"/>
                <w:szCs w:val="20"/>
                <w:rFonts w:ascii="Arial" w:hAnsi="Arial"/>
              </w:rPr>
              <w:t>Avg Coop.</w:t>
            </w:r>
          </w:p>
        </w:tc>
      </w:tr>
      <w:tr>
        <w:tc>
          <w:tcPr>
            <w:tcW w:type="dxa" w:w="2000"/>
            <w:shd w:fill="FFFFFF" w:val="clear"/>
            <w:tcMar>
              <w:top w:type="dxa" w:w="60"/>
              <w:start w:type="dxa" w:w="120"/>
              <w:bottom w:type="dxa" w:w="60"/>
              <w:end w:type="dxa" w:w="120"/>
            </w:tcMar>
          </w:tcPr>
          <w:p>
            <w:pPr>
              <w:jc w:val="left"/>
            </w:pPr>
            <w:r>
              <w:rPr>
                <w:color w:val="333333"/>
                <w:sz w:val="20"/>
                <w:szCs w:val="20"/>
                <w:rFonts w:ascii="Arial" w:hAnsi="Arial"/>
              </w:rPr>
              <w:t>BASELINE_LOCK_v1</w:t>
            </w:r>
          </w:p>
        </w:tc>
        <w:tc>
          <w:tcPr>
            <w:tcW w:type="dxa" w:w="1000"/>
            <w:shd w:fill="FFFFFF" w:val="clear"/>
            <w:tcMar>
              <w:top w:type="dxa" w:w="60"/>
              <w:start w:type="dxa" w:w="120"/>
              <w:bottom w:type="dxa" w:w="60"/>
              <w:end w:type="dxa" w:w="120"/>
            </w:tcMar>
          </w:tcPr>
          <w:p>
            <w:pPr>
              <w:jc w:val="center"/>
            </w:pPr>
            <w:r>
              <w:rPr>
                <w:color w:val="333333"/>
                <w:sz w:val="20"/>
                <w:szCs w:val="20"/>
                <w:rFonts w:ascii="Arial" w:hAnsi="Arial"/>
              </w:rPr>
              <w:t>—</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6/20</w:t>
            </w:r>
          </w:p>
        </w:tc>
        <w:tc>
          <w:tcPr>
            <w:tcW w:type="dxa" w:w="1100"/>
            <w:shd w:fill="FFFFFF" w:val="clear"/>
            <w:tcMar>
              <w:top w:type="dxa" w:w="60"/>
              <w:start w:type="dxa" w:w="120"/>
              <w:bottom w:type="dxa" w:w="60"/>
              <w:end w:type="dxa" w:w="120"/>
            </w:tcMar>
          </w:tcPr>
          <w:p>
            <w:pPr>
              <w:jc w:val="center"/>
            </w:pPr>
            <w:r>
              <w:rPr>
                <w:color w:val="333333"/>
                <w:sz w:val="20"/>
                <w:szCs w:val="20"/>
                <w:rFonts w:ascii="Arial" w:hAnsi="Arial"/>
              </w:rPr>
              <w:t>14/20</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3/20</w:t>
            </w:r>
          </w:p>
        </w:tc>
        <w:tc>
          <w:tcPr>
            <w:tcW w:type="dxa" w:w="1460"/>
            <w:shd w:fill="FFFFFF" w:val="clear"/>
            <w:tcMar>
              <w:top w:type="dxa" w:w="60"/>
              <w:start w:type="dxa" w:w="120"/>
              <w:bottom w:type="dxa" w:w="60"/>
              <w:end w:type="dxa" w:w="120"/>
            </w:tcMar>
          </w:tcPr>
          <w:p>
            <w:pPr>
              <w:jc w:val="center"/>
            </w:pPr>
            <w:r>
              <w:rPr>
                <w:color w:val="333333"/>
                <w:sz w:val="20"/>
                <w:szCs w:val="20"/>
                <w:rFonts w:ascii="Arial" w:hAnsi="Arial"/>
              </w:rPr>
              <w:t>0.864</w:t>
            </w:r>
          </w:p>
        </w:tc>
      </w:tr>
      <w:tr>
        <w:tc>
          <w:tcPr>
            <w:tcW w:type="dxa" w:w="2000"/>
            <w:shd w:fill="F0F4FA" w:val="clear"/>
            <w:tcMar>
              <w:top w:type="dxa" w:w="60"/>
              <w:start w:type="dxa" w:w="120"/>
              <w:bottom w:type="dxa" w:w="60"/>
              <w:end w:type="dxa" w:w="120"/>
            </w:tcMar>
          </w:tcPr>
          <w:p>
            <w:pPr>
              <w:jc w:val="left"/>
            </w:pPr>
            <w:r>
              <w:rPr>
                <w:color w:val="333333"/>
                <w:sz w:val="20"/>
                <w:szCs w:val="20"/>
                <w:rFonts w:ascii="Arial" w:hAnsi="Arial"/>
              </w:rPr>
              <w:t>STRESS_S1</w:t>
            </w:r>
          </w:p>
        </w:tc>
        <w:tc>
          <w:tcPr>
            <w:tcW w:type="dxa" w:w="1000"/>
            <w:shd w:fill="F0F4FA" w:val="clear"/>
            <w:tcMar>
              <w:top w:type="dxa" w:w="60"/>
              <w:start w:type="dxa" w:w="120"/>
              <w:bottom w:type="dxa" w:w="60"/>
              <w:end w:type="dxa" w:w="120"/>
            </w:tcMar>
          </w:tcPr>
          <w:p>
            <w:pPr>
              <w:jc w:val="center"/>
            </w:pPr>
            <w:r>
              <w:rPr>
                <w:color w:val="333333"/>
                <w:sz w:val="20"/>
                <w:szCs w:val="20"/>
                <w:rFonts w:ascii="Arial" w:hAnsi="Arial"/>
              </w:rPr>
              <w:t>0.10</w:t>
            </w:r>
          </w:p>
        </w:tc>
        <w:tc>
          <w:tcPr>
            <w:tcW w:type="dxa" w:w="900"/>
            <w:shd w:fill="F0F4FA" w:val="clear"/>
            <w:tcMar>
              <w:top w:type="dxa" w:w="60"/>
              <w:start w:type="dxa" w:w="120"/>
              <w:bottom w:type="dxa" w:w="60"/>
              <w:end w:type="dxa" w:w="120"/>
            </w:tcMar>
          </w:tcPr>
          <w:p>
            <w:pPr>
              <w:jc w:val="center"/>
            </w:pPr>
            <w:r>
              <w:rPr>
                <w:color w:val="333333"/>
                <w:sz w:val="20"/>
                <w:szCs w:val="20"/>
                <w:rFonts w:ascii="Arial" w:hAnsi="Arial"/>
              </w:rPr>
              <w:t>5/20</w:t>
            </w:r>
          </w:p>
        </w:tc>
        <w:tc>
          <w:tcPr>
            <w:tcW w:type="dxa" w:w="1100"/>
            <w:shd w:fill="F0F4FA" w:val="clear"/>
            <w:tcMar>
              <w:top w:type="dxa" w:w="60"/>
              <w:start w:type="dxa" w:w="120"/>
              <w:bottom w:type="dxa" w:w="60"/>
              <w:end w:type="dxa" w:w="120"/>
            </w:tcMar>
          </w:tcPr>
          <w:p>
            <w:pPr>
              <w:jc w:val="center"/>
            </w:pPr>
            <w:r>
              <w:rPr>
                <w:color w:val="333333"/>
                <w:sz w:val="20"/>
                <w:szCs w:val="20"/>
                <w:rFonts w:ascii="Arial" w:hAnsi="Arial"/>
              </w:rPr>
              <w:t>14/20</w:t>
            </w:r>
          </w:p>
        </w:tc>
        <w:tc>
          <w:tcPr>
            <w:tcW w:type="dxa" w:w="900"/>
            <w:shd w:fill="F0F4FA" w:val="clear"/>
            <w:tcMar>
              <w:top w:type="dxa" w:w="60"/>
              <w:start w:type="dxa" w:w="120"/>
              <w:bottom w:type="dxa" w:w="60"/>
              <w:end w:type="dxa" w:w="120"/>
            </w:tcMar>
          </w:tcPr>
          <w:p>
            <w:pPr>
              <w:jc w:val="center"/>
            </w:pPr>
            <w:r>
              <w:rPr>
                <w:color w:val="333333"/>
                <w:sz w:val="20"/>
                <w:szCs w:val="20"/>
                <w:rFonts w:ascii="Arial" w:hAnsi="Arial"/>
              </w:rPr>
              <w:t>3/20</w:t>
            </w:r>
          </w:p>
        </w:tc>
        <w:tc>
          <w:tcPr>
            <w:tcW w:type="dxa" w:w="1460"/>
            <w:shd w:fill="F0F4FA" w:val="clear"/>
            <w:tcMar>
              <w:top w:type="dxa" w:w="60"/>
              <w:start w:type="dxa" w:w="120"/>
              <w:bottom w:type="dxa" w:w="60"/>
              <w:end w:type="dxa" w:w="120"/>
            </w:tcMar>
          </w:tcPr>
          <w:p>
            <w:pPr>
              <w:jc w:val="center"/>
            </w:pPr>
            <w:r>
              <w:rPr>
                <w:color w:val="333333"/>
                <w:sz w:val="20"/>
                <w:szCs w:val="20"/>
                <w:rFonts w:ascii="Arial" w:hAnsi="Arial"/>
              </w:rPr>
              <w:t>0.858</w:t>
            </w:r>
          </w:p>
        </w:tc>
      </w:tr>
      <w:tr>
        <w:tc>
          <w:tcPr>
            <w:tcW w:type="dxa" w:w="2000"/>
            <w:shd w:fill="FFFFFF" w:val="clear"/>
            <w:tcMar>
              <w:top w:type="dxa" w:w="60"/>
              <w:start w:type="dxa" w:w="120"/>
              <w:bottom w:type="dxa" w:w="60"/>
              <w:end w:type="dxa" w:w="120"/>
            </w:tcMar>
          </w:tcPr>
          <w:p>
            <w:pPr>
              <w:jc w:val="left"/>
            </w:pPr>
            <w:r>
              <w:rPr>
                <w:color w:val="333333"/>
                <w:sz w:val="20"/>
                <w:szCs w:val="20"/>
                <w:rFonts w:ascii="Arial" w:hAnsi="Arial"/>
              </w:rPr>
              <w:t>STRESS_S2</w:t>
            </w:r>
          </w:p>
        </w:tc>
        <w:tc>
          <w:tcPr>
            <w:tcW w:type="dxa" w:w="1000"/>
            <w:shd w:fill="FFFFFF" w:val="clear"/>
            <w:tcMar>
              <w:top w:type="dxa" w:w="60"/>
              <w:start w:type="dxa" w:w="120"/>
              <w:bottom w:type="dxa" w:w="60"/>
              <w:end w:type="dxa" w:w="120"/>
            </w:tcMar>
          </w:tcPr>
          <w:p>
            <w:pPr>
              <w:jc w:val="center"/>
            </w:pPr>
            <w:r>
              <w:rPr>
                <w:color w:val="333333"/>
                <w:sz w:val="20"/>
                <w:szCs w:val="20"/>
                <w:rFonts w:ascii="Arial" w:hAnsi="Arial"/>
              </w:rPr>
              <w:t>0.15</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4/20</w:t>
            </w:r>
          </w:p>
        </w:tc>
        <w:tc>
          <w:tcPr>
            <w:tcW w:type="dxa" w:w="1100"/>
            <w:shd w:fill="FFFFFF" w:val="clear"/>
            <w:tcMar>
              <w:top w:type="dxa" w:w="60"/>
              <w:start w:type="dxa" w:w="120"/>
              <w:bottom w:type="dxa" w:w="60"/>
              <w:end w:type="dxa" w:w="120"/>
            </w:tcMar>
          </w:tcPr>
          <w:p>
            <w:pPr>
              <w:jc w:val="center"/>
            </w:pPr>
            <w:r>
              <w:rPr>
                <w:color w:val="333333"/>
                <w:sz w:val="20"/>
                <w:szCs w:val="20"/>
                <w:rFonts w:ascii="Arial" w:hAnsi="Arial"/>
              </w:rPr>
              <w:t>16/20</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4/20</w:t>
            </w:r>
          </w:p>
        </w:tc>
        <w:tc>
          <w:tcPr>
            <w:tcW w:type="dxa" w:w="1460"/>
            <w:shd w:fill="FFFFFF" w:val="clear"/>
            <w:tcMar>
              <w:top w:type="dxa" w:w="60"/>
              <w:start w:type="dxa" w:w="120"/>
              <w:bottom w:type="dxa" w:w="60"/>
              <w:end w:type="dxa" w:w="120"/>
            </w:tcMar>
          </w:tcPr>
          <w:p>
            <w:pPr>
              <w:jc w:val="center"/>
            </w:pPr>
            <w:r>
              <w:rPr>
                <w:color w:val="333333"/>
                <w:sz w:val="20"/>
                <w:szCs w:val="20"/>
                <w:rFonts w:ascii="Arial" w:hAnsi="Arial"/>
              </w:rPr>
              <w:t>0.854</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FFFFFF" w:val="clear"/>
            <w:tcMar>
              <w:top w:type="dxa" w:w="60"/>
              <w:start w:type="dxa" w:w="200"/>
              <w:bottom w:type="dxa" w:w="60"/>
              <w:end w:type="dxa" w:w="200"/>
            </w:tcMar>
          </w:tcPr>
          <w:p>
            <w:pPr>
              <w:spacing w:before="40" w:after="40"/>
            </w:pPr>
            <w:r>
              <w:rPr>
                <w:i/>
                <w:iCs/>
                <w:color w:val="333333"/>
                <w:sz w:val="20"/>
                <w:szCs w:val="20"/>
                <w:rFonts w:ascii="Arial" w:hAnsi="Arial"/>
              </w:rPr>
              <w:t xml:space="preserve">Within the tested range, higher shock frequency degraded performance gradually. No catastrophic collapse was observed.</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2E5FA3" w:val="clear"/>
            <w:tcMar>
              <w:top w:type="dxa" w:w="120"/>
              <w:start w:type="dxa" w:w="200"/>
              <w:bottom w:type="dxa" w:w="120"/>
              <w:end w:type="dxa" w:w="200"/>
            </w:tcMar>
          </w:tcPr>
          <w:p>
            <w:pPr>
              <w:spacing w:before="120" w:after="80"/>
            </w:pPr>
            <w:r>
              <w:rPr>
                <w:b/>
                <w:bCs/>
                <w:color w:val="FFFFFF"/>
                <w:sz w:val="28"/>
                <w:szCs w:val="28"/>
                <w:rFonts w:ascii="Arial" w:hAnsi="Arial"/>
              </w:rPr>
              <w:t>Phase C — Cognitive Upgrade and Cognitive Stress</w:t>
            </w:r>
          </w:p>
        </w:tc>
      </w:tr>
      <w:tr>
        <w:tc>
          <w:tcPr>
            <w:tcW w:type="dxa" w:w="9360"/>
            <w:shd w:fill="FFFFFF" w:val="clear"/>
            <w:tcMar>
              <w:top w:type="dxa" w:w="60"/>
              <w:start w:type="dxa" w:w="200"/>
              <w:bottom w:type="dxa" w:w="60"/>
              <w:end w:type="dxa" w:w="200"/>
            </w:tcMar>
          </w:tcPr>
          <w:p>
            <w:pPr>
              <w:spacing w:before="40" w:after="40"/>
            </w:pPr>
            <w:r>
              <w:rPr>
                <w:color w:val="333333"/>
                <w:sz w:val="20"/>
                <w:szCs w:val="20"/>
                <w:rFonts w:ascii="Arial" w:hAnsi="Arial"/>
              </w:rPr>
              <w:t xml:space="preserve">Original cognitive stress tests on v1 were effectively null: raising emotional_weight alone barely moved the system.</w:t>
            </w:r>
          </w:p>
        </w:tc>
      </w:tr>
      <w:tr>
        <w:tc>
          <w:tcPr>
            <w:tcW w:type="dxa" w:w="9360"/>
            <w:shd w:fill="FFFFFF" w:val="clear"/>
            <w:tcMar>
              <w:top w:type="dxa" w:w="60"/>
              <w:start w:type="dxa" w:w="200"/>
              <w:bottom w:type="dxa" w:w="60"/>
              <w:end w:type="dxa" w:w="200"/>
            </w:tcMar>
          </w:tcPr>
          <w:p>
            <w:pPr>
              <w:spacing w:before="40" w:after="40"/>
            </w:pPr>
            <w:r>
              <w:rPr>
                <w:color w:val="333333"/>
                <w:sz w:val="20"/>
                <w:szCs w:val="20"/>
                <w:rFonts w:ascii="Arial" w:hAnsi="Arial"/>
              </w:rPr>
              <w:t xml:space="preserve">Model upgrade: added distortion_impact_on_trust so distortion now directly reduces trust.</w:t>
            </w:r>
          </w:p>
        </w:tc>
      </w:tr>
      <w:tr>
        <w:tc>
          <w:tcPr>
            <w:tcW w:type="dxa" w:w="9360"/>
            <w:shd w:fill="F0F4FA" w:val="clear"/>
            <w:tcMar>
              <w:top w:type="dxa" w:w="80"/>
              <w:start w:type="dxa" w:w="200"/>
              <w:bottom w:type="dxa" w:w="60"/>
              <w:end w:type="dxa" w:w="200"/>
            </w:tcMar>
          </w:tcPr>
          <w:p>
            <w:pPr>
              <w:spacing w:before="160" w:after="60"/>
            </w:pPr>
            <w:r>
              <w:rPr>
                <w:b/>
                <w:bCs/>
                <w:color w:val="2E5FA3"/>
                <w:sz w:val="26"/>
                <w:szCs w:val="26"/>
                <w:rFonts w:ascii="Arial" w:hAnsi="Arial"/>
              </w:rPr>
              <w:t>BASELINE_LOCK_v2 — Post-Upgrade Reference</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340"/>
        <w:gridCol w:w="2340"/>
        <w:gridCol w:w="2340"/>
        <w:gridCol w:w="2340"/>
      </w:tblGrid>
      <w:tr>
        <w:tc>
          <w:tcPr>
            <w:tcW w:type="dxa" w:w="2340"/>
            <w:shd w:fill="1A2E4A" w:val="clear"/>
            <w:tcMar>
              <w:top w:type="dxa" w:w="80"/>
              <w:start w:type="dxa" w:w="120"/>
              <w:bottom w:type="dxa" w:w="80"/>
              <w:end w:type="dxa" w:w="120"/>
            </w:tcMar>
          </w:tcPr>
          <w:p>
            <w:pPr>
              <w:jc w:val="center"/>
            </w:pPr>
            <w:r>
              <w:rPr>
                <w:b/>
                <w:bCs/>
                <w:color w:val="FFFFFF"/>
                <w:sz w:val="20"/>
                <w:szCs w:val="20"/>
                <w:rFonts w:ascii="Arial" w:hAnsi="Arial"/>
              </w:rPr>
              <w:t>Stable Runs</w:t>
            </w:r>
          </w:p>
        </w:tc>
        <w:tc>
          <w:tcPr>
            <w:tcW w:type="dxa" w:w="2340"/>
            <w:shd w:fill="1A2E4A" w:val="clear"/>
            <w:tcMar>
              <w:top w:type="dxa" w:w="80"/>
              <w:start w:type="dxa" w:w="120"/>
              <w:bottom w:type="dxa" w:w="80"/>
              <w:end w:type="dxa" w:w="120"/>
            </w:tcMar>
          </w:tcPr>
          <w:p>
            <w:pPr>
              <w:jc w:val="center"/>
            </w:pPr>
            <w:r>
              <w:rPr>
                <w:b/>
                <w:bCs/>
                <w:color w:val="FFFFFF"/>
                <w:sz w:val="20"/>
                <w:szCs w:val="20"/>
                <w:rFonts w:ascii="Arial" w:hAnsi="Arial"/>
              </w:rPr>
              <w:t>Recovered</w:t>
            </w:r>
          </w:p>
        </w:tc>
        <w:tc>
          <w:tcPr>
            <w:tcW w:type="dxa" w:w="2340"/>
            <w:shd w:fill="1A2E4A" w:val="clear"/>
            <w:tcMar>
              <w:top w:type="dxa" w:w="80"/>
              <w:start w:type="dxa" w:w="120"/>
              <w:bottom w:type="dxa" w:w="80"/>
              <w:end w:type="dxa" w:w="120"/>
            </w:tcMar>
          </w:tcPr>
          <w:p>
            <w:pPr>
              <w:jc w:val="center"/>
            </w:pPr>
            <w:r>
              <w:rPr>
                <w:b/>
                <w:bCs/>
                <w:color w:val="FFFFFF"/>
                <w:sz w:val="20"/>
                <w:szCs w:val="20"/>
                <w:rFonts w:ascii="Arial" w:hAnsi="Arial"/>
              </w:rPr>
              <w:t>Fragile</w:t>
            </w:r>
          </w:p>
        </w:tc>
        <w:tc>
          <w:tcPr>
            <w:tcW w:type="dxa" w:w="2340"/>
            <w:shd w:fill="1A2E4A" w:val="clear"/>
            <w:tcMar>
              <w:top w:type="dxa" w:w="80"/>
              <w:start w:type="dxa" w:w="120"/>
              <w:bottom w:type="dxa" w:w="80"/>
              <w:end w:type="dxa" w:w="120"/>
            </w:tcMar>
          </w:tcPr>
          <w:p>
            <w:pPr>
              <w:jc w:val="center"/>
            </w:pPr>
            <w:r>
              <w:rPr>
                <w:b/>
                <w:bCs/>
                <w:color w:val="FFFFFF"/>
                <w:sz w:val="20"/>
                <w:szCs w:val="20"/>
                <w:rFonts w:ascii="Arial" w:hAnsi="Arial"/>
              </w:rPr>
              <w:t>Avg Final Coop.</w:t>
            </w:r>
          </w:p>
        </w:tc>
      </w:tr>
      <w:tr>
        <w:tc>
          <w:tcPr>
            <w:tcW w:type="dxa" w:w="2340"/>
            <w:shd w:fill="FFFFFF" w:val="clear"/>
            <w:tcMar>
              <w:top w:type="dxa" w:w="60"/>
              <w:start w:type="dxa" w:w="120"/>
              <w:bottom w:type="dxa" w:w="60"/>
              <w:end w:type="dxa" w:w="120"/>
            </w:tcMar>
          </w:tcPr>
          <w:p>
            <w:pPr>
              <w:jc w:val="left"/>
            </w:pPr>
            <w:r>
              <w:rPr>
                <w:color w:val="333333"/>
                <w:sz w:val="20"/>
                <w:szCs w:val="20"/>
                <w:rFonts w:ascii="Arial" w:hAnsi="Arial"/>
              </w:rPr>
              <w:t>5 / 20</w:t>
            </w:r>
          </w:p>
        </w:tc>
        <w:tc>
          <w:tcPr>
            <w:tcW w:type="dxa" w:w="2340"/>
            <w:shd w:fill="FFFFFF" w:val="clear"/>
            <w:tcMar>
              <w:top w:type="dxa" w:w="60"/>
              <w:start w:type="dxa" w:w="120"/>
              <w:bottom w:type="dxa" w:w="60"/>
              <w:end w:type="dxa" w:w="120"/>
            </w:tcMar>
          </w:tcPr>
          <w:p>
            <w:pPr>
              <w:jc w:val="center"/>
            </w:pPr>
            <w:r>
              <w:rPr>
                <w:color w:val="333333"/>
                <w:sz w:val="20"/>
                <w:szCs w:val="20"/>
                <w:rFonts w:ascii="Arial" w:hAnsi="Arial"/>
              </w:rPr>
              <w:t>14 / 20</w:t>
            </w:r>
          </w:p>
        </w:tc>
        <w:tc>
          <w:tcPr>
            <w:tcW w:type="dxa" w:w="2340"/>
            <w:shd w:fill="FFFFFF" w:val="clear"/>
            <w:tcMar>
              <w:top w:type="dxa" w:w="60"/>
              <w:start w:type="dxa" w:w="120"/>
              <w:bottom w:type="dxa" w:w="60"/>
              <w:end w:type="dxa" w:w="120"/>
            </w:tcMar>
          </w:tcPr>
          <w:p>
            <w:pPr>
              <w:jc w:val="center"/>
            </w:pPr>
            <w:r>
              <w:rPr>
                <w:color w:val="333333"/>
                <w:sz w:val="20"/>
                <w:szCs w:val="20"/>
                <w:rFonts w:ascii="Arial" w:hAnsi="Arial"/>
              </w:rPr>
              <w:t>4 / 20</w:t>
            </w:r>
          </w:p>
        </w:tc>
        <w:tc>
          <w:tcPr>
            <w:tcW w:type="dxa" w:w="2340"/>
            <w:shd w:fill="FFFFFF" w:val="clear"/>
            <w:tcMar>
              <w:top w:type="dxa" w:w="60"/>
              <w:start w:type="dxa" w:w="120"/>
              <w:bottom w:type="dxa" w:w="60"/>
              <w:end w:type="dxa" w:w="120"/>
            </w:tcMar>
          </w:tcPr>
          <w:p>
            <w:pPr>
              <w:jc w:val="center"/>
            </w:pPr>
            <w:r>
              <w:rPr>
                <w:color w:val="333333"/>
                <w:sz w:val="20"/>
                <w:szCs w:val="20"/>
                <w:rFonts w:ascii="Arial" w:hAnsi="Arial"/>
              </w:rPr>
              <w:t>0.852</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F0F4FA" w:val="clear"/>
            <w:tcMar>
              <w:top w:type="dxa" w:w="80"/>
              <w:start w:type="dxa" w:w="200"/>
              <w:bottom w:type="dxa" w:w="60"/>
              <w:end w:type="dxa" w:w="200"/>
            </w:tcMar>
          </w:tcPr>
          <w:p>
            <w:pPr>
              <w:spacing w:before="160" w:after="60"/>
            </w:pPr>
            <w:r>
              <w:rPr>
                <w:b/>
                <w:bCs/>
                <w:color w:val="2E5FA3"/>
                <w:sz w:val="26"/>
                <w:szCs w:val="26"/>
                <w:rFonts w:ascii="Arial" w:hAnsi="Arial"/>
              </w:rPr>
              <w:t>Cognitive Stress Tests (v2)</w:t>
            </w:r>
          </w:p>
        </w:tc>
      </w:tr>
    </w:tbl>
    <w:p>
      <w:pPr>
        <w:spacing w:before="80" w:after="80"/>
      </w:pPr>
    </w:p>
    <w:tbl>
      <w:tblPr>
        <w:tblW w:type="dxa" w:w="7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1800"/>
        <w:gridCol w:w="1400"/>
        <w:gridCol w:w="900"/>
        <w:gridCol w:w="1100"/>
        <w:gridCol w:w="900"/>
        <w:gridCol w:w="1260"/>
      </w:tblGrid>
      <w:tr>
        <w:tc>
          <w:tcPr>
            <w:tcW w:type="dxa" w:w="1800"/>
            <w:shd w:fill="1A2E4A" w:val="clear"/>
            <w:tcMar>
              <w:top w:type="dxa" w:w="80"/>
              <w:start w:type="dxa" w:w="120"/>
              <w:bottom w:type="dxa" w:w="80"/>
              <w:end w:type="dxa" w:w="120"/>
            </w:tcMar>
          </w:tcPr>
          <w:p>
            <w:pPr>
              <w:jc w:val="center"/>
            </w:pPr>
            <w:r>
              <w:rPr>
                <w:b/>
                <w:bCs/>
                <w:color w:val="FFFFFF"/>
                <w:sz w:val="20"/>
                <w:szCs w:val="20"/>
                <w:rFonts w:ascii="Arial" w:hAnsi="Arial"/>
              </w:rPr>
              <w:t>Experiment</w:t>
            </w:r>
          </w:p>
        </w:tc>
        <w:tc>
          <w:tcPr>
            <w:tcW w:type="dxa" w:w="1400"/>
            <w:shd w:fill="1A2E4A" w:val="clear"/>
            <w:tcMar>
              <w:top w:type="dxa" w:w="80"/>
              <w:start w:type="dxa" w:w="120"/>
              <w:bottom w:type="dxa" w:w="80"/>
              <w:end w:type="dxa" w:w="120"/>
            </w:tcMar>
          </w:tcPr>
          <w:p>
            <w:pPr>
              <w:jc w:val="center"/>
            </w:pPr>
            <w:r>
              <w:rPr>
                <w:b/>
                <w:bCs/>
                <w:color w:val="FFFFFF"/>
                <w:sz w:val="20"/>
                <w:szCs w:val="20"/>
                <w:rFonts w:ascii="Arial" w:hAnsi="Arial"/>
              </w:rPr>
              <w:t>emotional_weight</w:t>
            </w:r>
          </w:p>
        </w:tc>
        <w:tc>
          <w:tcPr>
            <w:tcW w:type="dxa" w:w="900"/>
            <w:shd w:fill="1A2E4A" w:val="clear"/>
            <w:tcMar>
              <w:top w:type="dxa" w:w="80"/>
              <w:start w:type="dxa" w:w="120"/>
              <w:bottom w:type="dxa" w:w="80"/>
              <w:end w:type="dxa" w:w="120"/>
            </w:tcMar>
          </w:tcPr>
          <w:p>
            <w:pPr>
              <w:jc w:val="center"/>
            </w:pPr>
            <w:r>
              <w:rPr>
                <w:b/>
                <w:bCs/>
                <w:color w:val="FFFFFF"/>
                <w:sz w:val="20"/>
                <w:szCs w:val="20"/>
                <w:rFonts w:ascii="Arial" w:hAnsi="Arial"/>
              </w:rPr>
              <w:t>Stable / 20</w:t>
            </w:r>
          </w:p>
        </w:tc>
        <w:tc>
          <w:tcPr>
            <w:tcW w:type="dxa" w:w="1100"/>
            <w:shd w:fill="1A2E4A" w:val="clear"/>
            <w:tcMar>
              <w:top w:type="dxa" w:w="80"/>
              <w:start w:type="dxa" w:w="120"/>
              <w:bottom w:type="dxa" w:w="80"/>
              <w:end w:type="dxa" w:w="120"/>
            </w:tcMar>
          </w:tcPr>
          <w:p>
            <w:pPr>
              <w:jc w:val="center"/>
            </w:pPr>
            <w:r>
              <w:rPr>
                <w:b/>
                <w:bCs/>
                <w:color w:val="FFFFFF"/>
                <w:sz w:val="20"/>
                <w:szCs w:val="20"/>
                <w:rFonts w:ascii="Arial" w:hAnsi="Arial"/>
              </w:rPr>
              <w:t>Recovered / 20</w:t>
            </w:r>
          </w:p>
        </w:tc>
        <w:tc>
          <w:tcPr>
            <w:tcW w:type="dxa" w:w="900"/>
            <w:shd w:fill="1A2E4A" w:val="clear"/>
            <w:tcMar>
              <w:top w:type="dxa" w:w="80"/>
              <w:start w:type="dxa" w:w="120"/>
              <w:bottom w:type="dxa" w:w="80"/>
              <w:end w:type="dxa" w:w="120"/>
            </w:tcMar>
          </w:tcPr>
          <w:p>
            <w:pPr>
              <w:jc w:val="center"/>
            </w:pPr>
            <w:r>
              <w:rPr>
                <w:b/>
                <w:bCs/>
                <w:color w:val="FFFFFF"/>
                <w:sz w:val="20"/>
                <w:szCs w:val="20"/>
                <w:rFonts w:ascii="Arial" w:hAnsi="Arial"/>
              </w:rPr>
              <w:t>Fragile / 20</w:t>
            </w:r>
          </w:p>
        </w:tc>
        <w:tc>
          <w:tcPr>
            <w:tcW w:type="dxa" w:w="1260"/>
            <w:shd w:fill="1A2E4A" w:val="clear"/>
            <w:tcMar>
              <w:top w:type="dxa" w:w="80"/>
              <w:start w:type="dxa" w:w="120"/>
              <w:bottom w:type="dxa" w:w="80"/>
              <w:end w:type="dxa" w:w="120"/>
            </w:tcMar>
          </w:tcPr>
          <w:p>
            <w:pPr>
              <w:jc w:val="center"/>
            </w:pPr>
            <w:r>
              <w:rPr>
                <w:b/>
                <w:bCs/>
                <w:color w:val="FFFFFF"/>
                <w:sz w:val="20"/>
                <w:szCs w:val="20"/>
                <w:rFonts w:ascii="Arial" w:hAnsi="Arial"/>
              </w:rPr>
              <w:t>Avg Coop.</w:t>
            </w:r>
          </w:p>
        </w:tc>
      </w:tr>
      <w:tr>
        <w:tc>
          <w:tcPr>
            <w:tcW w:type="dxa" w:w="1800"/>
            <w:shd w:fill="FFFFFF" w:val="clear"/>
            <w:tcMar>
              <w:top w:type="dxa" w:w="60"/>
              <w:start w:type="dxa" w:w="120"/>
              <w:bottom w:type="dxa" w:w="60"/>
              <w:end w:type="dxa" w:w="120"/>
            </w:tcMar>
          </w:tcPr>
          <w:p>
            <w:pPr>
              <w:jc w:val="left"/>
            </w:pPr>
            <w:r>
              <w:rPr>
                <w:color w:val="333333"/>
                <w:sz w:val="20"/>
                <w:szCs w:val="20"/>
                <w:rFonts w:ascii="Arial" w:hAnsi="Arial"/>
              </w:rPr>
              <w:t>BASELINE_LOCK_v2</w:t>
            </w:r>
          </w:p>
        </w:tc>
        <w:tc>
          <w:tcPr>
            <w:tcW w:type="dxa" w:w="1400"/>
            <w:shd w:fill="FFFFFF" w:val="clear"/>
            <w:tcMar>
              <w:top w:type="dxa" w:w="60"/>
              <w:start w:type="dxa" w:w="120"/>
              <w:bottom w:type="dxa" w:w="60"/>
              <w:end w:type="dxa" w:w="120"/>
            </w:tcMar>
          </w:tcPr>
          <w:p>
            <w:pPr>
              <w:jc w:val="center"/>
            </w:pPr>
            <w:r>
              <w:rPr>
                <w:color w:val="333333"/>
                <w:sz w:val="20"/>
                <w:szCs w:val="20"/>
                <w:rFonts w:ascii="Arial" w:hAnsi="Arial"/>
              </w:rPr>
              <w:t>0.30</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5/20</w:t>
            </w:r>
          </w:p>
        </w:tc>
        <w:tc>
          <w:tcPr>
            <w:tcW w:type="dxa" w:w="1100"/>
            <w:shd w:fill="FFFFFF" w:val="clear"/>
            <w:tcMar>
              <w:top w:type="dxa" w:w="60"/>
              <w:start w:type="dxa" w:w="120"/>
              <w:bottom w:type="dxa" w:w="60"/>
              <w:end w:type="dxa" w:w="120"/>
            </w:tcMar>
          </w:tcPr>
          <w:p>
            <w:pPr>
              <w:jc w:val="center"/>
            </w:pPr>
            <w:r>
              <w:rPr>
                <w:color w:val="333333"/>
                <w:sz w:val="20"/>
                <w:szCs w:val="20"/>
                <w:rFonts w:ascii="Arial" w:hAnsi="Arial"/>
              </w:rPr>
              <w:t>14/20</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4/20</w:t>
            </w:r>
          </w:p>
        </w:tc>
        <w:tc>
          <w:tcPr>
            <w:tcW w:type="dxa" w:w="1260"/>
            <w:shd w:fill="FFFFFF" w:val="clear"/>
            <w:tcMar>
              <w:top w:type="dxa" w:w="60"/>
              <w:start w:type="dxa" w:w="120"/>
              <w:bottom w:type="dxa" w:w="60"/>
              <w:end w:type="dxa" w:w="120"/>
            </w:tcMar>
          </w:tcPr>
          <w:p>
            <w:pPr>
              <w:jc w:val="center"/>
            </w:pPr>
            <w:r>
              <w:rPr>
                <w:color w:val="333333"/>
                <w:sz w:val="20"/>
                <w:szCs w:val="20"/>
                <w:rFonts w:ascii="Arial" w:hAnsi="Arial"/>
              </w:rPr>
              <w:t>0.852</w:t>
            </w:r>
          </w:p>
        </w:tc>
      </w:tr>
      <w:tr>
        <w:tc>
          <w:tcPr>
            <w:tcW w:type="dxa" w:w="1800"/>
            <w:shd w:fill="F0F4FA" w:val="clear"/>
            <w:tcMar>
              <w:top w:type="dxa" w:w="60"/>
              <w:start w:type="dxa" w:w="120"/>
              <w:bottom w:type="dxa" w:w="60"/>
              <w:end w:type="dxa" w:w="120"/>
            </w:tcMar>
          </w:tcPr>
          <w:p>
            <w:pPr>
              <w:jc w:val="left"/>
            </w:pPr>
            <w:r>
              <w:rPr>
                <w:color w:val="333333"/>
                <w:sz w:val="20"/>
                <w:szCs w:val="20"/>
                <w:rFonts w:ascii="Arial" w:hAnsi="Arial"/>
              </w:rPr>
              <w:t>COG_S1</w:t>
            </w:r>
          </w:p>
        </w:tc>
        <w:tc>
          <w:tcPr>
            <w:tcW w:type="dxa" w:w="1400"/>
            <w:shd w:fill="F0F4FA" w:val="clear"/>
            <w:tcMar>
              <w:top w:type="dxa" w:w="60"/>
              <w:start w:type="dxa" w:w="120"/>
              <w:bottom w:type="dxa" w:w="60"/>
              <w:end w:type="dxa" w:w="120"/>
            </w:tcMar>
          </w:tcPr>
          <w:p>
            <w:pPr>
              <w:jc w:val="center"/>
            </w:pPr>
            <w:r>
              <w:rPr>
                <w:color w:val="333333"/>
                <w:sz w:val="20"/>
                <w:szCs w:val="20"/>
                <w:rFonts w:ascii="Arial" w:hAnsi="Arial"/>
              </w:rPr>
              <w:t>0.40</w:t>
            </w:r>
          </w:p>
        </w:tc>
        <w:tc>
          <w:tcPr>
            <w:tcW w:type="dxa" w:w="900"/>
            <w:shd w:fill="F0F4FA" w:val="clear"/>
            <w:tcMar>
              <w:top w:type="dxa" w:w="60"/>
              <w:start w:type="dxa" w:w="120"/>
              <w:bottom w:type="dxa" w:w="60"/>
              <w:end w:type="dxa" w:w="120"/>
            </w:tcMar>
          </w:tcPr>
          <w:p>
            <w:pPr>
              <w:jc w:val="center"/>
            </w:pPr>
            <w:r>
              <w:rPr>
                <w:color w:val="333333"/>
                <w:sz w:val="20"/>
                <w:szCs w:val="20"/>
                <w:rFonts w:ascii="Arial" w:hAnsi="Arial"/>
              </w:rPr>
              <w:t>4/20</w:t>
            </w:r>
          </w:p>
        </w:tc>
        <w:tc>
          <w:tcPr>
            <w:tcW w:type="dxa" w:w="1100"/>
            <w:shd w:fill="F0F4FA" w:val="clear"/>
            <w:tcMar>
              <w:top w:type="dxa" w:w="60"/>
              <w:start w:type="dxa" w:w="120"/>
              <w:bottom w:type="dxa" w:w="60"/>
              <w:end w:type="dxa" w:w="120"/>
            </w:tcMar>
          </w:tcPr>
          <w:p>
            <w:pPr>
              <w:jc w:val="center"/>
            </w:pPr>
            <w:r>
              <w:rPr>
                <w:color w:val="333333"/>
                <w:sz w:val="20"/>
                <w:szCs w:val="20"/>
                <w:rFonts w:ascii="Arial" w:hAnsi="Arial"/>
              </w:rPr>
              <w:t>16/20</w:t>
            </w:r>
          </w:p>
        </w:tc>
        <w:tc>
          <w:tcPr>
            <w:tcW w:type="dxa" w:w="900"/>
            <w:shd w:fill="F0F4FA" w:val="clear"/>
            <w:tcMar>
              <w:top w:type="dxa" w:w="60"/>
              <w:start w:type="dxa" w:w="120"/>
              <w:bottom w:type="dxa" w:w="60"/>
              <w:end w:type="dxa" w:w="120"/>
            </w:tcMar>
          </w:tcPr>
          <w:p>
            <w:pPr>
              <w:jc w:val="center"/>
            </w:pPr>
            <w:r>
              <w:rPr>
                <w:color w:val="333333"/>
                <w:sz w:val="20"/>
                <w:szCs w:val="20"/>
                <w:rFonts w:ascii="Arial" w:hAnsi="Arial"/>
              </w:rPr>
              <w:t>5/20</w:t>
            </w:r>
          </w:p>
        </w:tc>
        <w:tc>
          <w:tcPr>
            <w:tcW w:type="dxa" w:w="1260"/>
            <w:shd w:fill="F0F4FA" w:val="clear"/>
            <w:tcMar>
              <w:top w:type="dxa" w:w="60"/>
              <w:start w:type="dxa" w:w="120"/>
              <w:bottom w:type="dxa" w:w="60"/>
              <w:end w:type="dxa" w:w="120"/>
            </w:tcMar>
          </w:tcPr>
          <w:p>
            <w:pPr>
              <w:jc w:val="center"/>
            </w:pPr>
            <w:r>
              <w:rPr>
                <w:color w:val="333333"/>
                <w:sz w:val="20"/>
                <w:szCs w:val="20"/>
                <w:rFonts w:ascii="Arial" w:hAnsi="Arial"/>
              </w:rPr>
              <w:t>0.848</w:t>
            </w:r>
          </w:p>
        </w:tc>
      </w:tr>
      <w:tr>
        <w:tc>
          <w:tcPr>
            <w:tcW w:type="dxa" w:w="1800"/>
            <w:shd w:fill="FFFFFF" w:val="clear"/>
            <w:tcMar>
              <w:top w:type="dxa" w:w="60"/>
              <w:start w:type="dxa" w:w="120"/>
              <w:bottom w:type="dxa" w:w="60"/>
              <w:end w:type="dxa" w:w="120"/>
            </w:tcMar>
          </w:tcPr>
          <w:p>
            <w:pPr>
              <w:jc w:val="left"/>
            </w:pPr>
            <w:r>
              <w:rPr>
                <w:color w:val="333333"/>
                <w:sz w:val="20"/>
                <w:szCs w:val="20"/>
                <w:rFonts w:ascii="Arial" w:hAnsi="Arial"/>
              </w:rPr>
              <w:t>COG_S2</w:t>
            </w:r>
          </w:p>
        </w:tc>
        <w:tc>
          <w:tcPr>
            <w:tcW w:type="dxa" w:w="1400"/>
            <w:shd w:fill="FFFFFF" w:val="clear"/>
            <w:tcMar>
              <w:top w:type="dxa" w:w="60"/>
              <w:start w:type="dxa" w:w="120"/>
              <w:bottom w:type="dxa" w:w="60"/>
              <w:end w:type="dxa" w:w="120"/>
            </w:tcMar>
          </w:tcPr>
          <w:p>
            <w:pPr>
              <w:jc w:val="center"/>
            </w:pPr>
            <w:r>
              <w:rPr>
                <w:color w:val="333333"/>
                <w:sz w:val="20"/>
                <w:szCs w:val="20"/>
                <w:rFonts w:ascii="Arial" w:hAnsi="Arial"/>
              </w:rPr>
              <w:t>0.50</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4/20</w:t>
            </w:r>
          </w:p>
        </w:tc>
        <w:tc>
          <w:tcPr>
            <w:tcW w:type="dxa" w:w="1100"/>
            <w:shd w:fill="FFFFFF" w:val="clear"/>
            <w:tcMar>
              <w:top w:type="dxa" w:w="60"/>
              <w:start w:type="dxa" w:w="120"/>
              <w:bottom w:type="dxa" w:w="60"/>
              <w:end w:type="dxa" w:w="120"/>
            </w:tcMar>
          </w:tcPr>
          <w:p>
            <w:pPr>
              <w:jc w:val="center"/>
            </w:pPr>
            <w:r>
              <w:rPr>
                <w:color w:val="333333"/>
                <w:sz w:val="20"/>
                <w:szCs w:val="20"/>
                <w:rFonts w:ascii="Arial" w:hAnsi="Arial"/>
              </w:rPr>
              <w:t>16/20</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5/20</w:t>
            </w:r>
          </w:p>
        </w:tc>
        <w:tc>
          <w:tcPr>
            <w:tcW w:type="dxa" w:w="1260"/>
            <w:shd w:fill="FFFFFF" w:val="clear"/>
            <w:tcMar>
              <w:top w:type="dxa" w:w="60"/>
              <w:start w:type="dxa" w:w="120"/>
              <w:bottom w:type="dxa" w:w="60"/>
              <w:end w:type="dxa" w:w="120"/>
            </w:tcMar>
          </w:tcPr>
          <w:p>
            <w:pPr>
              <w:jc w:val="center"/>
            </w:pPr>
            <w:r>
              <w:rPr>
                <w:color w:val="333333"/>
                <w:sz w:val="20"/>
                <w:szCs w:val="20"/>
                <w:rFonts w:ascii="Arial" w:hAnsi="Arial"/>
              </w:rPr>
              <w:t>0.844</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FFFFFF" w:val="clear"/>
            <w:tcMar>
              <w:top w:type="dxa" w:w="60"/>
              <w:start w:type="dxa" w:w="200"/>
              <w:bottom w:type="dxa" w:w="60"/>
              <w:end w:type="dxa" w:w="200"/>
            </w:tcMar>
          </w:tcPr>
          <w:p>
            <w:pPr>
              <w:spacing w:before="40" w:after="40"/>
            </w:pPr>
            <w:r>
              <w:rPr>
                <w:i/>
                <w:iCs/>
                <w:color w:val="333333"/>
                <w:sz w:val="20"/>
                <w:szCs w:val="20"/>
                <w:rFonts w:ascii="Arial" w:hAnsi="Arial"/>
              </w:rPr>
              <w:t xml:space="preserve">Cognition became a real but moderate degradation axis once it gained a direct trust pathway. Not a catastrophic stress vector.</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2E5FA3" w:val="clear"/>
            <w:tcMar>
              <w:top w:type="dxa" w:w="120"/>
              <w:start w:type="dxa" w:w="200"/>
              <w:bottom w:type="dxa" w:w="120"/>
              <w:end w:type="dxa" w:w="200"/>
            </w:tcMar>
          </w:tcPr>
          <w:p>
            <w:pPr>
              <w:spacing w:before="120" w:after="80"/>
            </w:pPr>
            <w:r>
              <w:rPr>
                <w:b/>
                <w:bCs/>
                <w:color w:val="FFFFFF"/>
                <w:sz w:val="28"/>
                <w:szCs w:val="28"/>
                <w:rFonts w:ascii="Arial" w:hAnsi="Arial"/>
              </w:rPr>
              <w:t>Phase D — Interaction Tests</w:t>
            </w:r>
          </w:p>
        </w:tc>
      </w:tr>
    </w:tbl>
    <w:p>
      <w:pPr>
        <w:spacing w:before="80" w:after="80"/>
      </w:pPr>
    </w:p>
    <w:tbl>
      <w:tblPr>
        <w:tblW w:type="dxa" w:w="7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1800"/>
        <w:gridCol w:w="700"/>
        <w:gridCol w:w="900"/>
        <w:gridCol w:w="800"/>
        <w:gridCol w:w="900"/>
        <w:gridCol w:w="900"/>
        <w:gridCol w:w="1360"/>
      </w:tblGrid>
      <w:tr>
        <w:tc>
          <w:tcPr>
            <w:tcW w:type="dxa" w:w="1800"/>
            <w:shd w:fill="1A2E4A" w:val="clear"/>
            <w:tcMar>
              <w:top w:type="dxa" w:w="80"/>
              <w:start w:type="dxa" w:w="120"/>
              <w:bottom w:type="dxa" w:w="80"/>
              <w:end w:type="dxa" w:w="120"/>
            </w:tcMar>
          </w:tcPr>
          <w:p>
            <w:pPr>
              <w:jc w:val="center"/>
            </w:pPr>
            <w:r>
              <w:rPr>
                <w:b/>
                <w:bCs/>
                <w:color w:val="FFFFFF"/>
                <w:sz w:val="20"/>
                <w:szCs w:val="20"/>
                <w:rFonts w:ascii="Arial" w:hAnsi="Arial"/>
              </w:rPr>
              <w:t>Experiment</w:t>
            </w:r>
          </w:p>
        </w:tc>
        <w:tc>
          <w:tcPr>
            <w:tcW w:type="dxa" w:w="700"/>
            <w:shd w:fill="1A2E4A" w:val="clear"/>
            <w:tcMar>
              <w:top w:type="dxa" w:w="80"/>
              <w:start w:type="dxa" w:w="120"/>
              <w:bottom w:type="dxa" w:w="80"/>
              <w:end w:type="dxa" w:w="120"/>
            </w:tcMar>
          </w:tcPr>
          <w:p>
            <w:pPr>
              <w:jc w:val="center"/>
            </w:pPr>
            <w:r>
              <w:rPr>
                <w:b/>
                <w:bCs/>
                <w:color w:val="FFFFFF"/>
                <w:sz w:val="20"/>
                <w:szCs w:val="20"/>
                <w:rFonts w:ascii="Arial" w:hAnsi="Arial"/>
              </w:rPr>
              <w:t>noise</w:t>
            </w:r>
          </w:p>
        </w:tc>
        <w:tc>
          <w:tcPr>
            <w:tcW w:type="dxa" w:w="900"/>
            <w:shd w:fill="1A2E4A" w:val="clear"/>
            <w:tcMar>
              <w:top w:type="dxa" w:w="80"/>
              <w:start w:type="dxa" w:w="120"/>
              <w:bottom w:type="dxa" w:w="80"/>
              <w:end w:type="dxa" w:w="120"/>
            </w:tcMar>
          </w:tcPr>
          <w:p>
            <w:pPr>
              <w:jc w:val="center"/>
            </w:pPr>
            <w:r>
              <w:rPr>
                <w:b/>
                <w:bCs/>
                <w:color w:val="FFFFFF"/>
                <w:sz w:val="20"/>
                <w:szCs w:val="20"/>
                <w:rFonts w:ascii="Arial" w:hAnsi="Arial"/>
              </w:rPr>
              <w:t>shock_prob</w:t>
            </w:r>
          </w:p>
        </w:tc>
        <w:tc>
          <w:tcPr>
            <w:tcW w:type="dxa" w:w="800"/>
            <w:shd w:fill="1A2E4A" w:val="clear"/>
            <w:tcMar>
              <w:top w:type="dxa" w:w="80"/>
              <w:start w:type="dxa" w:w="120"/>
              <w:bottom w:type="dxa" w:w="80"/>
              <w:end w:type="dxa" w:w="120"/>
            </w:tcMar>
          </w:tcPr>
          <w:p>
            <w:pPr>
              <w:jc w:val="center"/>
            </w:pPr>
            <w:r>
              <w:rPr>
                <w:b/>
                <w:bCs/>
                <w:color w:val="FFFFFF"/>
                <w:sz w:val="20"/>
                <w:szCs w:val="20"/>
                <w:rFonts w:ascii="Arial" w:hAnsi="Arial"/>
              </w:rPr>
              <w:t>emot. wt.</w:t>
            </w:r>
          </w:p>
        </w:tc>
        <w:tc>
          <w:tcPr>
            <w:tcW w:type="dxa" w:w="900"/>
            <w:shd w:fill="1A2E4A" w:val="clear"/>
            <w:tcMar>
              <w:top w:type="dxa" w:w="80"/>
              <w:start w:type="dxa" w:w="120"/>
              <w:bottom w:type="dxa" w:w="80"/>
              <w:end w:type="dxa" w:w="120"/>
            </w:tcMar>
          </w:tcPr>
          <w:p>
            <w:pPr>
              <w:jc w:val="center"/>
            </w:pPr>
            <w:r>
              <w:rPr>
                <w:b/>
                <w:bCs/>
                <w:color w:val="FFFFFF"/>
                <w:sz w:val="20"/>
                <w:szCs w:val="20"/>
                <w:rFonts w:ascii="Arial" w:hAnsi="Arial"/>
              </w:rPr>
              <w:t>Stable / 20</w:t>
            </w:r>
          </w:p>
        </w:tc>
        <w:tc>
          <w:tcPr>
            <w:tcW w:type="dxa" w:w="900"/>
            <w:shd w:fill="1A2E4A" w:val="clear"/>
            <w:tcMar>
              <w:top w:type="dxa" w:w="80"/>
              <w:start w:type="dxa" w:w="120"/>
              <w:bottom w:type="dxa" w:w="80"/>
              <w:end w:type="dxa" w:w="120"/>
            </w:tcMar>
          </w:tcPr>
          <w:p>
            <w:pPr>
              <w:jc w:val="center"/>
            </w:pPr>
            <w:r>
              <w:rPr>
                <w:b/>
                <w:bCs/>
                <w:color w:val="FFFFFF"/>
                <w:sz w:val="20"/>
                <w:szCs w:val="20"/>
                <w:rFonts w:ascii="Arial" w:hAnsi="Arial"/>
              </w:rPr>
              <w:t>Fragile / 20</w:t>
            </w:r>
          </w:p>
        </w:tc>
        <w:tc>
          <w:tcPr>
            <w:tcW w:type="dxa" w:w="1360"/>
            <w:shd w:fill="1A2E4A" w:val="clear"/>
            <w:tcMar>
              <w:top w:type="dxa" w:w="80"/>
              <w:start w:type="dxa" w:w="120"/>
              <w:bottom w:type="dxa" w:w="80"/>
              <w:end w:type="dxa" w:w="120"/>
            </w:tcMar>
          </w:tcPr>
          <w:p>
            <w:pPr>
              <w:jc w:val="center"/>
            </w:pPr>
            <w:r>
              <w:rPr>
                <w:b/>
                <w:bCs/>
                <w:color w:val="FFFFFF"/>
                <w:sz w:val="20"/>
                <w:szCs w:val="20"/>
                <w:rFonts w:ascii="Arial" w:hAnsi="Arial"/>
              </w:rPr>
              <w:t>Avg Coop.</w:t>
            </w:r>
          </w:p>
        </w:tc>
      </w:tr>
      <w:tr>
        <w:tc>
          <w:tcPr>
            <w:tcW w:type="dxa" w:w="1800"/>
            <w:shd w:fill="FFFFFF" w:val="clear"/>
            <w:tcMar>
              <w:top w:type="dxa" w:w="60"/>
              <w:start w:type="dxa" w:w="120"/>
              <w:bottom w:type="dxa" w:w="60"/>
              <w:end w:type="dxa" w:w="120"/>
            </w:tcMar>
          </w:tcPr>
          <w:p>
            <w:pPr>
              <w:jc w:val="left"/>
            </w:pPr>
            <w:r>
              <w:rPr>
                <w:color w:val="333333"/>
                <w:sz w:val="20"/>
                <w:szCs w:val="20"/>
                <w:rFonts w:ascii="Arial" w:hAnsi="Arial"/>
              </w:rPr>
              <w:t>BASELINE_LOCK_v2</w:t>
            </w:r>
          </w:p>
        </w:tc>
        <w:tc>
          <w:tcPr>
            <w:tcW w:type="dxa" w:w="700"/>
            <w:shd w:fill="FFFFFF" w:val="clear"/>
            <w:tcMar>
              <w:top w:type="dxa" w:w="60"/>
              <w:start w:type="dxa" w:w="120"/>
              <w:bottom w:type="dxa" w:w="60"/>
              <w:end w:type="dxa" w:w="120"/>
            </w:tcMar>
          </w:tcPr>
          <w:p>
            <w:pPr>
              <w:jc w:val="center"/>
            </w:pPr>
            <w:r>
              <w:rPr>
                <w:color w:val="333333"/>
                <w:sz w:val="20"/>
                <w:szCs w:val="20"/>
                <w:rFonts w:ascii="Arial" w:hAnsi="Arial"/>
              </w:rPr>
              <w:t>0.05</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w:t>
            </w:r>
          </w:p>
        </w:tc>
        <w:tc>
          <w:tcPr>
            <w:tcW w:type="dxa" w:w="800"/>
            <w:shd w:fill="FFFFFF" w:val="clear"/>
            <w:tcMar>
              <w:top w:type="dxa" w:w="60"/>
              <w:start w:type="dxa" w:w="120"/>
              <w:bottom w:type="dxa" w:w="60"/>
              <w:end w:type="dxa" w:w="120"/>
            </w:tcMar>
          </w:tcPr>
          <w:p>
            <w:pPr>
              <w:jc w:val="center"/>
            </w:pPr>
            <w:r>
              <w:rPr>
                <w:color w:val="333333"/>
                <w:sz w:val="20"/>
                <w:szCs w:val="20"/>
                <w:rFonts w:ascii="Arial" w:hAnsi="Arial"/>
              </w:rPr>
              <w:t>0.30</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5/20</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4/20</w:t>
            </w:r>
          </w:p>
        </w:tc>
        <w:tc>
          <w:tcPr>
            <w:tcW w:type="dxa" w:w="1360"/>
            <w:shd w:fill="FFFFFF" w:val="clear"/>
            <w:tcMar>
              <w:top w:type="dxa" w:w="60"/>
              <w:start w:type="dxa" w:w="120"/>
              <w:bottom w:type="dxa" w:w="60"/>
              <w:end w:type="dxa" w:w="120"/>
            </w:tcMar>
          </w:tcPr>
          <w:p>
            <w:pPr>
              <w:jc w:val="center"/>
            </w:pPr>
            <w:r>
              <w:rPr>
                <w:color w:val="333333"/>
                <w:sz w:val="20"/>
                <w:szCs w:val="20"/>
                <w:rFonts w:ascii="Arial" w:hAnsi="Arial"/>
              </w:rPr>
              <w:t>0.852</w:t>
            </w:r>
          </w:p>
        </w:tc>
      </w:tr>
      <w:tr>
        <w:tc>
          <w:tcPr>
            <w:tcW w:type="dxa" w:w="1800"/>
            <w:shd w:fill="F0F4FA" w:val="clear"/>
            <w:tcMar>
              <w:top w:type="dxa" w:w="60"/>
              <w:start w:type="dxa" w:w="120"/>
              <w:bottom w:type="dxa" w:w="60"/>
              <w:end w:type="dxa" w:w="120"/>
            </w:tcMar>
          </w:tcPr>
          <w:p>
            <w:pPr>
              <w:jc w:val="left"/>
            </w:pPr>
            <w:r>
              <w:rPr>
                <w:color w:val="333333"/>
                <w:sz w:val="20"/>
                <w:szCs w:val="20"/>
                <w:rFonts w:ascii="Arial" w:hAnsi="Arial"/>
              </w:rPr>
              <w:t>X1: Shock + Cog</w:t>
            </w:r>
          </w:p>
        </w:tc>
        <w:tc>
          <w:tcPr>
            <w:tcW w:type="dxa" w:w="700"/>
            <w:shd w:fill="F0F4FA" w:val="clear"/>
            <w:tcMar>
              <w:top w:type="dxa" w:w="60"/>
              <w:start w:type="dxa" w:w="120"/>
              <w:bottom w:type="dxa" w:w="60"/>
              <w:end w:type="dxa" w:w="120"/>
            </w:tcMar>
          </w:tcPr>
          <w:p>
            <w:pPr>
              <w:jc w:val="center"/>
            </w:pPr>
            <w:r>
              <w:rPr>
                <w:color w:val="333333"/>
                <w:sz w:val="20"/>
                <w:szCs w:val="20"/>
                <w:rFonts w:ascii="Arial" w:hAnsi="Arial"/>
              </w:rPr>
              <w:t>0.05</w:t>
            </w:r>
          </w:p>
        </w:tc>
        <w:tc>
          <w:tcPr>
            <w:tcW w:type="dxa" w:w="900"/>
            <w:shd w:fill="F0F4FA" w:val="clear"/>
            <w:tcMar>
              <w:top w:type="dxa" w:w="60"/>
              <w:start w:type="dxa" w:w="120"/>
              <w:bottom w:type="dxa" w:w="60"/>
              <w:end w:type="dxa" w:w="120"/>
            </w:tcMar>
          </w:tcPr>
          <w:p>
            <w:pPr>
              <w:jc w:val="center"/>
            </w:pPr>
            <w:r>
              <w:rPr>
                <w:color w:val="333333"/>
                <w:sz w:val="20"/>
                <w:szCs w:val="20"/>
                <w:rFonts w:ascii="Arial" w:hAnsi="Arial"/>
              </w:rPr>
              <w:t>0.15</w:t>
            </w:r>
          </w:p>
        </w:tc>
        <w:tc>
          <w:tcPr>
            <w:tcW w:type="dxa" w:w="800"/>
            <w:shd w:fill="F0F4FA" w:val="clear"/>
            <w:tcMar>
              <w:top w:type="dxa" w:w="60"/>
              <w:start w:type="dxa" w:w="120"/>
              <w:bottom w:type="dxa" w:w="60"/>
              <w:end w:type="dxa" w:w="120"/>
            </w:tcMar>
          </w:tcPr>
          <w:p>
            <w:pPr>
              <w:jc w:val="center"/>
            </w:pPr>
            <w:r>
              <w:rPr>
                <w:color w:val="333333"/>
                <w:sz w:val="20"/>
                <w:szCs w:val="20"/>
                <w:rFonts w:ascii="Arial" w:hAnsi="Arial"/>
              </w:rPr>
              <w:t>0.40</w:t>
            </w:r>
          </w:p>
        </w:tc>
        <w:tc>
          <w:tcPr>
            <w:tcW w:type="dxa" w:w="900"/>
            <w:shd w:fill="F0F4FA" w:val="clear"/>
            <w:tcMar>
              <w:top w:type="dxa" w:w="60"/>
              <w:start w:type="dxa" w:w="120"/>
              <w:bottom w:type="dxa" w:w="60"/>
              <w:end w:type="dxa" w:w="120"/>
            </w:tcMar>
          </w:tcPr>
          <w:p>
            <w:pPr>
              <w:jc w:val="center"/>
            </w:pPr>
            <w:r>
              <w:rPr>
                <w:color w:val="333333"/>
                <w:sz w:val="20"/>
                <w:szCs w:val="20"/>
                <w:rFonts w:ascii="Arial" w:hAnsi="Arial"/>
              </w:rPr>
              <w:t>2/20</w:t>
            </w:r>
          </w:p>
        </w:tc>
        <w:tc>
          <w:tcPr>
            <w:tcW w:type="dxa" w:w="900"/>
            <w:shd w:fill="F0F4FA" w:val="clear"/>
            <w:tcMar>
              <w:top w:type="dxa" w:w="60"/>
              <w:start w:type="dxa" w:w="120"/>
              <w:bottom w:type="dxa" w:w="60"/>
              <w:end w:type="dxa" w:w="120"/>
            </w:tcMar>
          </w:tcPr>
          <w:p>
            <w:pPr>
              <w:jc w:val="center"/>
            </w:pPr>
            <w:r>
              <w:rPr>
                <w:color w:val="333333"/>
                <w:sz w:val="20"/>
                <w:szCs w:val="20"/>
                <w:rFonts w:ascii="Arial" w:hAnsi="Arial"/>
              </w:rPr>
              <w:t>6/20</w:t>
            </w:r>
          </w:p>
        </w:tc>
        <w:tc>
          <w:tcPr>
            <w:tcW w:type="dxa" w:w="1360"/>
            <w:shd w:fill="F0F4FA" w:val="clear"/>
            <w:tcMar>
              <w:top w:type="dxa" w:w="60"/>
              <w:start w:type="dxa" w:w="120"/>
              <w:bottom w:type="dxa" w:w="60"/>
              <w:end w:type="dxa" w:w="120"/>
            </w:tcMar>
          </w:tcPr>
          <w:p>
            <w:pPr>
              <w:jc w:val="center"/>
            </w:pPr>
            <w:r>
              <w:rPr>
                <w:color w:val="333333"/>
                <w:sz w:val="20"/>
                <w:szCs w:val="20"/>
                <w:rFonts w:ascii="Arial" w:hAnsi="Arial"/>
              </w:rPr>
              <w:t>0.828</w:t>
            </w:r>
          </w:p>
        </w:tc>
      </w:tr>
      <w:tr>
        <w:tc>
          <w:tcPr>
            <w:tcW w:type="dxa" w:w="1800"/>
            <w:shd w:fill="FFFFFF" w:val="clear"/>
            <w:tcMar>
              <w:top w:type="dxa" w:w="60"/>
              <w:start w:type="dxa" w:w="120"/>
              <w:bottom w:type="dxa" w:w="60"/>
              <w:end w:type="dxa" w:w="120"/>
            </w:tcMar>
          </w:tcPr>
          <w:p>
            <w:pPr>
              <w:jc w:val="left"/>
            </w:pPr>
            <w:r>
              <w:rPr>
                <w:color w:val="333333"/>
                <w:sz w:val="20"/>
                <w:szCs w:val="20"/>
                <w:rFonts w:ascii="Arial" w:hAnsi="Arial"/>
              </w:rPr>
              <w:t>X2: Noise + Cog</w:t>
            </w:r>
          </w:p>
        </w:tc>
        <w:tc>
          <w:tcPr>
            <w:tcW w:type="dxa" w:w="700"/>
            <w:shd w:fill="FFFFFF" w:val="clear"/>
            <w:tcMar>
              <w:top w:type="dxa" w:w="60"/>
              <w:start w:type="dxa" w:w="120"/>
              <w:bottom w:type="dxa" w:w="60"/>
              <w:end w:type="dxa" w:w="120"/>
            </w:tcMar>
          </w:tcPr>
          <w:p>
            <w:pPr>
              <w:jc w:val="center"/>
            </w:pPr>
            <w:r>
              <w:rPr>
                <w:color w:val="333333"/>
                <w:sz w:val="20"/>
                <w:szCs w:val="20"/>
                <w:rFonts w:ascii="Arial" w:hAnsi="Arial"/>
              </w:rPr>
              <w:t>0.06</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w:t>
            </w:r>
          </w:p>
        </w:tc>
        <w:tc>
          <w:tcPr>
            <w:tcW w:type="dxa" w:w="800"/>
            <w:shd w:fill="FFFFFF" w:val="clear"/>
            <w:tcMar>
              <w:top w:type="dxa" w:w="60"/>
              <w:start w:type="dxa" w:w="120"/>
              <w:bottom w:type="dxa" w:w="60"/>
              <w:end w:type="dxa" w:w="120"/>
            </w:tcMar>
          </w:tcPr>
          <w:p>
            <w:pPr>
              <w:jc w:val="center"/>
            </w:pPr>
            <w:r>
              <w:rPr>
                <w:color w:val="333333"/>
                <w:sz w:val="20"/>
                <w:szCs w:val="20"/>
                <w:rFonts w:ascii="Arial" w:hAnsi="Arial"/>
              </w:rPr>
              <w:t>0.40</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4/20</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5/20</w:t>
            </w:r>
          </w:p>
        </w:tc>
        <w:tc>
          <w:tcPr>
            <w:tcW w:type="dxa" w:w="1360"/>
            <w:shd w:fill="FFFFFF" w:val="clear"/>
            <w:tcMar>
              <w:top w:type="dxa" w:w="60"/>
              <w:start w:type="dxa" w:w="120"/>
              <w:bottom w:type="dxa" w:w="60"/>
              <w:end w:type="dxa" w:w="120"/>
            </w:tcMar>
          </w:tcPr>
          <w:p>
            <w:pPr>
              <w:jc w:val="center"/>
            </w:pPr>
            <w:r>
              <w:rPr>
                <w:color w:val="333333"/>
                <w:sz w:val="20"/>
                <w:szCs w:val="20"/>
                <w:rFonts w:ascii="Arial" w:hAnsi="Arial"/>
              </w:rPr>
              <w:t>0.843</w:t>
            </w:r>
          </w:p>
        </w:tc>
      </w:tr>
      <w:tr>
        <w:tc>
          <w:tcPr>
            <w:tcW w:type="dxa" w:w="1800"/>
            <w:shd w:fill="F0F4FA" w:val="clear"/>
            <w:tcMar>
              <w:top w:type="dxa" w:w="60"/>
              <w:start w:type="dxa" w:w="120"/>
              <w:bottom w:type="dxa" w:w="60"/>
              <w:end w:type="dxa" w:w="120"/>
            </w:tcMar>
          </w:tcPr>
          <w:p>
            <w:pPr>
              <w:jc w:val="left"/>
            </w:pPr>
            <w:r>
              <w:rPr>
                <w:color w:val="333333"/>
                <w:sz w:val="20"/>
                <w:szCs w:val="20"/>
                <w:rFonts w:ascii="Arial" w:hAnsi="Arial"/>
              </w:rPr>
              <w:t>X3: Triple</w:t>
            </w:r>
          </w:p>
        </w:tc>
        <w:tc>
          <w:tcPr>
            <w:tcW w:type="dxa" w:w="700"/>
            <w:shd w:fill="F0F4FA" w:val="clear"/>
            <w:tcMar>
              <w:top w:type="dxa" w:w="60"/>
              <w:start w:type="dxa" w:w="120"/>
              <w:bottom w:type="dxa" w:w="60"/>
              <w:end w:type="dxa" w:w="120"/>
            </w:tcMar>
          </w:tcPr>
          <w:p>
            <w:pPr>
              <w:jc w:val="center"/>
            </w:pPr>
            <w:r>
              <w:rPr>
                <w:color w:val="333333"/>
                <w:sz w:val="20"/>
                <w:szCs w:val="20"/>
                <w:rFonts w:ascii="Arial" w:hAnsi="Arial"/>
              </w:rPr>
              <w:t>0.06</w:t>
            </w:r>
          </w:p>
        </w:tc>
        <w:tc>
          <w:tcPr>
            <w:tcW w:type="dxa" w:w="900"/>
            <w:shd w:fill="F0F4FA" w:val="clear"/>
            <w:tcMar>
              <w:top w:type="dxa" w:w="60"/>
              <w:start w:type="dxa" w:w="120"/>
              <w:bottom w:type="dxa" w:w="60"/>
              <w:end w:type="dxa" w:w="120"/>
            </w:tcMar>
          </w:tcPr>
          <w:p>
            <w:pPr>
              <w:jc w:val="center"/>
            </w:pPr>
            <w:r>
              <w:rPr>
                <w:color w:val="333333"/>
                <w:sz w:val="20"/>
                <w:szCs w:val="20"/>
                <w:rFonts w:ascii="Arial" w:hAnsi="Arial"/>
              </w:rPr>
              <w:t>0.15</w:t>
            </w:r>
          </w:p>
        </w:tc>
        <w:tc>
          <w:tcPr>
            <w:tcW w:type="dxa" w:w="800"/>
            <w:shd w:fill="F0F4FA" w:val="clear"/>
            <w:tcMar>
              <w:top w:type="dxa" w:w="60"/>
              <w:start w:type="dxa" w:w="120"/>
              <w:bottom w:type="dxa" w:w="60"/>
              <w:end w:type="dxa" w:w="120"/>
            </w:tcMar>
          </w:tcPr>
          <w:p>
            <w:pPr>
              <w:jc w:val="center"/>
            </w:pPr>
            <w:r>
              <w:rPr>
                <w:color w:val="333333"/>
                <w:sz w:val="20"/>
                <w:szCs w:val="20"/>
                <w:rFonts w:ascii="Arial" w:hAnsi="Arial"/>
              </w:rPr>
              <w:t>0.40</w:t>
            </w:r>
          </w:p>
        </w:tc>
        <w:tc>
          <w:tcPr>
            <w:tcW w:type="dxa" w:w="900"/>
            <w:shd w:fill="F0F4FA" w:val="clear"/>
            <w:tcMar>
              <w:top w:type="dxa" w:w="60"/>
              <w:start w:type="dxa" w:w="120"/>
              <w:bottom w:type="dxa" w:w="60"/>
              <w:end w:type="dxa" w:w="120"/>
            </w:tcMar>
          </w:tcPr>
          <w:p>
            <w:pPr>
              <w:jc w:val="center"/>
            </w:pPr>
            <w:r>
              <w:rPr>
                <w:color w:val="333333"/>
                <w:sz w:val="20"/>
                <w:szCs w:val="20"/>
                <w:rFonts w:ascii="Arial" w:hAnsi="Arial"/>
              </w:rPr>
              <w:t>2/20</w:t>
            </w:r>
          </w:p>
        </w:tc>
        <w:tc>
          <w:tcPr>
            <w:tcW w:type="dxa" w:w="900"/>
            <w:shd w:fill="F0F4FA" w:val="clear"/>
            <w:tcMar>
              <w:top w:type="dxa" w:w="60"/>
              <w:start w:type="dxa" w:w="120"/>
              <w:bottom w:type="dxa" w:w="60"/>
              <w:end w:type="dxa" w:w="120"/>
            </w:tcMar>
          </w:tcPr>
          <w:p>
            <w:pPr>
              <w:jc w:val="center"/>
            </w:pPr>
            <w:r>
              <w:rPr>
                <w:color w:val="333333"/>
                <w:sz w:val="20"/>
                <w:szCs w:val="20"/>
                <w:rFonts w:ascii="Arial" w:hAnsi="Arial"/>
              </w:rPr>
              <w:t>7/20</w:t>
            </w:r>
          </w:p>
        </w:tc>
        <w:tc>
          <w:tcPr>
            <w:tcW w:type="dxa" w:w="1360"/>
            <w:shd w:fill="F0F4FA" w:val="clear"/>
            <w:tcMar>
              <w:top w:type="dxa" w:w="60"/>
              <w:start w:type="dxa" w:w="120"/>
              <w:bottom w:type="dxa" w:w="60"/>
              <w:end w:type="dxa" w:w="120"/>
            </w:tcMar>
          </w:tcPr>
          <w:p>
            <w:pPr>
              <w:jc w:val="center"/>
            </w:pPr>
            <w:r>
              <w:rPr>
                <w:color w:val="333333"/>
                <w:sz w:val="20"/>
                <w:szCs w:val="20"/>
                <w:rFonts w:ascii="Arial" w:hAnsi="Arial"/>
              </w:rPr>
              <w:t>0.816</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FFFFFF" w:val="clear"/>
            <w:tcMar>
              <w:top w:type="dxa" w:w="60"/>
              <w:start w:type="dxa" w:w="200"/>
              <w:bottom w:type="dxa" w:w="60"/>
              <w:end w:type="dxa" w:w="200"/>
            </w:tcMar>
          </w:tcPr>
          <w:p>
            <w:pPr>
              <w:spacing w:before="40" w:after="40"/>
            </w:pPr>
            <w:r>
              <w:rPr>
                <w:color w:val="333333"/>
                <w:sz w:val="20"/>
                <w:szCs w:val="20"/>
                <w:rFonts w:ascii="Arial" w:hAnsi="Arial"/>
              </w:rPr>
              <w:t xml:space="preserve">Combined stressors produced the strongest degradation observed. Shock + cognitive degraded stability more severely than noise + cognitive.</w:t>
            </w:r>
          </w:p>
        </w:tc>
      </w:tr>
      <w:tr>
        <w:tc>
          <w:tcPr>
            <w:tcW w:type="dxa" w:w="9360"/>
            <w:shd w:fill="FFFFFF" w:val="clear"/>
            <w:tcMar>
              <w:top w:type="dxa" w:w="60"/>
              <w:start w:type="dxa" w:w="200"/>
              <w:bottom w:type="dxa" w:w="60"/>
              <w:end w:type="dxa" w:w="200"/>
            </w:tcMar>
          </w:tcPr>
          <w:p>
            <w:pPr>
              <w:spacing w:before="40" w:after="40"/>
            </w:pPr>
            <w:r>
              <w:rPr>
                <w:i/>
                <w:iCs/>
                <w:color w:val="B8860B"/>
                <w:sz w:val="20"/>
                <w:szCs w:val="20"/>
                <w:rFonts w:ascii="Arial" w:hAnsi="Arial"/>
              </w:rPr>
              <w:t xml:space="preserve">Caution: additive vs. multiplicative interaction strength not yet isolated. Shock-only controls were not rerun on the v2 baseline.</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C0392B" w:val="clear"/>
            <w:tcMar>
              <w:top w:type="dxa" w:w="120"/>
              <w:start w:type="dxa" w:w="200"/>
              <w:bottom w:type="dxa" w:w="120"/>
              <w:end w:type="dxa" w:w="200"/>
            </w:tcMar>
          </w:tcPr>
          <w:p>
            <w:pPr>
              <w:spacing w:before="120" w:after="80"/>
            </w:pPr>
            <w:r>
              <w:rPr>
                <w:b/>
                <w:bCs/>
                <w:color w:val="FFFFFF"/>
                <w:sz w:val="28"/>
                <w:szCs w:val="28"/>
                <w:rFonts w:ascii="Arial" w:hAnsi="Arial"/>
              </w:rPr>
              <w:t>Governance Null — Diagnostic Addendum</w:t>
            </w:r>
          </w:p>
        </w:tc>
      </w:tr>
      <w:tr>
        <w:tc>
          <w:tcPr>
            <w:tcW w:type="dxa" w:w="9360"/>
            <w:shd w:fill="FDECEA" w:val="clear"/>
            <w:tcMar>
              <w:top w:type="dxa" w:w="60"/>
              <w:start w:type="dxa" w:w="200"/>
              <w:bottom w:type="dxa" w:w="60"/>
              <w:end w:type="dxa" w:w="200"/>
            </w:tcMar>
          </w:tcPr>
          <w:p>
            <w:pPr>
              <w:spacing w:before="40" w:after="40"/>
            </w:pPr>
            <w:r>
              <w:rPr>
                <w:color w:val="333333"/>
                <w:sz w:val="20"/>
                <w:szCs w:val="20"/>
                <w:rFonts w:ascii="Arial" w:hAnsi="Arial"/>
              </w:rPr>
              <w:t xml:space="preserve">governance_capacity was increased by 40% (0.50 → 0.70) in the early branch.</w:t>
            </w:r>
          </w:p>
        </w:tc>
      </w:tr>
      <w:tr>
        <w:tc>
          <w:tcPr>
            <w:tcW w:type="dxa" w:w="9360"/>
            <w:shd w:fill="FDECEA" w:val="clear"/>
            <w:tcMar>
              <w:top w:type="dxa" w:w="60"/>
              <w:start w:type="dxa" w:w="200"/>
              <w:bottom w:type="dxa" w:w="60"/>
              <w:end w:type="dxa" w:w="200"/>
            </w:tcMar>
          </w:tcPr>
          <w:p>
            <w:pPr>
              <w:spacing w:before="40" w:after="40"/>
            </w:pPr>
            <w:r>
              <w:rPr>
                <w:color w:val="333333"/>
                <w:sz w:val="20"/>
                <w:szCs w:val="20"/>
                <w:rFonts w:ascii="Arial" w:hAnsi="Arial"/>
              </w:rPr>
              <w:t xml:space="preserve">The observed effect was near-zero (+0.002 average cooperation, marginal recovery improvement).</w:t>
            </w:r>
          </w:p>
        </w:tc>
      </w:tr>
      <w:tr>
        <w:tc>
          <w:tcPr>
            <w:tcW w:type="dxa" w:w="9360"/>
            <w:shd w:fill="FDECEA" w:val="clear"/>
            <w:tcMar>
              <w:top w:type="dxa" w:w="60"/>
              <w:start w:type="dxa" w:w="200"/>
              <w:bottom w:type="dxa" w:w="60"/>
              <w:end w:type="dxa" w:w="200"/>
            </w:tcMar>
          </w:tcPr>
          <w:p>
            <w:pPr>
              <w:spacing w:before="40" w:after="40"/>
            </w:pPr>
            <w:r>
              <w:rPr>
                <w:color w:val="C0392B"/>
                <w:sz w:val="20"/>
                <w:szCs w:val="20"/>
                <w:rFonts w:ascii="Arial" w:hAnsi="Arial"/>
              </w:rPr>
              <w:t xml:space="preserve">This is a model validity question, not a precision limitation: is governance correctly wired into the model?</w:t>
            </w:r>
          </w:p>
        </w:tc>
      </w:tr>
    </w:tbl>
    <w:p>
      <w:pPr>
        <w:spacing w:before="80" w:after="80"/>
      </w:pPr>
    </w:p>
    <w:tbl>
      <w:tblPr>
        <w:tblW w:type="dxa" w:w="89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200"/>
        <w:gridCol w:w="1600"/>
        <w:gridCol w:w="900"/>
        <w:gridCol w:w="1000"/>
        <w:gridCol w:w="3260"/>
      </w:tblGrid>
      <w:tr>
        <w:tc>
          <w:tcPr>
            <w:tcW w:type="dxa" w:w="2200"/>
            <w:shd w:fill="1A2E4A" w:val="clear"/>
            <w:tcMar>
              <w:top w:type="dxa" w:w="80"/>
              <w:start w:type="dxa" w:w="120"/>
              <w:bottom w:type="dxa" w:w="80"/>
              <w:end w:type="dxa" w:w="120"/>
            </w:tcMar>
          </w:tcPr>
          <w:p>
            <w:pPr>
              <w:jc w:val="center"/>
            </w:pPr>
            <w:r>
              <w:rPr>
                <w:b/>
                <w:bCs/>
                <w:color w:val="FFFFFF"/>
                <w:sz w:val="20"/>
                <w:szCs w:val="20"/>
                <w:rFonts w:ascii="Arial" w:hAnsi="Arial"/>
              </w:rPr>
              <w:t>Experiment</w:t>
            </w:r>
          </w:p>
        </w:tc>
        <w:tc>
          <w:tcPr>
            <w:tcW w:type="dxa" w:w="1600"/>
            <w:shd w:fill="1A2E4A" w:val="clear"/>
            <w:tcMar>
              <w:top w:type="dxa" w:w="80"/>
              <w:start w:type="dxa" w:w="120"/>
              <w:bottom w:type="dxa" w:w="80"/>
              <w:end w:type="dxa" w:w="120"/>
            </w:tcMar>
          </w:tcPr>
          <w:p>
            <w:pPr>
              <w:jc w:val="center"/>
            </w:pPr>
            <w:r>
              <w:rPr>
                <w:b/>
                <w:bCs/>
                <w:color w:val="FFFFFF"/>
                <w:sz w:val="20"/>
                <w:szCs w:val="20"/>
                <w:rFonts w:ascii="Arial" w:hAnsi="Arial"/>
              </w:rPr>
              <w:t>governance_capacity</w:t>
            </w:r>
          </w:p>
        </w:tc>
        <w:tc>
          <w:tcPr>
            <w:tcW w:type="dxa" w:w="900"/>
            <w:shd w:fill="1A2E4A" w:val="clear"/>
            <w:tcMar>
              <w:top w:type="dxa" w:w="80"/>
              <w:start w:type="dxa" w:w="120"/>
              <w:bottom w:type="dxa" w:w="80"/>
              <w:end w:type="dxa" w:w="120"/>
            </w:tcMar>
          </w:tcPr>
          <w:p>
            <w:pPr>
              <w:jc w:val="center"/>
            </w:pPr>
            <w:r>
              <w:rPr>
                <w:b/>
                <w:bCs/>
                <w:color w:val="FFFFFF"/>
                <w:sz w:val="20"/>
                <w:szCs w:val="20"/>
                <w:rFonts w:ascii="Arial" w:hAnsi="Arial"/>
              </w:rPr>
              <w:t>Stable / 20</w:t>
            </w:r>
          </w:p>
        </w:tc>
        <w:tc>
          <w:tcPr>
            <w:tcW w:type="dxa" w:w="1000"/>
            <w:shd w:fill="1A2E4A" w:val="clear"/>
            <w:tcMar>
              <w:top w:type="dxa" w:w="80"/>
              <w:start w:type="dxa" w:w="120"/>
              <w:bottom w:type="dxa" w:w="80"/>
              <w:end w:type="dxa" w:w="120"/>
            </w:tcMar>
          </w:tcPr>
          <w:p>
            <w:pPr>
              <w:jc w:val="center"/>
            </w:pPr>
            <w:r>
              <w:rPr>
                <w:b/>
                <w:bCs/>
                <w:color w:val="FFFFFF"/>
                <w:sz w:val="20"/>
                <w:szCs w:val="20"/>
                <w:rFonts w:ascii="Arial" w:hAnsi="Arial"/>
              </w:rPr>
              <w:t>Avg Coop.</w:t>
            </w:r>
          </w:p>
        </w:tc>
        <w:tc>
          <w:tcPr>
            <w:tcW w:type="dxa" w:w="3260"/>
            <w:shd w:fill="1A2E4A" w:val="clear"/>
            <w:tcMar>
              <w:top w:type="dxa" w:w="80"/>
              <w:start w:type="dxa" w:w="120"/>
              <w:bottom w:type="dxa" w:w="80"/>
              <w:end w:type="dxa" w:w="120"/>
            </w:tcMar>
          </w:tcPr>
          <w:p>
            <w:pPr>
              <w:jc w:val="center"/>
            </w:pPr>
            <w:r>
              <w:rPr>
                <w:b/>
                <w:bCs/>
                <w:color w:val="FFFFFF"/>
                <w:sz w:val="20"/>
                <w:szCs w:val="20"/>
                <w:rFonts w:ascii="Arial" w:hAnsi="Arial"/>
              </w:rPr>
              <w:t>Delta vs Prior</w:t>
            </w:r>
          </w:p>
        </w:tc>
      </w:tr>
      <w:tr>
        <w:tc>
          <w:tcPr>
            <w:tcW w:type="dxa" w:w="2200"/>
            <w:shd w:fill="FFFFFF" w:val="clear"/>
            <w:tcMar>
              <w:top w:type="dxa" w:w="60"/>
              <w:start w:type="dxa" w:w="120"/>
              <w:bottom w:type="dxa" w:w="60"/>
              <w:end w:type="dxa" w:w="120"/>
            </w:tcMar>
          </w:tcPr>
          <w:p>
            <w:pPr>
              <w:jc w:val="left"/>
            </w:pPr>
            <w:r>
              <w:rPr>
                <w:color w:val="333333"/>
                <w:sz w:val="20"/>
                <w:szCs w:val="20"/>
                <w:rFonts w:ascii="Arial" w:hAnsi="Arial"/>
              </w:rPr>
              <w:t>Recovery test (prior)</w:t>
            </w:r>
          </w:p>
        </w:tc>
        <w:tc>
          <w:tcPr>
            <w:tcW w:type="dxa" w:w="1600"/>
            <w:shd w:fill="FFFFFF" w:val="clear"/>
            <w:tcMar>
              <w:top w:type="dxa" w:w="60"/>
              <w:start w:type="dxa" w:w="120"/>
              <w:bottom w:type="dxa" w:w="60"/>
              <w:end w:type="dxa" w:w="120"/>
            </w:tcMar>
          </w:tcPr>
          <w:p>
            <w:pPr>
              <w:jc w:val="center"/>
            </w:pPr>
            <w:r>
              <w:rPr>
                <w:color w:val="333333"/>
                <w:sz w:val="20"/>
                <w:szCs w:val="20"/>
                <w:rFonts w:ascii="Arial" w:hAnsi="Arial"/>
              </w:rPr>
              <w:t>0.50</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0/20</w:t>
            </w:r>
          </w:p>
        </w:tc>
        <w:tc>
          <w:tcPr>
            <w:tcW w:type="dxa" w:w="1000"/>
            <w:shd w:fill="FFFFFF" w:val="clear"/>
            <w:tcMar>
              <w:top w:type="dxa" w:w="60"/>
              <w:start w:type="dxa" w:w="120"/>
              <w:bottom w:type="dxa" w:w="60"/>
              <w:end w:type="dxa" w:w="120"/>
            </w:tcMar>
          </w:tcPr>
          <w:p>
            <w:pPr>
              <w:jc w:val="center"/>
            </w:pPr>
            <w:r>
              <w:rPr>
                <w:color w:val="333333"/>
                <w:sz w:val="20"/>
                <w:szCs w:val="20"/>
                <w:rFonts w:ascii="Arial" w:hAnsi="Arial"/>
              </w:rPr>
              <w:t>0.732</w:t>
            </w:r>
          </w:p>
        </w:tc>
        <w:tc>
          <w:tcPr>
            <w:tcW w:type="dxa" w:w="3260"/>
            <w:shd w:fill="FFFFFF" w:val="clear"/>
            <w:tcMar>
              <w:top w:type="dxa" w:w="60"/>
              <w:start w:type="dxa" w:w="120"/>
              <w:bottom w:type="dxa" w:w="60"/>
              <w:end w:type="dxa" w:w="120"/>
            </w:tcMar>
          </w:tcPr>
          <w:p>
            <w:pPr>
              <w:jc w:val="center"/>
            </w:pPr>
            <w:r>
              <w:rPr>
                <w:color w:val="333333"/>
                <w:sz w:val="20"/>
                <w:szCs w:val="20"/>
                <w:rFonts w:ascii="Arial" w:hAnsi="Arial"/>
              </w:rPr>
              <w:t>—</w:t>
            </w:r>
          </w:p>
        </w:tc>
      </w:tr>
      <w:tr>
        <w:tc>
          <w:tcPr>
            <w:tcW w:type="dxa" w:w="2200"/>
            <w:shd w:fill="F0F4FA" w:val="clear"/>
            <w:tcMar>
              <w:top w:type="dxa" w:w="60"/>
              <w:start w:type="dxa" w:w="120"/>
              <w:bottom w:type="dxa" w:w="60"/>
              <w:end w:type="dxa" w:w="120"/>
            </w:tcMar>
          </w:tcPr>
          <w:p>
            <w:pPr>
              <w:jc w:val="left"/>
            </w:pPr>
            <w:r>
              <w:rPr>
                <w:color w:val="333333"/>
                <w:sz w:val="20"/>
                <w:szCs w:val="20"/>
                <w:rFonts w:ascii="Arial" w:hAnsi="Arial"/>
              </w:rPr>
              <w:t>GOVERNANCE_TEST_v1</w:t>
            </w:r>
          </w:p>
        </w:tc>
        <w:tc>
          <w:tcPr>
            <w:tcW w:type="dxa" w:w="1600"/>
            <w:shd w:fill="F0F4FA" w:val="clear"/>
            <w:tcMar>
              <w:top w:type="dxa" w:w="60"/>
              <w:start w:type="dxa" w:w="120"/>
              <w:bottom w:type="dxa" w:w="60"/>
              <w:end w:type="dxa" w:w="120"/>
            </w:tcMar>
          </w:tcPr>
          <w:p>
            <w:pPr>
              <w:jc w:val="center"/>
            </w:pPr>
            <w:r>
              <w:rPr>
                <w:color w:val="333333"/>
                <w:sz w:val="20"/>
                <w:szCs w:val="20"/>
                <w:rFonts w:ascii="Arial" w:hAnsi="Arial"/>
              </w:rPr>
              <w:t>0.70</w:t>
            </w:r>
          </w:p>
        </w:tc>
        <w:tc>
          <w:tcPr>
            <w:tcW w:type="dxa" w:w="900"/>
            <w:shd w:fill="F0F4FA" w:val="clear"/>
            <w:tcMar>
              <w:top w:type="dxa" w:w="60"/>
              <w:start w:type="dxa" w:w="120"/>
              <w:bottom w:type="dxa" w:w="60"/>
              <w:end w:type="dxa" w:w="120"/>
            </w:tcMar>
          </w:tcPr>
          <w:p>
            <w:pPr>
              <w:jc w:val="center"/>
            </w:pPr>
            <w:r>
              <w:rPr>
                <w:color w:val="333333"/>
                <w:sz w:val="20"/>
                <w:szCs w:val="20"/>
                <w:rFonts w:ascii="Arial" w:hAnsi="Arial"/>
              </w:rPr>
              <w:t>0/20</w:t>
            </w:r>
          </w:p>
        </w:tc>
        <w:tc>
          <w:tcPr>
            <w:tcW w:type="dxa" w:w="1000"/>
            <w:shd w:fill="F0F4FA" w:val="clear"/>
            <w:tcMar>
              <w:top w:type="dxa" w:w="60"/>
              <w:start w:type="dxa" w:w="120"/>
              <w:bottom w:type="dxa" w:w="60"/>
              <w:end w:type="dxa" w:w="120"/>
            </w:tcMar>
          </w:tcPr>
          <w:p>
            <w:pPr>
              <w:jc w:val="center"/>
            </w:pPr>
            <w:r>
              <w:rPr>
                <w:color w:val="333333"/>
                <w:sz w:val="20"/>
                <w:szCs w:val="20"/>
                <w:rFonts w:ascii="Arial" w:hAnsi="Arial"/>
              </w:rPr>
              <w:t>0.734</w:t>
            </w:r>
          </w:p>
        </w:tc>
        <w:tc>
          <w:tcPr>
            <w:tcW w:type="dxa" w:w="3260"/>
            <w:shd w:fill="F0F4FA" w:val="clear"/>
            <w:tcMar>
              <w:top w:type="dxa" w:w="60"/>
              <w:start w:type="dxa" w:w="120"/>
              <w:bottom w:type="dxa" w:w="60"/>
              <w:end w:type="dxa" w:w="120"/>
            </w:tcMar>
          </w:tcPr>
          <w:p>
            <w:pPr>
              <w:jc w:val="center"/>
            </w:pPr>
            <w:r>
              <w:rPr>
                <w:color w:val="333333"/>
                <w:sz w:val="20"/>
                <w:szCs w:val="20"/>
                <w:rFonts w:ascii="Arial" w:hAnsi="Arial"/>
              </w:rPr>
              <w:t>+0.002</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F0F4FA" w:val="clear"/>
            <w:tcMar>
              <w:top w:type="dxa" w:w="80"/>
              <w:start w:type="dxa" w:w="200"/>
              <w:bottom w:type="dxa" w:w="60"/>
              <w:end w:type="dxa" w:w="200"/>
            </w:tcMar>
          </w:tcPr>
          <w:p>
            <w:pPr>
              <w:spacing w:before="160" w:after="60"/>
            </w:pPr>
            <w:r>
              <w:rPr>
                <w:b/>
                <w:bCs/>
                <w:color w:val="C0392B"/>
                <w:sz w:val="26"/>
                <w:szCs w:val="26"/>
                <w:rFonts w:ascii="Arial" w:hAnsi="Arial"/>
              </w:rPr>
              <w:t>Diagnostic Test — Governance Bracket</w:t>
            </w:r>
          </w:p>
        </w:tc>
      </w:tr>
      <w:tr>
        <w:tc>
          <w:tcPr>
            <w:tcW w:type="dxa" w:w="9360"/>
            <w:shd w:fill="FFFFFF" w:val="clear"/>
            <w:tcMar>
              <w:top w:type="dxa" w:w="60"/>
              <w:start w:type="dxa" w:w="200"/>
              <w:bottom w:type="dxa" w:w="60"/>
              <w:end w:type="dxa" w:w="200"/>
            </w:tcMar>
          </w:tcPr>
          <w:p>
            <w:pPr>
              <w:spacing w:before="40" w:after="40"/>
            </w:pPr>
            <w:r>
              <w:rPr>
                <w:color w:val="333333"/>
                <w:sz w:val="20"/>
                <w:szCs w:val="20"/>
                <w:rFonts w:ascii="Arial" w:hAnsi="Arial"/>
              </w:rPr>
              <w:t xml:space="preserve">Recommended: rerun governance_capacity at 0.30 / 0.50 / 0.70 / 0.90 on the v2 locked baseline.</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200"/>
        <w:gridCol w:w="3800"/>
        <w:gridCol w:w="3360"/>
      </w:tblGrid>
      <w:tr>
        <w:tc>
          <w:tcPr>
            <w:tcW w:type="dxa" w:w="2200"/>
            <w:shd w:fill="1A2E4A" w:val="clear"/>
            <w:tcMar>
              <w:top w:type="dxa" w:w="80"/>
              <w:start w:type="dxa" w:w="120"/>
              <w:bottom w:type="dxa" w:w="80"/>
              <w:end w:type="dxa" w:w="120"/>
            </w:tcMar>
          </w:tcPr>
          <w:p>
            <w:pPr>
              <w:jc w:val="center"/>
            </w:pPr>
            <w:r>
              <w:rPr>
                <w:b/>
                <w:bCs/>
                <w:color w:val="FFFFFF"/>
                <w:sz w:val="20"/>
                <w:szCs w:val="20"/>
                <w:rFonts w:ascii="Arial" w:hAnsi="Arial"/>
              </w:rPr>
              <w:t>Result Pattern</w:t>
            </w:r>
          </w:p>
        </w:tc>
        <w:tc>
          <w:tcPr>
            <w:tcW w:type="dxa" w:w="3800"/>
            <w:shd w:fill="1A2E4A" w:val="clear"/>
            <w:tcMar>
              <w:top w:type="dxa" w:w="80"/>
              <w:start w:type="dxa" w:w="120"/>
              <w:bottom w:type="dxa" w:w="80"/>
              <w:end w:type="dxa" w:w="120"/>
            </w:tcMar>
          </w:tcPr>
          <w:p>
            <w:pPr>
              <w:jc w:val="center"/>
            </w:pPr>
            <w:r>
              <w:rPr>
                <w:b/>
                <w:bCs/>
                <w:color w:val="FFFFFF"/>
                <w:sz w:val="20"/>
                <w:szCs w:val="20"/>
                <w:rFonts w:ascii="Arial" w:hAnsi="Arial"/>
              </w:rPr>
              <w:t>Interpretation</w:t>
            </w:r>
          </w:p>
        </w:tc>
        <w:tc>
          <w:tcPr>
            <w:tcW w:type="dxa" w:w="3360"/>
            <w:shd w:fill="1A2E4A" w:val="clear"/>
            <w:tcMar>
              <w:top w:type="dxa" w:w="80"/>
              <w:start w:type="dxa" w:w="120"/>
              <w:bottom w:type="dxa" w:w="80"/>
              <w:end w:type="dxa" w:w="120"/>
            </w:tcMar>
          </w:tcPr>
          <w:p>
            <w:pPr>
              <w:jc w:val="center"/>
            </w:pPr>
            <w:r>
              <w:rPr>
                <w:b/>
                <w:bCs/>
                <w:color w:val="FFFFFF"/>
                <w:sz w:val="20"/>
                <w:szCs w:val="20"/>
                <w:rFonts w:ascii="Arial" w:hAnsi="Arial"/>
              </w:rPr>
              <w:t>Action Required</w:t>
            </w:r>
          </w:p>
        </w:tc>
      </w:tr>
      <w:tr>
        <w:tc>
          <w:tcPr>
            <w:tcW w:type="dxa" w:w="2200"/>
            <w:shd w:fill="FFFFFF" w:val="clear"/>
            <w:tcMar>
              <w:top w:type="dxa" w:w="60"/>
              <w:start w:type="dxa" w:w="120"/>
              <w:bottom w:type="dxa" w:w="60"/>
              <w:end w:type="dxa" w:w="120"/>
            </w:tcMar>
          </w:tcPr>
          <w:p>
            <w:pPr>
              <w:jc w:val="left"/>
            </w:pPr>
            <w:r>
              <w:rPr>
                <w:color w:val="333333"/>
                <w:sz w:val="20"/>
                <w:szCs w:val="20"/>
                <w:rFonts w:ascii="Arial" w:hAnsi="Arial"/>
              </w:rPr>
              <w:t>Flat across all values</w:t>
            </w:r>
          </w:p>
        </w:tc>
        <w:tc>
          <w:tcPr>
            <w:tcW w:type="dxa" w:w="3800"/>
            <w:shd w:fill="FFFFFF" w:val="clear"/>
            <w:tcMar>
              <w:top w:type="dxa" w:w="60"/>
              <w:start w:type="dxa" w:w="120"/>
              <w:bottom w:type="dxa" w:w="60"/>
              <w:end w:type="dxa" w:w="120"/>
            </w:tcMar>
          </w:tcPr>
          <w:p>
            <w:pPr>
              <w:jc w:val="center"/>
            </w:pPr>
            <w:r>
              <w:rPr>
                <w:color w:val="333333"/>
                <w:sz w:val="20"/>
                <w:szCs w:val="20"/>
                <w:rFonts w:ascii="Arial" w:hAnsi="Arial"/>
              </w:rPr>
              <w:t>Model wiring issue — governance not connected to relevant pathways</w:t>
            </w:r>
          </w:p>
        </w:tc>
        <w:tc>
          <w:tcPr>
            <w:tcW w:type="dxa" w:w="3360"/>
            <w:shd w:fill="FFFFFF" w:val="clear"/>
            <w:tcMar>
              <w:top w:type="dxa" w:w="60"/>
              <w:start w:type="dxa" w:w="120"/>
              <w:bottom w:type="dxa" w:w="60"/>
              <w:end w:type="dxa" w:w="120"/>
            </w:tcMar>
          </w:tcPr>
          <w:p>
            <w:pPr>
              <w:jc w:val="center"/>
            </w:pPr>
            <w:r>
              <w:rPr>
                <w:color w:val="333333"/>
                <w:sz w:val="20"/>
                <w:szCs w:val="20"/>
                <w:rFonts w:ascii="Arial" w:hAnsi="Arial"/>
              </w:rPr>
              <w:t>Investigate architecture</w:t>
            </w:r>
          </w:p>
        </w:tc>
      </w:tr>
      <w:tr>
        <w:tc>
          <w:tcPr>
            <w:tcW w:type="dxa" w:w="2200"/>
            <w:shd w:fill="F0F4FA" w:val="clear"/>
            <w:tcMar>
              <w:top w:type="dxa" w:w="60"/>
              <w:start w:type="dxa" w:w="120"/>
              <w:bottom w:type="dxa" w:w="60"/>
              <w:end w:type="dxa" w:w="120"/>
            </w:tcMar>
          </w:tcPr>
          <w:p>
            <w:pPr>
              <w:jc w:val="left"/>
            </w:pPr>
            <w:r>
              <w:rPr>
                <w:color w:val="333333"/>
                <w:sz w:val="20"/>
                <w:szCs w:val="20"/>
                <w:rFonts w:ascii="Arial" w:hAnsi="Arial"/>
              </w:rPr>
              <w:t>Effect only at extremes</w:t>
            </w:r>
          </w:p>
        </w:tc>
        <w:tc>
          <w:tcPr>
            <w:tcW w:type="dxa" w:w="3800"/>
            <w:shd w:fill="F0F4FA" w:val="clear"/>
            <w:tcMar>
              <w:top w:type="dxa" w:w="60"/>
              <w:start w:type="dxa" w:w="120"/>
              <w:bottom w:type="dxa" w:w="60"/>
              <w:end w:type="dxa" w:w="120"/>
            </w:tcMar>
          </w:tcPr>
          <w:p>
            <w:pPr>
              <w:jc w:val="center"/>
            </w:pPr>
            <w:r>
              <w:rPr>
                <w:color w:val="333333"/>
                <w:sz w:val="20"/>
                <w:szCs w:val="20"/>
                <w:rFonts w:ascii="Arial" w:hAnsi="Arial"/>
              </w:rPr>
              <w:t>Nonlinear threshold interaction</w:t>
            </w:r>
          </w:p>
        </w:tc>
        <w:tc>
          <w:tcPr>
            <w:tcW w:type="dxa" w:w="3360"/>
            <w:shd w:fill="F0F4FA" w:val="clear"/>
            <w:tcMar>
              <w:top w:type="dxa" w:w="60"/>
              <w:start w:type="dxa" w:w="120"/>
              <w:bottom w:type="dxa" w:w="60"/>
              <w:end w:type="dxa" w:w="120"/>
            </w:tcMar>
          </w:tcPr>
          <w:p>
            <w:pPr>
              <w:jc w:val="center"/>
            </w:pPr>
            <w:r>
              <w:rPr>
                <w:color w:val="333333"/>
                <w:sz w:val="20"/>
                <w:szCs w:val="20"/>
                <w:rFonts w:ascii="Arial" w:hAnsi="Arial"/>
              </w:rPr>
              <w:t>Map the threshold</w:t>
            </w:r>
          </w:p>
        </w:tc>
      </w:tr>
      <w:tr>
        <w:tc>
          <w:tcPr>
            <w:tcW w:type="dxa" w:w="2200"/>
            <w:shd w:fill="FFFFFF" w:val="clear"/>
            <w:tcMar>
              <w:top w:type="dxa" w:w="60"/>
              <w:start w:type="dxa" w:w="120"/>
              <w:bottom w:type="dxa" w:w="60"/>
              <w:end w:type="dxa" w:w="120"/>
            </w:tcMar>
          </w:tcPr>
          <w:p>
            <w:pPr>
              <w:jc w:val="left"/>
            </w:pPr>
            <w:r>
              <w:rPr>
                <w:color w:val="333333"/>
                <w:sz w:val="20"/>
                <w:szCs w:val="20"/>
                <w:rFonts w:ascii="Arial" w:hAnsi="Arial"/>
              </w:rPr>
              <w:t>Gradual monotonic effect</w:t>
            </w:r>
          </w:p>
        </w:tc>
        <w:tc>
          <w:tcPr>
            <w:tcW w:type="dxa" w:w="3800"/>
            <w:shd w:fill="FFFFFF" w:val="clear"/>
            <w:tcMar>
              <w:top w:type="dxa" w:w="60"/>
              <w:start w:type="dxa" w:w="120"/>
              <w:bottom w:type="dxa" w:w="60"/>
              <w:end w:type="dxa" w:w="120"/>
            </w:tcMar>
          </w:tcPr>
          <w:p>
            <w:pPr>
              <w:jc w:val="center"/>
            </w:pPr>
            <w:r>
              <w:rPr>
                <w:color w:val="333333"/>
                <w:sz w:val="20"/>
                <w:szCs w:val="20"/>
                <w:rFonts w:ascii="Arial" w:hAnsi="Arial"/>
              </w:rPr>
              <w:t>Weak but real — governance contributes but not dominant</w:t>
            </w:r>
          </w:p>
        </w:tc>
        <w:tc>
          <w:tcPr>
            <w:tcW w:type="dxa" w:w="3360"/>
            <w:shd w:fill="FFFFFF" w:val="clear"/>
            <w:tcMar>
              <w:top w:type="dxa" w:w="60"/>
              <w:start w:type="dxa" w:w="120"/>
              <w:bottom w:type="dxa" w:w="60"/>
              <w:end w:type="dxa" w:w="120"/>
            </w:tcMar>
          </w:tcPr>
          <w:p>
            <w:pPr>
              <w:jc w:val="center"/>
            </w:pPr>
            <w:r>
              <w:rPr>
                <w:color w:val="333333"/>
                <w:sz w:val="20"/>
                <w:szCs w:val="20"/>
                <w:rFonts w:ascii="Arial" w:hAnsi="Arial"/>
              </w:rPr>
              <w:t>Document and close</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FFFFFF" w:val="clear"/>
            <w:tcMar>
              <w:top w:type="dxa" w:w="60"/>
              <w:start w:type="dxa" w:w="200"/>
              <w:bottom w:type="dxa" w:w="60"/>
              <w:end w:type="dxa" w:w="200"/>
            </w:tcMar>
          </w:tcPr>
          <w:p>
            <w:pPr>
              <w:spacing w:before="40" w:after="40"/>
            </w:pPr>
            <w:r>
              <w:rPr>
                <w:i/>
                <w:iCs/>
                <w:color w:val="C0392B"/>
                <w:sz w:val="20"/>
                <w:szCs w:val="20"/>
                <w:rFonts w:ascii="Arial" w:hAnsi="Arial"/>
              </w:rPr>
              <w:t xml:space="preserve">Resolution status: test not yet executed as of 2026-03-22. Any architectural implication referencing governance operates on an untested assumption until this is resolved.</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2E5FA3" w:val="clear"/>
            <w:tcMar>
              <w:top w:type="dxa" w:w="120"/>
              <w:start w:type="dxa" w:w="200"/>
              <w:bottom w:type="dxa" w:w="120"/>
              <w:end w:type="dxa" w:w="200"/>
            </w:tcMar>
          </w:tcPr>
          <w:p>
            <w:pPr>
              <w:spacing w:before="120" w:after="80"/>
            </w:pPr>
            <w:r>
              <w:rPr>
                <w:b/>
                <w:bCs/>
                <w:color w:val="FFFFFF"/>
                <w:sz w:val="28"/>
                <w:szCs w:val="28"/>
                <w:rFonts w:ascii="Arial" w:hAnsi="Arial"/>
              </w:rPr>
              <w:t>Outstanding Questions</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800"/>
        <w:gridCol w:w="6560"/>
      </w:tblGrid>
      <w:tr>
        <w:tc>
          <w:tcPr>
            <w:tcW w:type="dxa" w:w="2800"/>
            <w:shd w:fill="DDE6F4" w:val="clear"/>
            <w:tcMar>
              <w:top w:type="dxa" w:w="70"/>
              <w:start w:type="dxa" w:w="120"/>
              <w:bottom w:type="dxa" w:w="70"/>
              <w:end w:type="dxa" w:w="120"/>
            </w:tcMar>
          </w:tcPr>
          <w:p>
            <w:r>
              <w:rPr>
                <w:b/>
                <w:bCs/>
                <w:color w:val="1A2E4A"/>
                <w:sz w:val="20"/>
                <w:szCs w:val="20"/>
                <w:rFonts w:ascii="Arial" w:hAnsi="Arial"/>
              </w:rPr>
              <w:t>Governance null</w:t>
            </w:r>
          </w:p>
        </w:tc>
        <w:tc>
          <w:tcPr>
            <w:tcW w:type="dxa" w:w="6560"/>
            <w:shd w:fill="FFFFFF" w:val="clear"/>
            <w:tcMar>
              <w:top w:type="dxa" w:w="70"/>
              <w:start w:type="dxa" w:w="120"/>
              <w:bottom w:type="dxa" w:w="70"/>
              <w:end w:type="dxa" w:w="120"/>
            </w:tcMar>
          </w:tcPr>
          <w:p>
            <w:r>
              <w:rPr>
                <w:color w:val="333333"/>
                <w:sz w:val="20"/>
                <w:szCs w:val="20"/>
                <w:rFonts w:ascii="Arial" w:hAnsi="Arial"/>
              </w:rPr>
              <w:t xml:space="preserve">Near-zero effect of governance_capacity unexplained. Model validity question — see Governance Null Addendum.</w:t>
            </w:r>
          </w:p>
        </w:tc>
      </w:tr>
      <w:tr>
        <w:tc>
          <w:tcPr>
            <w:tcW w:type="dxa" w:w="2800"/>
            <w:shd w:fill="DDE6F4" w:val="clear"/>
            <w:tcMar>
              <w:top w:type="dxa" w:w="70"/>
              <w:start w:type="dxa" w:w="120"/>
              <w:bottom w:type="dxa" w:w="70"/>
              <w:end w:type="dxa" w:w="120"/>
            </w:tcMar>
          </w:tcPr>
          <w:p>
            <w:r>
              <w:rPr>
                <w:b/>
                <w:bCs/>
                <w:color w:val="1A2E4A"/>
                <w:sz w:val="20"/>
                <w:szCs w:val="20"/>
                <w:rFonts w:ascii="Arial" w:hAnsi="Arial"/>
              </w:rPr>
              <w:t>Lock-mechanism opacity</w:t>
            </w:r>
          </w:p>
        </w:tc>
        <w:tc>
          <w:tcPr>
            <w:tcW w:type="dxa" w:w="6560"/>
            <w:shd w:fill="FFFFFF" w:val="clear"/>
            <w:tcMar>
              <w:top w:type="dxa" w:w="70"/>
              <w:start w:type="dxa" w:w="120"/>
              <w:bottom w:type="dxa" w:w="70"/>
              <w:end w:type="dxa" w:w="120"/>
            </w:tcMar>
          </w:tcPr>
          <w:p>
            <w:r>
              <w:rPr>
                <w:color w:val="333333"/>
                <w:sz w:val="20"/>
                <w:szCs w:val="20"/>
                <w:rFonts w:ascii="Arial" w:hAnsi="Arial"/>
              </w:rPr>
              <w:t xml:space="preserve">stability_boost and disturbance_damping effects recorded, but failure/disengagement conditions under-described.</w:t>
            </w:r>
          </w:p>
        </w:tc>
      </w:tr>
      <w:tr>
        <w:tc>
          <w:tcPr>
            <w:tcW w:type="dxa" w:w="2800"/>
            <w:shd w:fill="DDE6F4" w:val="clear"/>
            <w:tcMar>
              <w:top w:type="dxa" w:w="70"/>
              <w:start w:type="dxa" w:w="120"/>
              <w:bottom w:type="dxa" w:w="70"/>
              <w:end w:type="dxa" w:w="120"/>
            </w:tcMar>
          </w:tcPr>
          <w:p>
            <w:r>
              <w:rPr>
                <w:b/>
                <w:bCs/>
                <w:color w:val="1A2E4A"/>
                <w:sz w:val="20"/>
                <w:szCs w:val="20"/>
                <w:rFonts w:ascii="Arial" w:hAnsi="Arial"/>
              </w:rPr>
              <w:t>Sample-size caution</w:t>
            </w:r>
          </w:p>
        </w:tc>
        <w:tc>
          <w:tcPr>
            <w:tcW w:type="dxa" w:w="6560"/>
            <w:shd w:fill="FFFFFF" w:val="clear"/>
            <w:tcMar>
              <w:top w:type="dxa" w:w="70"/>
              <w:start w:type="dxa" w:w="120"/>
              <w:bottom w:type="dxa" w:w="70"/>
              <w:end w:type="dxa" w:w="120"/>
            </w:tcMar>
          </w:tcPr>
          <w:p>
            <w:r>
              <w:rPr>
                <w:color w:val="333333"/>
                <w:sz w:val="20"/>
                <w:szCs w:val="20"/>
                <w:rFonts w:ascii="Arial" w:hAnsi="Arial"/>
              </w:rPr>
              <w:t xml:space="preserve">20 runs per condition detects broad direction only; insufficient for high-confidence small-difference claims.</w:t>
            </w:r>
          </w:p>
        </w:tc>
      </w:tr>
      <w:tr>
        <w:tc>
          <w:tcPr>
            <w:tcW w:type="dxa" w:w="2800"/>
            <w:shd w:fill="DDE6F4" w:val="clear"/>
            <w:tcMar>
              <w:top w:type="dxa" w:w="70"/>
              <w:start w:type="dxa" w:w="120"/>
              <w:bottom w:type="dxa" w:w="70"/>
              <w:end w:type="dxa" w:w="120"/>
            </w:tcMar>
          </w:tcPr>
          <w:p>
            <w:r>
              <w:rPr>
                <w:b/>
                <w:bCs/>
                <w:color w:val="1A2E4A"/>
                <w:sz w:val="20"/>
                <w:szCs w:val="20"/>
                <w:rFonts w:ascii="Arial" w:hAnsi="Arial"/>
              </w:rPr>
              <w:t>Horizon caution</w:t>
            </w:r>
          </w:p>
        </w:tc>
        <w:tc>
          <w:tcPr>
            <w:tcW w:type="dxa" w:w="6560"/>
            <w:shd w:fill="FFFFFF" w:val="clear"/>
            <w:tcMar>
              <w:top w:type="dxa" w:w="70"/>
              <w:start w:type="dxa" w:w="120"/>
              <w:bottom w:type="dxa" w:w="70"/>
              <w:end w:type="dxa" w:w="120"/>
            </w:tcMar>
          </w:tcPr>
          <w:p>
            <w:r>
              <w:rPr>
                <w:color w:val="333333"/>
                <w:sz w:val="20"/>
                <w:szCs w:val="20"/>
                <w:rFonts w:ascii="Arial" w:hAnsi="Arial"/>
              </w:rPr>
              <w:t xml:space="preserve">100-step window supports comparative testing but does not prove long-run regime permanence.</w:t>
            </w:r>
          </w:p>
        </w:tc>
      </w:tr>
      <w:tr>
        <w:tc>
          <w:tcPr>
            <w:tcW w:type="dxa" w:w="2800"/>
            <w:shd w:fill="DDE6F4" w:val="clear"/>
            <w:tcMar>
              <w:top w:type="dxa" w:w="70"/>
              <w:start w:type="dxa" w:w="120"/>
              <w:bottom w:type="dxa" w:w="70"/>
              <w:end w:type="dxa" w:w="120"/>
            </w:tcMar>
          </w:tcPr>
          <w:p>
            <w:r>
              <w:rPr>
                <w:b/>
                <w:bCs/>
                <w:color w:val="1A2E4A"/>
                <w:sz w:val="20"/>
                <w:szCs w:val="20"/>
                <w:rFonts w:ascii="Arial" w:hAnsi="Arial"/>
              </w:rPr>
              <w:t>Missing matched controls</w:t>
            </w:r>
          </w:p>
        </w:tc>
        <w:tc>
          <w:tcPr>
            <w:tcW w:type="dxa" w:w="6560"/>
            <w:shd w:fill="FFFFFF" w:val="clear"/>
            <w:tcMar>
              <w:top w:type="dxa" w:w="70"/>
              <w:start w:type="dxa" w:w="120"/>
              <w:bottom w:type="dxa" w:w="70"/>
              <w:end w:type="dxa" w:w="120"/>
            </w:tcMar>
          </w:tcPr>
          <w:p>
            <w:r>
              <w:rPr>
                <w:color w:val="333333"/>
                <w:sz w:val="20"/>
                <w:szCs w:val="20"/>
                <w:rFonts w:ascii="Arial" w:hAnsi="Arial"/>
              </w:rPr>
              <w:t xml:space="preserve">Shock-only reruns on v2 baseline are the cleanest missing control for interaction-strength claims.</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2E5FA3" w:val="clear"/>
            <w:tcMar>
              <w:top w:type="dxa" w:w="120"/>
              <w:start w:type="dxa" w:w="200"/>
              <w:bottom w:type="dxa" w:w="120"/>
              <w:end w:type="dxa" w:w="200"/>
            </w:tcMar>
          </w:tcPr>
          <w:p>
            <w:pPr>
              <w:spacing w:before="120" w:after="80"/>
            </w:pPr>
            <w:r>
              <w:rPr>
                <w:b/>
                <w:bCs/>
                <w:color w:val="FFFFFF"/>
                <w:sz w:val="28"/>
                <w:szCs w:val="28"/>
                <w:rFonts w:ascii="Arial" w:hAnsi="Arial"/>
              </w:rPr>
              <w:t>Model Limitations</w:t>
            </w:r>
          </w:p>
        </w:tc>
      </w:tr>
      <w:tr>
        <w:tc>
          <w:tcPr>
            <w:tcW w:type="dxa" w:w="9360"/>
            <w:shd w:fill="FFFFFF" w:val="clear"/>
            <w:tcMar>
              <w:top w:type="dxa" w:w="40"/>
              <w:start w:type="dxa" w:w="400"/>
              <w:bottom w:type="dxa" w:w="40"/>
              <w:end w:type="dxa" w:w="200"/>
            </w:tcMar>
          </w:tcPr>
          <w:p>
            <w:pPr>
              <w:spacing w:before="30" w:after="30"/>
            </w:pPr>
            <w:r>
              <w:rPr>
                <w:color w:val="333333"/>
                <w:sz w:val="20"/>
                <w:szCs w:val="20"/>
                <w:rFonts w:ascii="Arial" w:hAnsi="Arial"/>
              </w:rPr>
              <w:t xml:space="preserve">•  Results are constrained to the tested parameter ranges.</w:t>
            </w:r>
          </w:p>
        </w:tc>
      </w:tr>
      <w:tr>
        <w:tc>
          <w:tcPr>
            <w:tcW w:type="dxa" w:w="9360"/>
            <w:shd w:fill="FFFFFF" w:val="clear"/>
            <w:tcMar>
              <w:top w:type="dxa" w:w="40"/>
              <w:start w:type="dxa" w:w="400"/>
              <w:bottom w:type="dxa" w:w="40"/>
              <w:end w:type="dxa" w:w="200"/>
            </w:tcMar>
          </w:tcPr>
          <w:p>
            <w:pPr>
              <w:spacing w:before="30" w:after="30"/>
            </w:pPr>
            <w:r>
              <w:rPr>
                <w:color w:val="333333"/>
                <w:sz w:val="20"/>
                <w:szCs w:val="20"/>
                <w:rFonts w:ascii="Arial" w:hAnsi="Arial"/>
              </w:rPr>
              <w:t xml:space="preserve">•  Recovery capacity is modeled as stable and does not deplete over time.</w:t>
            </w:r>
          </w:p>
        </w:tc>
      </w:tr>
      <w:tr>
        <w:tc>
          <w:tcPr>
            <w:tcW w:type="dxa" w:w="9360"/>
            <w:shd w:fill="FFFFFF" w:val="clear"/>
            <w:tcMar>
              <w:top w:type="dxa" w:w="40"/>
              <w:start w:type="dxa" w:w="400"/>
              <w:bottom w:type="dxa" w:w="40"/>
              <w:end w:type="dxa" w:w="200"/>
            </w:tcMar>
          </w:tcPr>
          <w:p>
            <w:pPr>
              <w:spacing w:before="30" w:after="30"/>
            </w:pPr>
            <w:r>
              <w:rPr>
                <w:color w:val="333333"/>
                <w:sz w:val="20"/>
                <w:szCs w:val="20"/>
                <w:rFonts w:ascii="Arial" w:hAnsi="Arial"/>
              </w:rPr>
              <w:t xml:space="preserve">•  Trust dynamics are simplified and do not include hard threshold-collapse behavior.</w:t>
            </w:r>
          </w:p>
        </w:tc>
      </w:tr>
      <w:tr>
        <w:tc>
          <w:tcPr>
            <w:tcW w:type="dxa" w:w="9360"/>
            <w:shd w:fill="FFFFFF" w:val="clear"/>
            <w:tcMar>
              <w:top w:type="dxa" w:w="40"/>
              <w:start w:type="dxa" w:w="400"/>
              <w:bottom w:type="dxa" w:w="40"/>
              <w:end w:type="dxa" w:w="200"/>
            </w:tcMar>
          </w:tcPr>
          <w:p>
            <w:pPr>
              <w:spacing w:before="30" w:after="30"/>
            </w:pPr>
            <w:r>
              <w:rPr>
                <w:color w:val="333333"/>
                <w:sz w:val="20"/>
                <w:szCs w:val="20"/>
                <w:rFonts w:ascii="Arial" w:hAnsi="Arial"/>
              </w:rPr>
              <w:t xml:space="preserve">•  Noise is modeled as independent rather than correlated or systemic.</w:t>
            </w:r>
          </w:p>
        </w:tc>
      </w:tr>
      <w:tr>
        <w:tc>
          <w:tcPr>
            <w:tcW w:type="dxa" w:w="9360"/>
            <w:shd w:fill="FFFFFF" w:val="clear"/>
            <w:tcMar>
              <w:top w:type="dxa" w:w="40"/>
              <w:start w:type="dxa" w:w="400"/>
              <w:bottom w:type="dxa" w:w="40"/>
              <w:end w:type="dxa" w:w="200"/>
            </w:tcMar>
          </w:tcPr>
          <w:p>
            <w:pPr>
              <w:spacing w:before="30" w:after="30"/>
            </w:pPr>
            <w:r>
              <w:rPr>
                <w:color w:val="333333"/>
                <w:sz w:val="20"/>
                <w:szCs w:val="20"/>
                <w:rFonts w:ascii="Arial" w:hAnsi="Arial"/>
              </w:rPr>
              <w:t xml:space="preserve">•  The simulated population is homogeneous rather than agent-diverse.</w:t>
            </w:r>
          </w:p>
        </w:tc>
      </w:tr>
      <w:tr>
        <w:tc>
          <w:tcPr>
            <w:tcW w:type="dxa" w:w="9360"/>
            <w:shd w:fill="FFFFFF" w:val="clear"/>
            <w:tcMar>
              <w:top w:type="dxa" w:w="40"/>
              <w:start w:type="dxa" w:w="400"/>
              <w:bottom w:type="dxa" w:w="40"/>
              <w:end w:type="dxa" w:w="200"/>
            </w:tcMar>
          </w:tcPr>
          <w:p>
            <w:pPr>
              <w:spacing w:before="30" w:after="30"/>
            </w:pPr>
            <w:r>
              <w:rPr>
                <w:color w:val="333333"/>
                <w:sz w:val="20"/>
                <w:szCs w:val="20"/>
                <w:rFonts w:ascii="Arial" w:hAnsi="Arial"/>
              </w:rPr>
              <w:t xml:space="preserve">•  Horizon is limited to 100 steps.</w:t>
            </w:r>
          </w:p>
        </w:tc>
      </w:tr>
      <w:tr>
        <w:tc>
          <w:tcPr>
            <w:tcW w:type="dxa" w:w="9360"/>
            <w:shd w:fill="FFFFFF" w:val="clear"/>
            <w:tcMar>
              <w:top w:type="dxa" w:w="40"/>
              <w:start w:type="dxa" w:w="400"/>
              <w:bottom w:type="dxa" w:w="40"/>
              <w:end w:type="dxa" w:w="200"/>
            </w:tcMar>
          </w:tcPr>
          <w:p>
            <w:pPr>
              <w:spacing w:before="30" w:after="30"/>
            </w:pPr>
            <w:r>
              <w:rPr>
                <w:color w:val="333333"/>
                <w:sz w:val="20"/>
                <w:szCs w:val="20"/>
                <w:rFonts w:ascii="Arial" w:hAnsi="Arial"/>
              </w:rPr>
              <w:t xml:space="preserve">•  Twenty runs per condition limits precision of probability estimates.</w:t>
            </w:r>
          </w:p>
        </w:tc>
      </w:tr>
      <w:tr>
        <w:tc>
          <w:tcPr>
            <w:tcW w:type="dxa" w:w="9360"/>
            <w:shd w:fill="FFFFFF" w:val="clear"/>
            <w:tcMar>
              <w:top w:type="dxa" w:w="40"/>
              <w:start w:type="dxa" w:w="400"/>
              <w:bottom w:type="dxa" w:w="40"/>
              <w:end w:type="dxa" w:w="200"/>
            </w:tcMar>
          </w:tcPr>
          <w:p>
            <w:pPr>
              <w:spacing w:before="30" w:after="30"/>
            </w:pPr>
            <w:r>
              <w:rPr>
                <w:color w:val="333333"/>
                <w:sz w:val="20"/>
                <w:szCs w:val="20"/>
                <w:rFonts w:ascii="Arial" w:hAnsi="Arial"/>
              </w:rPr>
              <w:t xml:space="preserve">•  Branch does not yet simulate: right of exit, peaceful replacement, interoperability loss, or ADPIE-style governance evaluation loops.</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2E5FA3" w:val="clear"/>
            <w:tcMar>
              <w:top w:type="dxa" w:w="120"/>
              <w:start w:type="dxa" w:w="200"/>
              <w:bottom w:type="dxa" w:w="120"/>
              <w:end w:type="dxa" w:w="200"/>
            </w:tcMar>
          </w:tcPr>
          <w:p>
            <w:pPr>
              <w:spacing w:before="120" w:after="80"/>
            </w:pPr>
            <w:r>
              <w:rPr>
                <w:b/>
                <w:bCs/>
                <w:color w:val="FFFFFF"/>
                <w:sz w:val="28"/>
                <w:szCs w:val="28"/>
                <w:rFonts w:ascii="Arial" w:hAnsi="Arial"/>
              </w:rPr>
              <w:t>Revised Stability and Failure Laws</w:t>
            </w:r>
          </w:p>
        </w:tc>
      </w:tr>
      <w:tr>
        <w:tc>
          <w:tcPr>
            <w:tcW w:type="dxa" w:w="9360"/>
            <w:shd w:fill="FFFFFF" w:val="clear"/>
            <w:tcMar>
              <w:top w:type="dxa" w:w="60"/>
              <w:start w:type="dxa" w:w="200"/>
              <w:bottom w:type="dxa" w:w="60"/>
              <w:end w:type="dxa" w:w="200"/>
            </w:tcMar>
          </w:tcPr>
          <w:p>
            <w:pPr>
              <w:spacing w:before="40" w:after="40"/>
            </w:pPr>
            <w:r>
              <w:rPr>
                <w:i/>
                <w:iCs/>
                <w:color w:val="333333"/>
                <w:sz w:val="20"/>
                <w:szCs w:val="20"/>
                <w:rFonts w:ascii="Arial" w:hAnsi="Arial"/>
              </w:rPr>
              <w:t xml:space="preserve">These laws describe the current model branch only — not universal SOE behavior.</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800"/>
        <w:gridCol w:w="6560"/>
      </w:tblGrid>
      <w:tr>
        <w:tc>
          <w:tcPr>
            <w:tcW w:type="dxa" w:w="2800"/>
            <w:shd w:fill="DDE6F4" w:val="clear"/>
            <w:tcMar>
              <w:top w:type="dxa" w:w="70"/>
              <w:start w:type="dxa" w:w="120"/>
              <w:bottom w:type="dxa" w:w="70"/>
              <w:end w:type="dxa" w:w="120"/>
            </w:tcMar>
          </w:tcPr>
          <w:p>
            <w:r>
              <w:rPr>
                <w:b/>
                <w:bCs/>
                <w:color w:val="1A2E4A"/>
                <w:sz w:val="20"/>
                <w:szCs w:val="20"/>
                <w:rFonts w:ascii="Arial" w:hAnsi="Arial"/>
              </w:rPr>
              <w:t>Law 1 — Threshold + Reinforcement</w:t>
            </w:r>
          </w:p>
        </w:tc>
        <w:tc>
          <w:tcPr>
            <w:tcW w:type="dxa" w:w="6560"/>
            <w:shd w:fill="FFFFFF" w:val="clear"/>
            <w:tcMar>
              <w:top w:type="dxa" w:w="70"/>
              <w:start w:type="dxa" w:w="120"/>
              <w:bottom w:type="dxa" w:w="70"/>
              <w:end w:type="dxa" w:w="120"/>
            </w:tcMar>
          </w:tcPr>
          <w:p>
            <w:r>
              <w:rPr>
                <w:color w:val="333333"/>
                <w:sz w:val="20"/>
                <w:szCs w:val="20"/>
                <w:rFonts w:ascii="Arial" w:hAnsi="Arial"/>
              </w:rPr>
              <w:t xml:space="preserve">Stability requires threshold crossing plus state-dependent reinforcement. Crossing the cooperation threshold (~0.80) alone is insufficient; without a lock-in mechanism, the system oscillates and fails to stabilize.</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800"/>
        <w:gridCol w:w="6560"/>
      </w:tblGrid>
      <w:tr>
        <w:tc>
          <w:tcPr>
            <w:tcW w:type="dxa" w:w="2800"/>
            <w:shd w:fill="DDE6F4" w:val="clear"/>
            <w:tcMar>
              <w:top w:type="dxa" w:w="70"/>
              <w:start w:type="dxa" w:w="120"/>
              <w:bottom w:type="dxa" w:w="70"/>
              <w:end w:type="dxa" w:w="120"/>
            </w:tcMar>
          </w:tcPr>
          <w:p>
            <w:r>
              <w:rPr>
                <w:b/>
                <w:bCs/>
                <w:color w:val="1A2E4A"/>
                <w:sz w:val="20"/>
                <w:szCs w:val="20"/>
                <w:rFonts w:ascii="Arial" w:hAnsi="Arial"/>
              </w:rPr>
              <w:t>Law 2 — Stability is a Regime</w:t>
            </w:r>
          </w:p>
        </w:tc>
        <w:tc>
          <w:tcPr>
            <w:tcW w:type="dxa" w:w="6560"/>
            <w:shd w:fill="FFFFFF" w:val="clear"/>
            <w:tcMar>
              <w:top w:type="dxa" w:w="70"/>
              <w:start w:type="dxa" w:w="120"/>
              <w:bottom w:type="dxa" w:w="70"/>
              <w:end w:type="dxa" w:w="120"/>
            </w:tcMar>
          </w:tcPr>
          <w:p>
            <w:r>
              <w:rPr>
                <w:color w:val="333333"/>
                <w:sz w:val="20"/>
                <w:szCs w:val="20"/>
                <w:rFonts w:ascii="Arial" w:hAnsi="Arial"/>
              </w:rPr>
              <w:t xml:space="preserve">Stability is a regime, not an average value. Systems must remain above threshold continuously. Average cooperation above threshold does not imply stability.</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800"/>
        <w:gridCol w:w="6560"/>
      </w:tblGrid>
      <w:tr>
        <w:tc>
          <w:tcPr>
            <w:tcW w:type="dxa" w:w="2800"/>
            <w:shd w:fill="DDE6F4" w:val="clear"/>
            <w:tcMar>
              <w:top w:type="dxa" w:w="70"/>
              <w:start w:type="dxa" w:w="120"/>
              <w:bottom w:type="dxa" w:w="70"/>
              <w:end w:type="dxa" w:w="120"/>
            </w:tcMar>
          </w:tcPr>
          <w:p>
            <w:r>
              <w:rPr>
                <w:b/>
                <w:bCs/>
                <w:color w:val="1A2E4A"/>
                <w:sz w:val="20"/>
                <w:szCs w:val="20"/>
                <w:rFonts w:ascii="Arial" w:hAnsi="Arial"/>
              </w:rPr>
              <w:t>Law 3 — Bounded Parameter Region</w:t>
            </w:r>
          </w:p>
        </w:tc>
        <w:tc>
          <w:tcPr>
            <w:tcW w:type="dxa" w:w="6560"/>
            <w:shd w:fill="FFFFFF" w:val="clear"/>
            <w:tcMar>
              <w:top w:type="dxa" w:w="70"/>
              <w:start w:type="dxa" w:w="120"/>
              <w:bottom w:type="dxa" w:w="70"/>
              <w:end w:type="dxa" w:w="120"/>
            </w:tcMar>
          </w:tcPr>
          <w:p>
            <w:r>
              <w:rPr>
                <w:color w:val="333333"/>
                <w:sz w:val="20"/>
                <w:szCs w:val="20"/>
                <w:rFonts w:ascii="Arial" w:hAnsi="Arial"/>
              </w:rPr>
              <w:t xml:space="preserve">Within the tested range, stability appears to exist inside a bounded parameter region. Outside this region, stability degrades progressively.</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800"/>
        <w:gridCol w:w="6560"/>
      </w:tblGrid>
      <w:tr>
        <w:tc>
          <w:tcPr>
            <w:tcW w:type="dxa" w:w="2800"/>
            <w:shd w:fill="DDE6F4" w:val="clear"/>
            <w:tcMar>
              <w:top w:type="dxa" w:w="70"/>
              <w:start w:type="dxa" w:w="120"/>
              <w:bottom w:type="dxa" w:w="70"/>
              <w:end w:type="dxa" w:w="120"/>
            </w:tcMar>
          </w:tcPr>
          <w:p>
            <w:r>
              <w:rPr>
                <w:b/>
                <w:bCs/>
                <w:color w:val="1A2E4A"/>
                <w:sz w:val="20"/>
                <w:szCs w:val="20"/>
                <w:rFonts w:ascii="Arial" w:hAnsi="Arial"/>
              </w:rPr>
              <w:t>Law 4 — Disturbance as Primary Limiter</w:t>
            </w:r>
          </w:p>
        </w:tc>
        <w:tc>
          <w:tcPr>
            <w:tcW w:type="dxa" w:w="6560"/>
            <w:shd w:fill="FFFFFF" w:val="clear"/>
            <w:tcMar>
              <w:top w:type="dxa" w:w="70"/>
              <w:start w:type="dxa" w:w="120"/>
              <w:bottom w:type="dxa" w:w="70"/>
              <w:end w:type="dxa" w:w="120"/>
            </w:tcMar>
          </w:tcPr>
          <w:p>
            <w:r>
              <w:rPr>
                <w:color w:val="333333"/>
                <w:sz w:val="20"/>
                <w:szCs w:val="20"/>
                <w:rFonts w:ascii="Arial" w:hAnsi="Arial"/>
              </w:rPr>
              <w:t xml:space="preserve">Within the tested configurations, disturbance was the strongest observed limiting factor. Disturbance determines the outer boundary of stability.</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800"/>
        <w:gridCol w:w="6560"/>
      </w:tblGrid>
      <w:tr>
        <w:tc>
          <w:tcPr>
            <w:tcW w:type="dxa" w:w="2800"/>
            <w:shd w:fill="DDE6F4" w:val="clear"/>
            <w:tcMar>
              <w:top w:type="dxa" w:w="70"/>
              <w:start w:type="dxa" w:w="120"/>
              <w:bottom w:type="dxa" w:w="70"/>
              <w:end w:type="dxa" w:w="120"/>
            </w:tcMar>
          </w:tcPr>
          <w:p>
            <w:r>
              <w:rPr>
                <w:b/>
                <w:bCs/>
                <w:color w:val="1A2E4A"/>
                <w:sz w:val="20"/>
                <w:szCs w:val="20"/>
                <w:rFonts w:ascii="Arial" w:hAnsi="Arial"/>
              </w:rPr>
              <w:t>Law 5 — Structural Resilience</w:t>
            </w:r>
          </w:p>
        </w:tc>
        <w:tc>
          <w:tcPr>
            <w:tcW w:type="dxa" w:w="6560"/>
            <w:shd w:fill="FFFFFF" w:val="clear"/>
            <w:tcMar>
              <w:top w:type="dxa" w:w="70"/>
              <w:start w:type="dxa" w:w="120"/>
              <w:bottom w:type="dxa" w:w="70"/>
              <w:end w:type="dxa" w:w="120"/>
            </w:tcMar>
          </w:tcPr>
          <w:p>
            <w:r>
              <w:rPr>
                <w:color w:val="333333"/>
                <w:sz w:val="20"/>
                <w:szCs w:val="20"/>
                <w:rFonts w:ascii="Arial" w:hAnsi="Arial"/>
              </w:rPr>
              <w:t xml:space="preserve">Structural support improves resilience but does not erase disturbance sensitivity. Increasing structural_weight cannot fully compensate for high disturbance levels.</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800"/>
        <w:gridCol w:w="6560"/>
      </w:tblGrid>
      <w:tr>
        <w:tc>
          <w:tcPr>
            <w:tcW w:type="dxa" w:w="2800"/>
            <w:shd w:fill="DDE6F4" w:val="clear"/>
            <w:tcMar>
              <w:top w:type="dxa" w:w="70"/>
              <w:start w:type="dxa" w:w="120"/>
              <w:bottom w:type="dxa" w:w="70"/>
              <w:end w:type="dxa" w:w="120"/>
            </w:tcMar>
          </w:tcPr>
          <w:p>
            <w:r>
              <w:rPr>
                <w:b/>
                <w:bCs/>
                <w:color w:val="1A2E4A"/>
                <w:sz w:val="20"/>
                <w:szCs w:val="20"/>
                <w:rFonts w:ascii="Arial" w:hAnsi="Arial"/>
              </w:rPr>
              <w:t>Law 6 — Recovery-Dependence</w:t>
            </w:r>
          </w:p>
        </w:tc>
        <w:tc>
          <w:tcPr>
            <w:tcW w:type="dxa" w:w="6560"/>
            <w:shd w:fill="FFFFFF" w:val="clear"/>
            <w:tcMar>
              <w:top w:type="dxa" w:w="70"/>
              <w:start w:type="dxa" w:w="120"/>
              <w:bottom w:type="dxa" w:w="70"/>
              <w:end w:type="dxa" w:w="120"/>
            </w:tcMar>
          </w:tcPr>
          <w:p>
            <w:r>
              <w:rPr>
                <w:color w:val="333333"/>
                <w:sz w:val="20"/>
                <w:szCs w:val="20"/>
                <w:rFonts w:ascii="Arial" w:hAnsi="Arial"/>
              </w:rPr>
              <w:t xml:space="preserve">Recovery dynamics preserve operation under stress. The system is recovery-dependent rather than disturbance-free.</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800"/>
        <w:gridCol w:w="6560"/>
      </w:tblGrid>
      <w:tr>
        <w:tc>
          <w:tcPr>
            <w:tcW w:type="dxa" w:w="2800"/>
            <w:shd w:fill="DDE6F4" w:val="clear"/>
            <w:tcMar>
              <w:top w:type="dxa" w:w="70"/>
              <w:start w:type="dxa" w:w="120"/>
              <w:bottom w:type="dxa" w:w="70"/>
              <w:end w:type="dxa" w:w="120"/>
            </w:tcMar>
          </w:tcPr>
          <w:p>
            <w:r>
              <w:rPr>
                <w:b/>
                <w:bCs/>
                <w:color w:val="1A2E4A"/>
                <w:sz w:val="20"/>
                <w:szCs w:val="20"/>
                <w:rFonts w:ascii="Arial" w:hAnsi="Arial"/>
              </w:rPr>
              <w:t>Law 7 — Gradual Degradation (within tested range)</w:t>
            </w:r>
          </w:p>
        </w:tc>
        <w:tc>
          <w:tcPr>
            <w:tcW w:type="dxa" w:w="6560"/>
            <w:shd w:fill="FFFFFF" w:val="clear"/>
            <w:tcMar>
              <w:top w:type="dxa" w:w="70"/>
              <w:start w:type="dxa" w:w="120"/>
              <w:bottom w:type="dxa" w:w="70"/>
              <w:end w:type="dxa" w:w="120"/>
            </w:tcMar>
          </w:tcPr>
          <w:p>
            <w:r>
              <w:rPr>
                <w:color w:val="333333"/>
                <w:sz w:val="20"/>
                <w:szCs w:val="20"/>
                <w:rFonts w:ascii="Arial" w:hAnsi="Arial"/>
              </w:rPr>
              <w:t xml:space="preserve">Within the tested ranges, degradation appeared gradual and no catastrophic collapse was observed. This applies to the tested parameter window only.</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800"/>
        <w:gridCol w:w="6560"/>
      </w:tblGrid>
      <w:tr>
        <w:tc>
          <w:tcPr>
            <w:tcW w:type="dxa" w:w="2800"/>
            <w:shd w:fill="DDE6F4" w:val="clear"/>
            <w:tcMar>
              <w:top w:type="dxa" w:w="70"/>
              <w:start w:type="dxa" w:w="120"/>
              <w:bottom w:type="dxa" w:w="70"/>
              <w:end w:type="dxa" w:w="120"/>
            </w:tcMar>
          </w:tcPr>
          <w:p>
            <w:r>
              <w:rPr>
                <w:b/>
                <w:bCs/>
                <w:color w:val="1A2E4A"/>
                <w:sz w:val="20"/>
                <w:szCs w:val="20"/>
                <w:rFonts w:ascii="Arial" w:hAnsi="Arial"/>
              </w:rPr>
              <w:t>Law 8 — Cognitive Distortion as Secondary Axis</w:t>
            </w:r>
          </w:p>
        </w:tc>
        <w:tc>
          <w:tcPr>
            <w:tcW w:type="dxa" w:w="6560"/>
            <w:shd w:fill="FFFFFF" w:val="clear"/>
            <w:tcMar>
              <w:top w:type="dxa" w:w="70"/>
              <w:start w:type="dxa" w:w="120"/>
              <w:bottom w:type="dxa" w:w="70"/>
              <w:end w:type="dxa" w:w="120"/>
            </w:tcMar>
          </w:tcPr>
          <w:p>
            <w:r>
              <w:rPr>
                <w:color w:val="333333"/>
                <w:sz w:val="20"/>
                <w:szCs w:val="20"/>
                <w:rFonts w:ascii="Arial" w:hAnsi="Arial"/>
              </w:rPr>
              <w:t xml:space="preserve">Cognitive distortion is a meaningful secondary stress axis once coupled to trust. Without the trust pathway, it is effectively null.</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800"/>
        <w:gridCol w:w="6560"/>
      </w:tblGrid>
      <w:tr>
        <w:tc>
          <w:tcPr>
            <w:tcW w:type="dxa" w:w="2800"/>
            <w:shd w:fill="DDE6F4" w:val="clear"/>
            <w:tcMar>
              <w:top w:type="dxa" w:w="70"/>
              <w:start w:type="dxa" w:w="120"/>
              <w:bottom w:type="dxa" w:w="70"/>
              <w:end w:type="dxa" w:w="120"/>
            </w:tcMar>
          </w:tcPr>
          <w:p>
            <w:r>
              <w:rPr>
                <w:b/>
                <w:bCs/>
                <w:color w:val="1A2E4A"/>
                <w:sz w:val="20"/>
                <w:szCs w:val="20"/>
                <w:rFonts w:ascii="Arial" w:hAnsi="Arial"/>
              </w:rPr>
              <w:t>Law 9 — Trust–Recovery Coupling</w:t>
            </w:r>
          </w:p>
        </w:tc>
        <w:tc>
          <w:tcPr>
            <w:tcW w:type="dxa" w:w="6560"/>
            <w:shd w:fill="FFFFFF" w:val="clear"/>
            <w:tcMar>
              <w:top w:type="dxa" w:w="70"/>
              <w:start w:type="dxa" w:w="120"/>
              <w:bottom w:type="dxa" w:w="70"/>
              <w:end w:type="dxa" w:w="120"/>
            </w:tcMar>
          </w:tcPr>
          <w:p>
            <w:r>
              <w:rPr>
                <w:color w:val="333333"/>
                <w:sz w:val="20"/>
                <w:szCs w:val="20"/>
                <w:rFonts w:ascii="Arial" w:hAnsi="Arial"/>
              </w:rPr>
              <w:t xml:space="preserve">The trust–recovery loop is a critical dependency. Trust degradation weakens recovery capacity, creating a vulnerability pathway.</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800"/>
        <w:gridCol w:w="6560"/>
      </w:tblGrid>
      <w:tr>
        <w:tc>
          <w:tcPr>
            <w:tcW w:type="dxa" w:w="2800"/>
            <w:shd w:fill="DDE6F4" w:val="clear"/>
            <w:tcMar>
              <w:top w:type="dxa" w:w="70"/>
              <w:start w:type="dxa" w:w="120"/>
              <w:bottom w:type="dxa" w:w="70"/>
              <w:end w:type="dxa" w:w="120"/>
            </w:tcMar>
          </w:tcPr>
          <w:p>
            <w:r>
              <w:rPr>
                <w:b/>
                <w:bCs/>
                <w:color w:val="1A2E4A"/>
                <w:sz w:val="20"/>
                <w:szCs w:val="20"/>
                <w:rFonts w:ascii="Arial" w:hAnsi="Arial"/>
              </w:rPr>
              <w:t>Law 10 — Compound Stress</w:t>
            </w:r>
          </w:p>
        </w:tc>
        <w:tc>
          <w:tcPr>
            <w:tcW w:type="dxa" w:w="6560"/>
            <w:shd w:fill="FFFFFF" w:val="clear"/>
            <w:tcMar>
              <w:top w:type="dxa" w:w="70"/>
              <w:start w:type="dxa" w:w="120"/>
              <w:bottom w:type="dxa" w:w="70"/>
              <w:end w:type="dxa" w:w="120"/>
            </w:tcMar>
          </w:tcPr>
          <w:p>
            <w:r>
              <w:rPr>
                <w:color w:val="333333"/>
                <w:sz w:val="20"/>
                <w:szCs w:val="20"/>
                <w:rFonts w:ascii="Arial" w:hAnsi="Arial"/>
              </w:rPr>
              <w:t xml:space="preserve">Combined stressors produced the strongest degradation observed. Precise interaction strength remains under-controlled pending matched single-axis reruns on v2.</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800"/>
        <w:gridCol w:w="6560"/>
      </w:tblGrid>
      <w:tr>
        <w:tc>
          <w:tcPr>
            <w:tcW w:type="dxa" w:w="2800"/>
            <w:shd w:fill="DDE6F4" w:val="clear"/>
            <w:tcMar>
              <w:top w:type="dxa" w:w="70"/>
              <w:start w:type="dxa" w:w="120"/>
              <w:bottom w:type="dxa" w:w="70"/>
              <w:end w:type="dxa" w:w="120"/>
            </w:tcMar>
          </w:tcPr>
          <w:p>
            <w:r>
              <w:rPr>
                <w:b/>
                <w:bCs/>
                <w:color w:val="1A2E4A"/>
                <w:sz w:val="20"/>
                <w:szCs w:val="20"/>
                <w:rFonts w:ascii="Arial" w:hAnsi="Arial"/>
              </w:rPr>
              <w:t>Law 11 — Primary Failure Pathway</w:t>
            </w:r>
          </w:p>
        </w:tc>
        <w:tc>
          <w:tcPr>
            <w:tcW w:type="dxa" w:w="6560"/>
            <w:shd w:fill="FFFFFF" w:val="clear"/>
            <w:tcMar>
              <w:top w:type="dxa" w:w="70"/>
              <w:start w:type="dxa" w:w="120"/>
              <w:bottom w:type="dxa" w:w="70"/>
              <w:end w:type="dxa" w:w="120"/>
            </w:tcMar>
          </w:tcPr>
          <w:p>
            <w:r>
              <w:rPr>
                <w:color w:val="333333"/>
                <w:sz w:val="20"/>
                <w:szCs w:val="20"/>
                <w:rFonts w:ascii="Arial" w:hAnsi="Arial"/>
              </w:rPr>
              <w:t xml:space="preserve">The most severe degradation observed occurred under volatility combined with weakened trust — the configuration that most directly disrupts the recovery loop.</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800"/>
        <w:gridCol w:w="6560"/>
      </w:tblGrid>
      <w:tr>
        <w:tc>
          <w:tcPr>
            <w:tcW w:type="dxa" w:w="2800"/>
            <w:shd w:fill="DDE6F4" w:val="clear"/>
            <w:tcMar>
              <w:top w:type="dxa" w:w="70"/>
              <w:start w:type="dxa" w:w="120"/>
              <w:bottom w:type="dxa" w:w="70"/>
              <w:end w:type="dxa" w:w="120"/>
            </w:tcMar>
          </w:tcPr>
          <w:p>
            <w:r>
              <w:rPr>
                <w:b/>
                <w:bCs/>
                <w:color w:val="1A2E4A"/>
                <w:sz w:val="20"/>
                <w:szCs w:val="20"/>
                <w:rFonts w:ascii="Arial" w:hAnsi="Arial"/>
              </w:rPr>
              <w:t>Law 12 — Robustness Boundary</w:t>
            </w:r>
          </w:p>
        </w:tc>
        <w:tc>
          <w:tcPr>
            <w:tcW w:type="dxa" w:w="6560"/>
            <w:shd w:fill="FFFFFF" w:val="clear"/>
            <w:tcMar>
              <w:top w:type="dxa" w:w="70"/>
              <w:start w:type="dxa" w:w="120"/>
              <w:bottom w:type="dxa" w:w="70"/>
              <w:end w:type="dxa" w:w="120"/>
            </w:tcMar>
          </w:tcPr>
          <w:p>
            <w:r>
              <w:rPr>
                <w:color w:val="333333"/>
                <w:sz w:val="20"/>
                <w:szCs w:val="20"/>
                <w:rFonts w:ascii="Arial" w:hAnsi="Arial"/>
              </w:rPr>
              <w:t xml:space="preserve">Even under multi-axis stress, recovery remained functional. However, the system approaches the failure boundary under compound stress — robustness has limits not yet fully mapped.</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1A2E4A" w:val="clear"/>
            <w:tcMar>
              <w:top w:type="dxa" w:w="120"/>
              <w:start w:type="dxa" w:w="200"/>
              <w:bottom w:type="dxa" w:w="120"/>
              <w:end w:type="dxa" w:w="200"/>
            </w:tcMar>
          </w:tcPr>
          <w:p>
            <w:pPr>
              <w:spacing w:before="120" w:after="80"/>
            </w:pPr>
            <w:r>
              <w:rPr>
                <w:b/>
                <w:bCs/>
                <w:color w:val="FFFFFF"/>
                <w:sz w:val="28"/>
                <w:szCs w:val="28"/>
                <w:rFonts w:ascii="Arial" w:hAnsi="Arial"/>
              </w:rPr>
              <w:t>Core Principle</w:t>
            </w:r>
          </w:p>
        </w:tc>
      </w:tr>
      <w:tr>
        <w:tc>
          <w:tcPr>
            <w:tcW w:type="dxa" w:w="9360"/>
            <w:shd w:fill="F0F4FA" w:val="clear"/>
            <w:tcMar>
              <w:top w:type="dxa" w:w="60"/>
              <w:start w:type="dxa" w:w="200"/>
              <w:bottom w:type="dxa" w:w="60"/>
              <w:end w:type="dxa" w:w="200"/>
            </w:tcMar>
          </w:tcPr>
          <w:p>
            <w:pPr>
              <w:spacing w:before="40" w:after="40"/>
            </w:pPr>
            <w:r>
              <w:rPr>
                <w:color w:val="333333"/>
                <w:sz w:val="20"/>
                <w:szCs w:val="20"/>
                <w:rFonts w:ascii="Arial" w:hAnsi="Arial"/>
              </w:rPr>
              <w:t xml:space="preserve">The modeled system remains stable when it preserves the trust–recovery loop and operates within its disturbance tolerance range.</w:t>
            </w:r>
          </w:p>
        </w:tc>
      </w:tr>
      <w:tr>
        <w:tc>
          <w:tcPr>
            <w:tcW w:type="dxa" w:w="9360"/>
            <w:shd w:fill="F0F4FA" w:val="clear"/>
            <w:tcMar>
              <w:top w:type="dxa" w:w="60"/>
              <w:start w:type="dxa" w:w="200"/>
              <w:bottom w:type="dxa" w:w="60"/>
              <w:end w:type="dxa" w:w="200"/>
            </w:tcMar>
          </w:tcPr>
          <w:p>
            <w:pPr>
              <w:spacing w:before="40" w:after="40"/>
            </w:pPr>
            <w:r>
              <w:rPr>
                <w:i/>
                <w:iCs/>
                <w:color w:val="333333"/>
                <w:sz w:val="20"/>
                <w:szCs w:val="20"/>
                <w:rFonts w:ascii="Arial" w:hAnsi="Arial"/>
              </w:rPr>
              <w:t xml:space="preserve">These laws describe the current model branch, not universal SOE behavior.</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FFFFFF" w:val="clear"/>
            <w:tcMar>
              <w:top w:type="dxa" w:w="60"/>
              <w:start w:type="dxa" w:w="200"/>
              <w:bottom w:type="dxa" w:w="60"/>
              <w:end w:type="dxa" w:w="200"/>
            </w:tcMar>
          </w:tcPr>
          <w:p>
            <w:pPr>
              <w:spacing w:before="40" w:after="40"/>
            </w:pPr>
            <w:r>
              <w:rPr>
                <w:i/>
                <w:iCs/>
                <w:color w:val="666666"/>
                <w:sz w:val="20"/>
                <w:szCs w:val="20"/>
                <w:rFonts w:ascii="Arial" w:hAnsi="Arial"/>
              </w:rPr>
              <w:t xml:space="preserve">———  End of Section I (GPT Simulation Branch)  ———</w:t>
            </w:r>
          </w:p>
        </w:tc>
      </w:tr>
    </w:tbl>
    <w:p>
      <w:pPr>
        <w:spacing w:before="8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B1A2E" w:sz="1"/>
              <w:left w:val="single" w:color="0B1A2E" w:sz="1"/>
              <w:bottom w:val="single" w:color="0B1A2E" w:sz="1"/>
              <w:right w:val="single" w:color="0B1A2E" w:sz="1"/>
            </w:tcBorders>
            <w:shd w:fill="0B1A2E" w:val="clear"/>
            <w:tcMar>
              <w:top w:type="dxa" w:w="160"/>
              <w:start w:type="dxa" w:w="320"/>
              <w:bottom w:type="dxa" w:w="160"/>
              <w:end w:type="dxa" w:w="320"/>
            </w:tcMar>
          </w:tcPr>
          <w:p>
            <w:pPr>
              <w:jc w:val="left"/>
            </w:pPr>
            <w:r>
              <w:rPr>
                <w:rFonts w:ascii="Calibri" w:cs="Calibri" w:eastAsia="Calibri" w:hAnsi="Calibri"/>
                <w:b/>
                <w:bCs/>
                <w:color w:val="FFFFFF"/>
                <w:sz w:val="26"/>
                <w:szCs w:val="26"/>
              </w:rPr>
              <w:t xml:space="preserve">Core Definitions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Term</w:t>
            </w:r>
          </w:p>
        </w:tc>
        <w:tc>
          <w:tcPr>
            <w:tcW w:type="dxa" w:w="656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Definition</w:t>
            </w:r>
          </w:p>
        </w:tc>
      </w:tr>
      <w:tr>
        <w:tc>
          <w:tcPr>
            <w:tcW w:type="dxa" w:w="28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Collapse</w:t>
            </w:r>
          </w:p>
        </w:tc>
        <w:tc>
          <w:tcPr>
            <w:tcW w:type="dxa" w:w="65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Failure to restore system cooperation above 0.80 within 100 years after a disruption event. Means functional collapse within the recovery window, not extinction or permanent inability to recover.</w:t>
            </w:r>
          </w:p>
        </w:tc>
      </w:tr>
      <w:tr>
        <w:tc>
          <w:tcPr>
            <w:tcW w:type="dxa" w:w="28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Survival</w:t>
            </w:r>
          </w:p>
        </w:tc>
        <w:tc>
          <w:tcPr>
            <w:tcW w:type="dxa" w:w="65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The system remains structurally intact and retains the ability to recover cooperation, even if recovery is delayed.</w:t>
            </w:r>
          </w:p>
        </w:tc>
      </w:tr>
      <w:tr>
        <w:tc>
          <w:tcPr>
            <w:tcW w:type="dxa" w:w="28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Recovery</w:t>
            </w:r>
          </w:p>
        </w:tc>
        <w:tc>
          <w:tcPr>
            <w:tcW w:type="dxa" w:w="65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Restoration of cooperation above the 0.80 threshold within the defined time window.</w:t>
            </w:r>
          </w:p>
        </w:tc>
      </w:tr>
      <w:tr>
        <w:tc>
          <w:tcPr>
            <w:tcW w:type="dxa" w:w="28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Functional Collapse</w:t>
            </w:r>
          </w:p>
        </w:tc>
        <w:tc>
          <w:tcPr>
            <w:tcW w:type="dxa" w:w="65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Recovery occurs after the allowed time window, or cooperation remains below threshold too long to preserve effective system operation.</w:t>
            </w:r>
          </w:p>
        </w:tc>
      </w:tr>
      <w:tr>
        <w:tc>
          <w:tcPr>
            <w:tcW w:type="dxa" w:w="28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Governance Survival Threshold</w:t>
            </w:r>
          </w:p>
        </w:tc>
        <w:tc>
          <w:tcPr>
            <w:tcW w:type="dxa" w:w="65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governance_stability &gt;= 0.50. Values below 0.50 indicate systemic governance collapse risk in the Codex macro simulator.</w:t>
            </w:r>
          </w:p>
        </w:tc>
      </w:tr>
      <w:tr>
        <w:tc>
          <w:tcPr>
            <w:tcW w:type="dxa" w:w="28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Structural Fragmentation</w:t>
            </w:r>
          </w:p>
        </w:tc>
        <w:tc>
          <w:tcPr>
            <w:tcW w:type="dxa" w:w="65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Loss of network unity measured through rising connected-component counts or declining largest-component ratio.</w:t>
            </w:r>
          </w:p>
        </w:tc>
      </w:tr>
    </w:tbl>
    <w:p>
      <w:pPr>
        <w:spacing w:before="120" w:after="120"/>
      </w:pPr>
    </w:p>
    <w:p>
      <w:pPr>
        <w:pBdr>
          <w:bottom w:val="single" w:color="AABBCC" w:sz="1"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1"/>
              <w:left w:val="single" w:color="1A3A5C" w:sz="1"/>
              <w:bottom w:val="single" w:color="1A3A5C" w:sz="1"/>
              <w:right w:val="single" w:color="1A3A5C" w:sz="1"/>
            </w:tcBorders>
            <w:shd w:fill="1A3A5C" w:val="clear"/>
            <w:tcMar>
              <w:top w:type="dxa" w:w="160"/>
              <w:start w:type="dxa" w:w="320"/>
              <w:bottom w:type="dxa" w:w="160"/>
              <w:end w:type="dxa" w:w="320"/>
            </w:tcMar>
          </w:tcPr>
          <w:p>
            <w:pPr>
              <w:jc w:val="left"/>
            </w:pPr>
            <w:r>
              <w:rPr>
                <w:rFonts w:ascii="Calibri" w:cs="Calibri" w:eastAsia="Calibri" w:hAnsi="Calibri"/>
                <w:b/>
                <w:bCs/>
                <w:color w:val="FFFFFF"/>
                <w:sz w:val="26"/>
                <w:szCs w:val="26"/>
              </w:rPr>
              <w:t xml:space="preserve">Experiment Naming System</w:t>
            </w:r>
          </w:p>
        </w:tc>
      </w:tr>
    </w:tbl>
    <w:p>
      <w:pPr>
        <w:spacing w:before="80" w:after="80"/>
      </w:pPr>
    </w:p>
    <w:p>
      <w:pPr>
        <w:spacing w:before="0" w:after="100"/>
        <w:jc w:val="both"/>
      </w:pPr>
      <w:r>
        <w:rPr>
          <w:rFonts w:ascii="Calibri" w:cs="Calibri" w:eastAsia="Calibri" w:hAnsi="Calibri"/>
          <w:color w:val="1C1C2E"/>
          <w:sz w:val="22"/>
          <w:szCs w:val="22"/>
        </w:rPr>
        <w:t xml:space="preserve">All experiments use a prefix-based naming system to identify the model family and experiment type.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60"/>
        <w:gridCol w:w="5360"/>
      </w:tblGrid>
      <w:tr>
        <w:tc>
          <w:tcPr>
            <w:tcW w:type="dxa" w:w="144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Prefix</w:t>
            </w:r>
          </w:p>
        </w:tc>
        <w:tc>
          <w:tcPr>
            <w:tcW w:type="dxa" w:w="256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Model / Source</w:t>
            </w:r>
          </w:p>
        </w:tc>
        <w:tc>
          <w:tcPr>
            <w:tcW w:type="dxa" w:w="536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Purpose</w:t>
            </w:r>
          </w:p>
        </w:tc>
      </w:tr>
      <w:tr>
        <w:tc>
          <w:tcPr>
            <w:tcW w:type="dxa" w:w="144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C</w:t>
            </w:r>
          </w:p>
        </w:tc>
        <w:tc>
          <w:tcPr>
            <w:tcW w:type="dxa" w:w="25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Codex</w:t>
            </w:r>
          </w:p>
        </w:tc>
        <w:tc>
          <w:tcPr>
            <w:tcW w:type="dxa" w:w="53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Macro-level civilization simulations</w:t>
            </w:r>
          </w:p>
        </w:tc>
      </w:tr>
      <w:tr>
        <w:tc>
          <w:tcPr>
            <w:tcW w:type="dxa" w:w="144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CL</w:t>
            </w:r>
          </w:p>
        </w:tc>
        <w:tc>
          <w:tcPr>
            <w:tcW w:type="dxa" w:w="25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Claude</w:t>
            </w:r>
          </w:p>
        </w:tc>
        <w:tc>
          <w:tcPr>
            <w:tcW w:type="dxa" w:w="53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Agent-based behavioral models</w:t>
            </w:r>
          </w:p>
        </w:tc>
      </w:tr>
      <w:tr>
        <w:tc>
          <w:tcPr>
            <w:tcW w:type="dxa" w:w="144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GM</w:t>
            </w:r>
          </w:p>
        </w:tc>
        <w:tc>
          <w:tcPr>
            <w:tcW w:type="dxa" w:w="25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Gemini</w:t>
            </w:r>
          </w:p>
        </w:tc>
        <w:tc>
          <w:tcPr>
            <w:tcW w:type="dxa" w:w="53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Network topology analysis</w:t>
            </w:r>
          </w:p>
        </w:tc>
      </w:tr>
      <w:tr>
        <w:tc>
          <w:tcPr>
            <w:tcW w:type="dxa" w:w="144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GX</w:t>
            </w:r>
          </w:p>
        </w:tc>
        <w:tc>
          <w:tcPr>
            <w:tcW w:type="dxa" w:w="25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Grok / xAI</w:t>
            </w:r>
          </w:p>
        </w:tc>
        <w:tc>
          <w:tcPr>
            <w:tcW w:type="dxa" w:w="53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Stress tests and failure analysis</w:t>
            </w:r>
          </w:p>
        </w:tc>
      </w:tr>
      <w:tr>
        <w:tc>
          <w:tcPr>
            <w:tcW w:type="dxa" w:w="144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X</w:t>
            </w:r>
          </w:p>
        </w:tc>
        <w:tc>
          <w:tcPr>
            <w:tcW w:type="dxa" w:w="25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Cross-Model</w:t>
            </w:r>
          </w:p>
        </w:tc>
        <w:tc>
          <w:tcPr>
            <w:tcW w:type="dxa" w:w="53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Experiments combining multiple models</w:t>
            </w:r>
          </w:p>
        </w:tc>
      </w:tr>
    </w:tbl>
    <w:p>
      <w:pPr>
        <w:spacing w:before="60" w:after="60"/>
      </w:pPr>
    </w:p>
    <w:p>
      <w:pPr>
        <w:spacing w:before="0" w:after="100"/>
        <w:jc w:val="both"/>
      </w:pPr>
      <w:r>
        <w:rPr>
          <w:rFonts w:ascii="Calibri" w:cs="Calibri" w:eastAsia="Calibri" w:hAnsi="Calibri"/>
          <w:color w:val="1C1C2E"/>
          <w:sz w:val="22"/>
          <w:szCs w:val="22"/>
        </w:rPr>
        <w:t xml:space="preserve">Version numbers increase sequentially when an experiment is rerun with materially different parameters. Documentation principles: reproducibility, evidence separation, model independence, and auditability. Validated results are separated from preliminary or model-specific findings whenever direct comparison would be misleading.</w:t>
      </w:r>
    </w:p>
    <w:p>
      <w:pPr>
        <w:spacing w:before="120" w:after="120"/>
      </w:pPr>
    </w:p>
    <w:p>
      <w:pPr>
        <w:pBdr>
          <w:bottom w:val="single" w:color="AABBCC" w:sz="1" w:space="1"/>
        </w:pBdr>
        <w:spacing w:before="16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B1A2E" w:sz="1"/>
              <w:left w:val="single" w:color="0B1A2E" w:sz="1"/>
              <w:bottom w:val="single" w:color="0B1A2E" w:sz="1"/>
              <w:right w:val="single" w:color="0B1A2E" w:sz="1"/>
            </w:tcBorders>
            <w:shd w:fill="0B1A2E" w:val="clear"/>
            <w:tcMar>
              <w:top w:type="dxa" w:w="160"/>
              <w:start w:type="dxa" w:w="320"/>
              <w:bottom w:type="dxa" w:w="160"/>
              <w:end w:type="dxa" w:w="320"/>
            </w:tcMar>
          </w:tcPr>
          <w:p>
            <w:pPr>
              <w:jc w:val="left"/>
            </w:pPr>
            <w:r>
              <w:rPr>
                <w:rFonts w:ascii="Calibri" w:cs="Calibri" w:eastAsia="Calibri" w:hAnsi="Calibri"/>
                <w:b/>
                <w:bCs/>
                <w:color w:val="FFFFFF"/>
                <w:sz w:val="26"/>
                <w:szCs w:val="26"/>
              </w:rPr>
              <w:t xml:space="preserve">Section A  —  Codex Simulator (Validated Results)</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1"/>
              <w:left w:val="thick" w:color="1A3A5C" w:sz="14"/>
              <w:bottom w:val="single" w:color="1A3A5C" w:sz="1"/>
              <w:right w:val="single" w:color="1A3A5C" w:sz="1"/>
            </w:tcBorders>
            <w:shd w:fill="F0F5FA" w:val="clear"/>
            <w:tcMar>
              <w:top w:type="dxa" w:w="100"/>
              <w:start w:type="dxa" w:w="240"/>
              <w:bottom w:type="dxa" w:w="100"/>
              <w:end w:type="dxa" w:w="200"/>
            </w:tcMar>
          </w:tcPr>
          <w:p>
            <w:r>
              <w:rPr>
                <w:rFonts w:ascii="Calibri" w:cs="Calibri" w:eastAsia="Calibri" w:hAnsi="Calibri"/>
                <w:b/>
                <w:bCs/>
                <w:color w:val="1A3A5C"/>
                <w:sz w:val="23"/>
                <w:szCs w:val="23"/>
              </w:rPr>
              <w:t xml:space="preserve">C-BASE-1  —  Baseline Civilization Simulation</w:t>
            </w:r>
          </w:p>
        </w:tc>
      </w:tr>
    </w:tbl>
    <w:p>
      <w:pPr>
        <w:spacing w:before="40" w:after="40"/>
      </w:pPr>
    </w:p>
    <w:p>
      <w:pPr>
        <w:spacing w:before="0" w:after="100"/>
        <w:jc w:val="both"/>
      </w:pPr>
      <w:r>
        <w:rPr>
          <w:rFonts w:ascii="Calibri" w:cs="Calibri" w:eastAsia="Calibri" w:hAnsi="Calibri"/>
          <w:i/>
          <w:iCs/>
          <w:color w:val="5A6070"/>
          <w:sz w:val="22"/>
          <w:szCs w:val="22"/>
        </w:rPr>
        <w:t xml:space="preserve">Model: SOE Simulation v1 (Codex-generated prototype)  ·  Date: 2026-03-13  ·  1000 years  ·  10-year step  ·  Fixed seed</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Metric</w:t>
            </w:r>
          </w:p>
        </w:tc>
        <w:tc>
          <w:tcPr>
            <w:tcW w:type="dxa" w:w="468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Value</w:t>
            </w:r>
          </w:p>
        </w:tc>
      </w:tr>
      <w:tr>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Population</w:t>
            </w:r>
          </w:p>
        </w:tc>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73,280,871</w:t>
            </w:r>
          </w:p>
        </w:tc>
      </w:tr>
      <w:tr>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Nodes</w:t>
            </w:r>
          </w:p>
        </w:tc>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60</w:t>
            </w:r>
          </w:p>
        </w:tc>
      </w:tr>
      <w:tr>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Technology level</w:t>
            </w:r>
          </w:p>
        </w:tc>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5.002</w:t>
            </w:r>
          </w:p>
        </w:tc>
      </w:tr>
      <w:tr>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AI capability</w:t>
            </w:r>
          </w:p>
        </w:tc>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5.934</w:t>
            </w:r>
          </w:p>
        </w:tc>
      </w:tr>
      <w:tr>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Governance stability</w:t>
            </w:r>
          </w:p>
        </w:tc>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0.213</w:t>
            </w:r>
          </w:p>
        </w:tc>
      </w:tr>
      <w:tr>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AI superintelligence threshold crossed</w:t>
            </w:r>
          </w:p>
        </w:tc>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Year 680</w:t>
            </w:r>
          </w:p>
        </w:tc>
      </w:tr>
      <w:tr>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Abundance transition</w:t>
            </w:r>
          </w:p>
        </w:tc>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Not reached</w:t>
            </w:r>
          </w:p>
        </w:tc>
      </w:tr>
    </w:tbl>
    <w:p>
      <w:pPr>
        <w:spacing w:before="60" w:after="60"/>
      </w:pPr>
    </w:p>
    <w:p>
      <w:pPr>
        <w:spacing w:before="0" w:after="100"/>
        <w:jc w:val="both"/>
      </w:pPr>
      <w:r>
        <w:rPr>
          <w:rFonts w:ascii="Calibri" w:cs="Calibri" w:eastAsia="Calibri" w:hAnsi="Calibri"/>
          <w:color w:val="1C1C2E"/>
          <w:sz w:val="22"/>
          <w:szCs w:val="22"/>
        </w:rPr>
        <w:t xml:space="preserve">Most common events: peaceful_upgrade 8, node_fragmentation 6, ai_governance_node 5, ideological_conflict 3, ai_superintelligence 1, infrastructure_crisis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6"/>
              <w:bottom w:val="single" w:color="2A5F8F" w:sz="1"/>
              <w:right w:val="single" w:color="2A5F8F" w:sz="1"/>
            </w:tcBorders>
            <w:shd w:fill="F0F5FA" w:val="clear"/>
            <w:tcMar>
              <w:top w:type="dxa" w:w="120"/>
              <w:start w:type="dxa" w:w="260"/>
              <w:bottom w:type="dxa" w:w="120"/>
              <w:end w:type="dxa" w:w="200"/>
            </w:tcMar>
          </w:tcPr>
          <w:p>
            <w:pPr>
              <w:jc w:val="both"/>
            </w:pPr>
            <w:r>
              <w:rPr>
                <w:rFonts w:ascii="Calibri" w:cs="Calibri" w:eastAsia="Calibri" w:hAnsi="Calibri"/>
                <w:i/>
                <w:iCs/>
                <w:color w:val="1C1C2E"/>
                <w:sz w:val="22"/>
                <w:szCs w:val="22"/>
              </w:rPr>
              <w:t xml:space="preserve">Interpretation: long-run fragility emerges when AI capability grows faster than governance capacity.</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1"/>
              <w:left w:val="thick" w:color="1A3A5C" w:sz="14"/>
              <w:bottom w:val="single" w:color="1A3A5C" w:sz="1"/>
              <w:right w:val="single" w:color="1A3A5C" w:sz="1"/>
            </w:tcBorders>
            <w:shd w:fill="F0F5FA" w:val="clear"/>
            <w:tcMar>
              <w:top w:type="dxa" w:w="100"/>
              <w:start w:type="dxa" w:w="240"/>
              <w:bottom w:type="dxa" w:w="100"/>
              <w:end w:type="dxa" w:w="200"/>
            </w:tcMar>
          </w:tcPr>
          <w:p>
            <w:r>
              <w:rPr>
                <w:rFonts w:ascii="Calibri" w:cs="Calibri" w:eastAsia="Calibri" w:hAnsi="Calibri"/>
                <w:b/>
                <w:bCs/>
                <w:color w:val="1A3A5C"/>
                <w:sz w:val="23"/>
                <w:szCs w:val="23"/>
              </w:rPr>
              <w:t xml:space="preserve">C-PARAM-1  —  Parameter Experiments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Experiment</w:t>
            </w:r>
          </w:p>
        </w:tc>
        <w:tc>
          <w:tcPr>
            <w:tcW w:type="dxa" w:w="348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Key Result</w:t>
            </w:r>
          </w:p>
        </w:tc>
        <w:tc>
          <w:tcPr>
            <w:tcW w:type="dxa" w:w="348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Interpretation</w:t>
            </w:r>
          </w:p>
        </w:tc>
      </w:tr>
      <w:tr>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C-PARAM-1A — Faster Automation</w:t>
            </w:r>
          </w:p>
        </w:tc>
        <w:tc>
          <w:tcPr>
            <w:tcW w:type="dxa" w:w="34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Abundance year 380, peak 0.705, final stability 0.009</w:t>
            </w:r>
          </w:p>
        </w:tc>
        <w:tc>
          <w:tcPr>
            <w:tcW w:type="dxa" w:w="34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Automation-driven abundance alone does not stabilize governance</w:t>
            </w:r>
          </w:p>
        </w:tc>
      </w:tr>
      <w:tr>
        <w:tc>
          <w:tcPr>
            <w:tcW w:type="dxa" w:w="24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C-PARAM-1B — Slower AI Growth</w:t>
            </w:r>
          </w:p>
        </w:tc>
        <w:tc>
          <w:tcPr>
            <w:tcW w:type="dxa" w:w="34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SI threshold year 950, min stability &gt; 0.50, final 0.979</w:t>
            </w:r>
          </w:p>
        </w:tc>
        <w:tc>
          <w:tcPr>
            <w:tcW w:type="dxa" w:w="34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One of the most stable single-seed trajectories in the parameter set</w:t>
            </w:r>
          </w:p>
        </w:tc>
      </w:tr>
      <w:tr>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C-PARAM-1C — Stronger Cooperation</w:t>
            </w:r>
          </w:p>
        </w:tc>
        <w:tc>
          <w:tcPr>
            <w:tcW w:type="dxa" w:w="34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Disruptions fell to 0 vs 4 baseline, final stability 0.117</w:t>
            </w:r>
          </w:p>
        </w:tc>
        <w:tc>
          <w:tcPr>
            <w:tcW w:type="dxa" w:w="34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Cooperation reduces disruption without fully solving governance drift</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1"/>
              <w:left w:val="thick" w:color="1A3A5C" w:sz="14"/>
              <w:bottom w:val="single" w:color="1A3A5C" w:sz="1"/>
              <w:right w:val="single" w:color="1A3A5C" w:sz="1"/>
            </w:tcBorders>
            <w:shd w:fill="F0F5FA" w:val="clear"/>
            <w:tcMar>
              <w:top w:type="dxa" w:w="100"/>
              <w:start w:type="dxa" w:w="240"/>
              <w:bottom w:type="dxa" w:w="100"/>
              <w:end w:type="dxa" w:w="200"/>
            </w:tcMar>
          </w:tcPr>
          <w:p>
            <w:r>
              <w:rPr>
                <w:rFonts w:ascii="Calibri" w:cs="Calibri" w:eastAsia="Calibri" w:hAnsi="Calibri"/>
                <w:b/>
                <w:bCs/>
                <w:color w:val="1A3A5C"/>
                <w:sz w:val="23"/>
                <w:szCs w:val="23"/>
              </w:rPr>
              <w:t xml:space="preserve">C-MC100-1 and C-MC500-1  —  Monte Carlo Validation</w:t>
            </w:r>
          </w:p>
        </w:tc>
      </w:tr>
    </w:tbl>
    <w:p>
      <w:pPr>
        <w:spacing w:before="40" w:after="40"/>
      </w:pPr>
    </w:p>
    <w:p>
      <w:pPr>
        <w:spacing w:before="0" w:after="100"/>
        <w:jc w:val="both"/>
      </w:pPr>
      <w:r>
        <w:rPr>
          <w:rFonts w:ascii="Calibri" w:cs="Calibri" w:eastAsia="Calibri" w:hAnsi="Calibri"/>
          <w:color w:val="1C1C2E"/>
          <w:sz w:val="22"/>
          <w:szCs w:val="22"/>
        </w:rPr>
        <w:t xml:space="preserve">C-MC100-1: across tested scenarios, the strongest determinant of long-run stability was AI growth rate relative to governance capacity.</w:t>
      </w:r>
    </w:p>
    <w:p>
      <w:pPr>
        <w:spacing w:before="40" w:after="40"/>
      </w:pPr>
    </w:p>
    <w:p>
      <w:pPr>
        <w:spacing w:before="0" w:after="100"/>
        <w:jc w:val="both"/>
      </w:pPr>
      <w:r>
        <w:rPr>
          <w:rFonts w:ascii="Calibri" w:cs="Calibri" w:eastAsia="Calibri" w:hAnsi="Calibri"/>
          <w:color w:val="1C1C2E"/>
          <w:sz w:val="22"/>
          <w:szCs w:val="22"/>
        </w:rPr>
        <w:t xml:space="preserve">C-MC500-1 command:</w:t>
      </w:r>
    </w:p>
    <w:p>
      <w:pPr>
        <w:spacing w:before="30" w:after="30"/>
        <w:ind w:left="640"/>
      </w:pPr>
      <w:r>
        <w:rPr>
          <w:rFonts w:ascii="Courier New" w:cs="Courier New" w:eastAsia="Courier New" w:hAnsi="Courier New"/>
          <w:color w:val="1A3A5C"/>
          <w:sz w:val="20"/>
          <w:szCs w:val="20"/>
        </w:rPr>
        <w:t xml:space="preserve">python soe_simulation.py --experiments --runs 500 --output monte_carlo_summary_500.csv --raw-output monte_carlo_runs_500.csv</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Scenario</w:t>
            </w:r>
          </w:p>
        </w:tc>
        <w:tc>
          <w:tcPr>
            <w:tcW w:type="dxa" w:w="468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Stable Rate</w:t>
            </w:r>
          </w:p>
        </w:tc>
      </w:tr>
      <w:tr>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Baseline</w:t>
            </w:r>
          </w:p>
        </w:tc>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1%</w:t>
            </w:r>
          </w:p>
        </w:tc>
      </w:tr>
      <w:tr>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Faster automation</w:t>
            </w:r>
          </w:p>
        </w:tc>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w:t>
            </w:r>
          </w:p>
        </w:tc>
      </w:tr>
      <w:tr>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Slower AI</w:t>
            </w:r>
          </w:p>
        </w:tc>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100%</w:t>
            </w:r>
          </w:p>
        </w:tc>
      </w:tr>
      <w:tr>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Stronger cooperation</w:t>
            </w:r>
          </w:p>
        </w:tc>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w:t>
            </w:r>
          </w:p>
        </w:tc>
      </w:tr>
      <w:tr>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Balanced path</w:t>
            </w:r>
          </w:p>
        </w:tc>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100%</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6"/>
              <w:bottom w:val="single" w:color="2A5F8F" w:sz="1"/>
              <w:right w:val="single" w:color="2A5F8F" w:sz="1"/>
            </w:tcBorders>
            <w:shd w:fill="F0F5FA" w:val="clear"/>
            <w:tcMar>
              <w:top w:type="dxa" w:w="120"/>
              <w:start w:type="dxa" w:w="260"/>
              <w:bottom w:type="dxa" w:w="120"/>
              <w:end w:type="dxa" w:w="200"/>
            </w:tcMar>
          </w:tcPr>
          <w:p>
            <w:pPr>
              <w:jc w:val="both"/>
            </w:pPr>
            <w:r>
              <w:rPr>
                <w:rFonts w:ascii="Calibri" w:cs="Calibri" w:eastAsia="Calibri" w:hAnsi="Calibri"/>
                <w:i/>
                <w:iCs/>
                <w:color w:val="1C1C2E"/>
                <w:sz w:val="22"/>
                <w:szCs w:val="22"/>
              </w:rPr>
              <w:t xml:space="preserve">Interpretation: abundance alone does not guarantee stability, slower AI growth strongly improves stability, and cooperation alone is insufficient when governance lags technology.</w:t>
            </w:r>
          </w:p>
        </w:tc>
      </w:tr>
    </w:tbl>
    <w:p>
      <w:pPr>
        <w:spacing w:before="100" w:after="100"/>
      </w:pPr>
    </w:p>
    <w:p>
      <w:pPr>
        <w:pBdr>
          <w:bottom w:val="single" w:color="AABBCC" w:sz="1" w:space="1"/>
        </w:pBdr>
        <w:spacing w:before="16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6070" w:sz="1"/>
              <w:left w:val="single" w:color="5A6070" w:sz="1"/>
              <w:bottom w:val="single" w:color="5A6070" w:sz="1"/>
              <w:right w:val="single" w:color="5A6070" w:sz="1"/>
            </w:tcBorders>
            <w:shd w:fill="5A6070" w:val="clear"/>
            <w:tcMar>
              <w:top w:type="dxa" w:w="160"/>
              <w:start w:type="dxa" w:w="320"/>
              <w:bottom w:type="dxa" w:w="160"/>
              <w:end w:type="dxa" w:w="320"/>
            </w:tcMar>
          </w:tcPr>
          <w:p>
            <w:pPr>
              <w:jc w:val="left"/>
            </w:pPr>
            <w:r>
              <w:rPr>
                <w:rFonts w:ascii="Calibri" w:cs="Calibri" w:eastAsia="Calibri" w:hAnsi="Calibri"/>
                <w:b/>
                <w:bCs/>
                <w:color w:val="FFFFFF"/>
                <w:sz w:val="26"/>
                <w:szCs w:val="26"/>
              </w:rPr>
              <w:t xml:space="preserve">Section B  —  xAI Simulator (Preliminary Results)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6070" w:sz="1"/>
              <w:left w:val="thick" w:color="5A6070" w:sz="16"/>
              <w:bottom w:val="single" w:color="5A6070" w:sz="1"/>
              <w:right w:val="single" w:color="5A6070" w:sz="1"/>
            </w:tcBorders>
            <w:shd w:fill="F0F5FA" w:val="clear"/>
            <w:tcMar>
              <w:top w:type="dxa" w:w="120"/>
              <w:start w:type="dxa" w:w="260"/>
              <w:bottom w:type="dxa" w:w="120"/>
              <w:end w:type="dxa" w:w="200"/>
            </w:tcMar>
          </w:tcPr>
          <w:p>
            <w:pPr>
              <w:jc w:val="both"/>
            </w:pPr>
            <w:r>
              <w:rPr>
                <w:rFonts w:ascii="Calibri" w:cs="Calibri" w:eastAsia="Calibri" w:hAnsi="Calibri"/>
                <w:i/>
                <w:iCs/>
                <w:color w:val="1C1C2E"/>
                <w:sz w:val="22"/>
                <w:szCs w:val="22"/>
              </w:rPr>
              <w:t xml:space="preserve">These results come from a separate node-level simulator and are not directly comparable with the Codex macro simulations. They are retained as preliminary supporting evidence only.</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6070" w:sz="1"/>
              <w:left w:val="thick" w:color="5A6070" w:sz="14"/>
              <w:bottom w:val="single" w:color="5A6070" w:sz="1"/>
              <w:right w:val="single" w:color="5A6070" w:sz="1"/>
            </w:tcBorders>
            <w:shd w:fill="F0F5FA" w:val="clear"/>
            <w:tcMar>
              <w:top w:type="dxa" w:w="100"/>
              <w:start w:type="dxa" w:w="240"/>
              <w:bottom w:type="dxa" w:w="100"/>
              <w:end w:type="dxa" w:w="200"/>
            </w:tcMar>
          </w:tcPr>
          <w:p>
            <w:r>
              <w:rPr>
                <w:rFonts w:ascii="Calibri" w:cs="Calibri" w:eastAsia="Calibri" w:hAnsi="Calibri"/>
                <w:b/>
                <w:bCs/>
                <w:color w:val="5A6070"/>
                <w:sz w:val="23"/>
                <w:szCs w:val="23"/>
              </w:rPr>
              <w:t xml:space="preserve">GX-RES-1  —  Node Resilience Test</w:t>
            </w:r>
          </w:p>
        </w:tc>
      </w:tr>
    </w:tbl>
    <w:p>
      <w:pPr>
        <w:spacing w:before="40" w:after="40"/>
      </w:pPr>
    </w:p>
    <w:p>
      <w:pPr>
        <w:pStyle w:val="ListParagraph"/>
        <w:numPr>
          <w:ilvl w:val="0"/>
          <w:numId w:val="2"/>
        </w:numPr>
        <w:spacing w:before="40" w:after="40"/>
      </w:pPr>
      <w:r>
        <w:rPr>
          <w:rFonts w:ascii="Calibri" w:cs="Calibri" w:eastAsia="Calibri" w:hAnsi="Calibri"/>
          <w:color w:val="1C1C2E"/>
          <w:sz w:val="21"/>
          <w:szCs w:val="21"/>
        </w:rPr>
        <w:t xml:space="preserve">Baseline scenario: crisis probability 10%, average final resource level 105.4, fragmentation risk 0.08.</w:t>
      </w:r>
    </w:p>
    <w:p>
      <w:pPr>
        <w:pStyle w:val="ListParagraph"/>
        <w:numPr>
          <w:ilvl w:val="0"/>
          <w:numId w:val="2"/>
        </w:numPr>
        <w:spacing w:before="40" w:after="40"/>
      </w:pPr>
      <w:r>
        <w:rPr>
          <w:rFonts w:ascii="Calibri" w:cs="Calibri" w:eastAsia="Calibri" w:hAnsi="Calibri"/>
          <w:color w:val="1C1C2E"/>
          <w:sz w:val="21"/>
          <w:szCs w:val="21"/>
        </w:rPr>
        <w:t xml:space="preserve">Interpretation: the node network remains stable under moderate crisis conditions; resource shocks are absorbed through voluntary cooperation and exploration-driven recovery.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6070" w:sz="1"/>
              <w:left w:val="thick" w:color="5A6070" w:sz="14"/>
              <w:bottom w:val="single" w:color="5A6070" w:sz="1"/>
              <w:right w:val="single" w:color="5A6070" w:sz="1"/>
            </w:tcBorders>
            <w:shd w:fill="F0F5FA" w:val="clear"/>
            <w:tcMar>
              <w:top w:type="dxa" w:w="100"/>
              <w:start w:type="dxa" w:w="240"/>
              <w:bottom w:type="dxa" w:w="100"/>
              <w:end w:type="dxa" w:w="200"/>
            </w:tcMar>
          </w:tcPr>
          <w:p>
            <w:r>
              <w:rPr>
                <w:rFonts w:ascii="Calibri" w:cs="Calibri" w:eastAsia="Calibri" w:hAnsi="Calibri"/>
                <w:b/>
                <w:bCs/>
                <w:color w:val="5A6070"/>
                <w:sz w:val="23"/>
                <w:szCs w:val="23"/>
              </w:rPr>
              <w:t xml:space="preserve">GX-RES-2  —  High Crisis Stress Test</w:t>
            </w:r>
          </w:p>
        </w:tc>
      </w:tr>
    </w:tbl>
    <w:p>
      <w:pPr>
        <w:spacing w:before="40" w:after="40"/>
      </w:pPr>
    </w:p>
    <w:p>
      <w:pPr>
        <w:pStyle w:val="ListParagraph"/>
        <w:numPr>
          <w:ilvl w:val="0"/>
          <w:numId w:val="2"/>
        </w:numPr>
        <w:spacing w:before="40" w:after="40"/>
      </w:pPr>
      <w:r>
        <w:rPr>
          <w:rFonts w:ascii="Calibri" w:cs="Calibri" w:eastAsia="Calibri" w:hAnsi="Calibri"/>
          <w:color w:val="1C1C2E"/>
          <w:sz w:val="21"/>
          <w:szCs w:val="21"/>
        </w:rPr>
        <w:t xml:space="preserve">High-stress scenario: crisis probability 0.30, fragmentation risk 0.25.</w:t>
      </w:r>
    </w:p>
    <w:p>
      <w:pPr>
        <w:pStyle w:val="ListParagraph"/>
        <w:numPr>
          <w:ilvl w:val="0"/>
          <w:numId w:val="2"/>
        </w:numPr>
        <w:spacing w:before="40" w:after="40"/>
      </w:pPr>
      <w:r>
        <w:rPr>
          <w:rFonts w:ascii="Calibri" w:cs="Calibri" w:eastAsia="Calibri" w:hAnsi="Calibri"/>
          <w:color w:val="1C1C2E"/>
          <w:sz w:val="21"/>
          <w:szCs w:val="21"/>
        </w:rPr>
        <w:t xml:space="preserve">Interpretation: frequent crisis events increase fragmentation risk, but the simulated system remains functional in this preliminary model.</w:t>
      </w:r>
    </w:p>
    <w:p>
      <w:pPr>
        <w:spacing w:before="100" w:after="100"/>
      </w:pPr>
    </w:p>
    <w:p>
      <w:pPr>
        <w:pBdr>
          <w:bottom w:val="single" w:color="AABBCC" w:sz="1" w:space="1"/>
        </w:pBdr>
        <w:spacing w:before="16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single" w:color="2A5F8F" w:sz="1"/>
              <w:bottom w:val="single" w:color="2A5F8F" w:sz="1"/>
              <w:right w:val="single" w:color="2A5F8F" w:sz="1"/>
            </w:tcBorders>
            <w:shd w:fill="2A5F8F" w:val="clear"/>
            <w:tcMar>
              <w:top w:type="dxa" w:w="160"/>
              <w:start w:type="dxa" w:w="320"/>
              <w:bottom w:type="dxa" w:w="160"/>
              <w:end w:type="dxa" w:w="320"/>
            </w:tcMar>
          </w:tcPr>
          <w:p>
            <w:pPr>
              <w:jc w:val="left"/>
            </w:pPr>
            <w:r>
              <w:rPr>
                <w:rFonts w:ascii="Calibri" w:cs="Calibri" w:eastAsia="Calibri" w:hAnsi="Calibri"/>
                <w:b/>
                <w:bCs/>
                <w:color w:val="FFFFFF"/>
                <w:sz w:val="26"/>
                <w:szCs w:val="26"/>
              </w:rPr>
              <w:t xml:space="preserve">Section C  —  Agent Simulations (Claude)</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4"/>
              <w:bottom w:val="single" w:color="2A5F8F" w:sz="1"/>
              <w:right w:val="single" w:color="2A5F8F" w:sz="1"/>
            </w:tcBorders>
            <w:shd w:fill="F0F5FA" w:val="clear"/>
            <w:tcMar>
              <w:top w:type="dxa" w:w="100"/>
              <w:start w:type="dxa" w:w="240"/>
              <w:bottom w:type="dxa" w:w="100"/>
              <w:end w:type="dxa" w:w="200"/>
            </w:tcMar>
          </w:tcPr>
          <w:p>
            <w:r>
              <w:rPr>
                <w:rFonts w:ascii="Calibri" w:cs="Calibri" w:eastAsia="Calibri" w:hAnsi="Calibri"/>
                <w:b/>
                <w:bCs/>
                <w:color w:val="2A5F8F"/>
                <w:sz w:val="23"/>
                <w:szCs w:val="23"/>
              </w:rPr>
              <w:t xml:space="preserve">CL-FORM-1  —  Cooperation Emergence Model</w:t>
            </w:r>
          </w:p>
        </w:tc>
      </w:tr>
    </w:tbl>
    <w:p>
      <w:pPr>
        <w:spacing w:before="40" w:after="40"/>
      </w:pPr>
    </w:p>
    <w:p>
      <w:pPr>
        <w:pStyle w:val="ListParagraph"/>
        <w:numPr>
          <w:ilvl w:val="0"/>
          <w:numId w:val="2"/>
        </w:numPr>
        <w:spacing w:before="40" w:after="40"/>
      </w:pPr>
      <w:r>
        <w:rPr>
          <w:rFonts w:ascii="Calibri" w:cs="Calibri" w:eastAsia="Calibri" w:hAnsi="Calibri"/>
          <w:color w:val="1C1C2E"/>
          <w:sz w:val="21"/>
          <w:szCs w:val="21"/>
        </w:rPr>
        <w:t xml:space="preserve">Cooperation emerged naturally in 9 of 10 scenarios without top-down enforcement.</w:t>
      </w:r>
    </w:p>
    <w:p>
      <w:pPr>
        <w:pStyle w:val="ListParagraph"/>
        <w:numPr>
          <w:ilvl w:val="0"/>
          <w:numId w:val="2"/>
        </w:numPr>
        <w:spacing w:before="40" w:after="40"/>
      </w:pPr>
      <w:r>
        <w:rPr>
          <w:rFonts w:ascii="Calibri" w:cs="Calibri" w:eastAsia="Calibri" w:hAnsi="Calibri"/>
          <w:color w:val="1C1C2E"/>
          <w:sz w:val="21"/>
          <w:szCs w:val="21"/>
        </w:rPr>
        <w:t xml:space="preserve">Starting from as low as 0.40 mean cooperation, the network self-organized above the 0.80 threshold by year 285.</w:t>
      </w:r>
    </w:p>
    <w:p>
      <w:pPr>
        <w:pStyle w:val="ListParagraph"/>
        <w:numPr>
          <w:ilvl w:val="0"/>
          <w:numId w:val="2"/>
        </w:numPr>
        <w:spacing w:before="40" w:after="40"/>
      </w:pPr>
      <w:r>
        <w:rPr>
          <w:rFonts w:ascii="Calibri" w:cs="Calibri" w:eastAsia="Calibri" w:hAnsi="Calibri"/>
          <w:color w:val="1C1C2E"/>
          <w:sz w:val="21"/>
          <w:szCs w:val="21"/>
        </w:rPr>
        <w:t xml:space="preserve">The main failure mode was the reciprocal waiting trap: too many conditional cooperators stalled the network below threshold.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4"/>
              <w:bottom w:val="single" w:color="2A5F8F" w:sz="1"/>
              <w:right w:val="single" w:color="2A5F8F" w:sz="1"/>
            </w:tcBorders>
            <w:shd w:fill="F0F5FA" w:val="clear"/>
            <w:tcMar>
              <w:top w:type="dxa" w:w="100"/>
              <w:start w:type="dxa" w:w="240"/>
              <w:bottom w:type="dxa" w:w="100"/>
              <w:end w:type="dxa" w:w="200"/>
            </w:tcMar>
          </w:tcPr>
          <w:p>
            <w:r>
              <w:rPr>
                <w:rFonts w:ascii="Calibri" w:cs="Calibri" w:eastAsia="Calibri" w:hAnsi="Calibri"/>
                <w:b/>
                <w:bCs/>
                <w:color w:val="2A5F8F"/>
                <w:sz w:val="23"/>
                <w:szCs w:val="23"/>
              </w:rPr>
              <w:t xml:space="preserve">CL-FORM-2  —  Trust Dynamics Experiment</w:t>
            </w:r>
          </w:p>
        </w:tc>
      </w:tr>
    </w:tbl>
    <w:p>
      <w:pPr>
        <w:spacing w:before="40" w:after="40"/>
      </w:pPr>
    </w:p>
    <w:p>
      <w:pPr>
        <w:pStyle w:val="ListParagraph"/>
        <w:numPr>
          <w:ilvl w:val="0"/>
          <w:numId w:val="2"/>
        </w:numPr>
        <w:spacing w:before="40" w:after="40"/>
      </w:pPr>
      <w:r>
        <w:rPr>
          <w:rFonts w:ascii="Calibri" w:cs="Calibri" w:eastAsia="Calibri" w:hAnsi="Calibri"/>
          <w:color w:val="1C1C2E"/>
          <w:sz w:val="21"/>
          <w:szCs w:val="21"/>
        </w:rPr>
        <w:t xml:space="preserve">Betrayal creates a persistent new equilibrium rather than a temporary dip.</w:t>
      </w:r>
    </w:p>
    <w:p>
      <w:pPr>
        <w:pStyle w:val="ListParagraph"/>
        <w:numPr>
          <w:ilvl w:val="0"/>
          <w:numId w:val="2"/>
        </w:numPr>
        <w:spacing w:before="40" w:after="40"/>
      </w:pPr>
      <w:r>
        <w:rPr>
          <w:rFonts w:ascii="Calibri" w:cs="Calibri" w:eastAsia="Calibri" w:hAnsi="Calibri"/>
          <w:color w:val="1C1C2E"/>
          <w:sz w:val="21"/>
          <w:szCs w:val="21"/>
        </w:rPr>
        <w:t xml:space="preserve">Large betrayals and heavier infiltration push cooperation below the 0.80 threshold and do not naturally recover.</w:t>
      </w:r>
    </w:p>
    <w:p>
      <w:pPr>
        <w:pStyle w:val="ListParagraph"/>
        <w:numPr>
          <w:ilvl w:val="0"/>
          <w:numId w:val="2"/>
        </w:numPr>
        <w:spacing w:before="40" w:after="40"/>
      </w:pPr>
      <w:r>
        <w:rPr>
          <w:rFonts w:ascii="Calibri" w:cs="Calibri" w:eastAsia="Calibri" w:hAnsi="Calibri"/>
          <w:color w:val="1C1C2E"/>
          <w:sz w:val="21"/>
          <w:szCs w:val="21"/>
        </w:rPr>
        <w:t xml:space="preserve">Trust builds slowly and breaks quickly, indicating the need for an active trust recovery mechanism.</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4"/>
              <w:bottom w:val="single" w:color="2A5F8F" w:sz="1"/>
              <w:right w:val="single" w:color="2A5F8F" w:sz="1"/>
            </w:tcBorders>
            <w:shd w:fill="F0F5FA" w:val="clear"/>
            <w:tcMar>
              <w:top w:type="dxa" w:w="100"/>
              <w:start w:type="dxa" w:w="240"/>
              <w:bottom w:type="dxa" w:w="100"/>
              <w:end w:type="dxa" w:w="200"/>
            </w:tcMar>
          </w:tcPr>
          <w:p>
            <w:r>
              <w:rPr>
                <w:rFonts w:ascii="Calibri" w:cs="Calibri" w:eastAsia="Calibri" w:hAnsi="Calibri"/>
                <w:b/>
                <w:bCs/>
                <w:color w:val="2A5F8F"/>
                <w:sz w:val="23"/>
                <w:szCs w:val="23"/>
              </w:rPr>
              <w:t xml:space="preserve">CL-FORM-3  —  Time-Horizon Cooperation Test</w:t>
            </w:r>
          </w:p>
        </w:tc>
      </w:tr>
    </w:tbl>
    <w:p>
      <w:pPr>
        <w:spacing w:before="40" w:after="40"/>
      </w:pPr>
    </w:p>
    <w:p>
      <w:pPr>
        <w:pStyle w:val="ListParagraph"/>
        <w:numPr>
          <w:ilvl w:val="0"/>
          <w:numId w:val="2"/>
        </w:numPr>
        <w:spacing w:before="40" w:after="40"/>
      </w:pPr>
      <w:r>
        <w:rPr>
          <w:rFonts w:ascii="Calibri" w:cs="Calibri" w:eastAsia="Calibri" w:hAnsi="Calibri"/>
          <w:color w:val="1C1C2E"/>
          <w:sz w:val="21"/>
          <w:szCs w:val="21"/>
        </w:rPr>
        <w:t xml:space="preserve">Planning horizon is decisive: horizon 20 reached final cooperation 0.9887, while short-horizon regimes failed badly.</w:t>
      </w:r>
    </w:p>
    <w:p>
      <w:pPr>
        <w:pStyle w:val="ListParagraph"/>
        <w:numPr>
          <w:ilvl w:val="0"/>
          <w:numId w:val="2"/>
        </w:numPr>
        <w:spacing w:before="40" w:after="40"/>
      </w:pPr>
      <w:r>
        <w:rPr>
          <w:rFonts w:ascii="Calibri" w:cs="Calibri" w:eastAsia="Calibri" w:hAnsi="Calibri"/>
          <w:color w:val="1C1C2E"/>
          <w:sz w:val="21"/>
          <w:szCs w:val="21"/>
        </w:rPr>
        <w:t xml:space="preserve">Mixed populations show that short-horizon nodes drag long-horizon nodes downward.</w:t>
      </w:r>
    </w:p>
    <w:p>
      <w:pPr>
        <w:pStyle w:val="ListParagraph"/>
        <w:numPr>
          <w:ilvl w:val="0"/>
          <w:numId w:val="2"/>
        </w:numPr>
        <w:spacing w:before="40" w:after="40"/>
      </w:pPr>
      <w:r>
        <w:rPr>
          <w:rFonts w:ascii="Calibri" w:cs="Calibri" w:eastAsia="Calibri" w:hAnsi="Calibri"/>
          <w:color w:val="1C1C2E"/>
          <w:sz w:val="21"/>
          <w:szCs w:val="21"/>
        </w:rPr>
        <w:t xml:space="preserve">Abundance alone did not repair this problem; long-horizon norm formation remains necessary.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4"/>
              <w:bottom w:val="single" w:color="2A5F8F" w:sz="1"/>
              <w:right w:val="single" w:color="2A5F8F" w:sz="1"/>
            </w:tcBorders>
            <w:shd w:fill="F0F5FA" w:val="clear"/>
            <w:tcMar>
              <w:top w:type="dxa" w:w="100"/>
              <w:start w:type="dxa" w:w="240"/>
              <w:bottom w:type="dxa" w:w="100"/>
              <w:end w:type="dxa" w:w="200"/>
            </w:tcMar>
          </w:tcPr>
          <w:p>
            <w:r>
              <w:rPr>
                <w:rFonts w:ascii="Calibri" w:cs="Calibri" w:eastAsia="Calibri" w:hAnsi="Calibri"/>
                <w:b/>
                <w:bCs/>
                <w:color w:val="2A5F8F"/>
                <w:sz w:val="23"/>
                <w:szCs w:val="23"/>
              </w:rPr>
              <w:t xml:space="preserve">Section C Synthesis  —  Three Requirements for the Formation Layer</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3840"/>
      </w:tblGrid>
      <w:tr>
        <w:tc>
          <w:tcPr>
            <w:tcW w:type="dxa" w:w="312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Requirement</w:t>
            </w:r>
          </w:p>
        </w:tc>
        <w:tc>
          <w:tcPr>
            <w:tcW w:type="dxa" w:w="24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Source</w:t>
            </w:r>
          </w:p>
        </w:tc>
        <w:tc>
          <w:tcPr>
            <w:tcW w:type="dxa" w:w="384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Mechanism Needed</w:t>
            </w:r>
          </w:p>
        </w:tc>
      </w:tr>
      <w:tr>
        <w:tc>
          <w:tcPr>
            <w:tcW w:type="dxa" w:w="312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Catalyze cooperation</w:t>
            </w:r>
          </w:p>
        </w:tc>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CL-FORM-1</w:t>
            </w:r>
          </w:p>
        </w:tc>
        <w:tc>
          <w:tcPr>
            <w:tcW w:type="dxa" w:w="384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Break the reciprocal waiting trap</w:t>
            </w:r>
          </w:p>
        </w:tc>
      </w:tr>
      <w:tr>
        <w:tc>
          <w:tcPr>
            <w:tcW w:type="dxa" w:w="312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Protect trust after betrayal</w:t>
            </w:r>
          </w:p>
        </w:tc>
        <w:tc>
          <w:tcPr>
            <w:tcW w:type="dxa" w:w="24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CL-FORM-2</w:t>
            </w:r>
          </w:p>
        </w:tc>
        <w:tc>
          <w:tcPr>
            <w:tcW w:type="dxa" w:w="384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Active trust recovery, not passive healing</w:t>
            </w:r>
          </w:p>
        </w:tc>
      </w:tr>
      <w:tr>
        <w:tc>
          <w:tcPr>
            <w:tcW w:type="dxa" w:w="312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Cultivate long-horizon institutional norms</w:t>
            </w:r>
          </w:p>
        </w:tc>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CL-FORM-3</w:t>
            </w:r>
          </w:p>
        </w:tc>
        <w:tc>
          <w:tcPr>
            <w:tcW w:type="dxa" w:w="384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Norm formation that rewards far-sighted behavior</w:t>
            </w:r>
          </w:p>
        </w:tc>
      </w:tr>
    </w:tbl>
    <w:p>
      <w:pPr>
        <w:spacing w:before="100" w:after="100"/>
      </w:pPr>
    </w:p>
    <w:p>
      <w:pPr>
        <w:pBdr>
          <w:bottom w:val="single" w:color="AABBCC" w:sz="1" w:space="1"/>
        </w:pBdr>
        <w:spacing w:before="16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B1A2E" w:sz="1"/>
              <w:left w:val="single" w:color="0B1A2E" w:sz="1"/>
              <w:bottom w:val="single" w:color="0B1A2E" w:sz="1"/>
              <w:right w:val="single" w:color="0B1A2E" w:sz="1"/>
            </w:tcBorders>
            <w:shd w:fill="0B1A2E" w:val="clear"/>
            <w:tcMar>
              <w:top w:type="dxa" w:w="160"/>
              <w:start w:type="dxa" w:w="320"/>
              <w:bottom w:type="dxa" w:w="160"/>
              <w:end w:type="dxa" w:w="320"/>
            </w:tcMar>
          </w:tcPr>
          <w:p>
            <w:pPr>
              <w:jc w:val="left"/>
            </w:pPr>
            <w:r>
              <w:rPr>
                <w:rFonts w:ascii="Calibri" w:cs="Calibri" w:eastAsia="Calibri" w:hAnsi="Calibri"/>
                <w:b/>
                <w:bCs/>
                <w:color w:val="FFFFFF"/>
                <w:sz w:val="26"/>
                <w:szCs w:val="26"/>
              </w:rPr>
              <w:t xml:space="preserve">Section D  —  Network Topology Experiments (Gemini / Codex)</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1"/>
              <w:left w:val="thick" w:color="1A3A5C" w:sz="14"/>
              <w:bottom w:val="single" w:color="1A3A5C" w:sz="1"/>
              <w:right w:val="single" w:color="1A3A5C" w:sz="1"/>
            </w:tcBorders>
            <w:shd w:fill="F0F5FA" w:val="clear"/>
            <w:tcMar>
              <w:top w:type="dxa" w:w="100"/>
              <w:start w:type="dxa" w:w="240"/>
              <w:bottom w:type="dxa" w:w="100"/>
              <w:end w:type="dxa" w:w="200"/>
            </w:tcMar>
          </w:tcPr>
          <w:p>
            <w:r>
              <w:rPr>
                <w:rFonts w:ascii="Calibri" w:cs="Calibri" w:eastAsia="Calibri" w:hAnsi="Calibri"/>
                <w:b/>
                <w:bCs/>
                <w:color w:val="1A3A5C"/>
                <w:sz w:val="23"/>
                <w:szCs w:val="23"/>
              </w:rPr>
              <w:t xml:space="preserve">GM-NET-1/2/3/4  —  Baseline Topology Comparison</w:t>
            </w:r>
          </w:p>
        </w:tc>
      </w:tr>
    </w:tbl>
    <w:p>
      <w:pPr>
        <w:spacing w:before="40" w:after="40"/>
      </w:pPr>
    </w:p>
    <w:p>
      <w:pPr>
        <w:pStyle w:val="ListParagraph"/>
        <w:numPr>
          <w:ilvl w:val="0"/>
          <w:numId w:val="2"/>
        </w:numPr>
        <w:spacing w:before="40" w:after="40"/>
      </w:pPr>
      <w:r>
        <w:rPr>
          <w:rFonts w:ascii="Calibri" w:cs="Calibri" w:eastAsia="Calibri" w:hAnsi="Calibri"/>
          <w:color w:val="1C1C2E"/>
          <w:sz w:val="21"/>
          <w:szCs w:val="21"/>
        </w:rPr>
        <w:t xml:space="preserve">All four topologies survived the 500-year horizon under baseline calibration.</w:t>
      </w:r>
    </w:p>
    <w:p>
      <w:pPr>
        <w:pStyle w:val="ListParagraph"/>
        <w:numPr>
          <w:ilvl w:val="0"/>
          <w:numId w:val="2"/>
        </w:numPr>
        <w:spacing w:before="40" w:after="40"/>
      </w:pPr>
      <w:r>
        <w:rPr>
          <w:rFonts w:ascii="Calibri" w:cs="Calibri" w:eastAsia="Calibri" w:hAnsi="Calibri"/>
          <w:color w:val="1C1C2E"/>
          <w:sz w:val="21"/>
          <w:szCs w:val="21"/>
        </w:rPr>
        <w:t xml:space="preserve">Random had the strongest raw contagion containment, small-world preserved the most coherent final network, and federation retained the most compartmentalization.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6"/>
              <w:bottom w:val="single" w:color="2A5F8F" w:sz="1"/>
              <w:right w:val="single" w:color="2A5F8F" w:sz="1"/>
            </w:tcBorders>
            <w:shd w:fill="F0F5FA" w:val="clear"/>
            <w:tcMar>
              <w:top w:type="dxa" w:w="120"/>
              <w:start w:type="dxa" w:w="260"/>
              <w:bottom w:type="dxa" w:w="120"/>
              <w:end w:type="dxa" w:w="200"/>
            </w:tcMar>
          </w:tcPr>
          <w:p>
            <w:pPr>
              <w:jc w:val="both"/>
            </w:pPr>
            <w:r>
              <w:rPr>
                <w:rFonts w:ascii="Calibri" w:cs="Calibri" w:eastAsia="Calibri" w:hAnsi="Calibri"/>
                <w:i/>
                <w:iCs/>
                <w:color w:val="1C1C2E"/>
                <w:sz w:val="22"/>
                <w:szCs w:val="22"/>
              </w:rPr>
              <w:t xml:space="preserve">Interpretation: topology changes structure under stress, but baseline resilience was too strong for survival to discriminate between topologies.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1"/>
              <w:left w:val="thick" w:color="1A3A5C" w:sz="14"/>
              <w:bottom w:val="single" w:color="1A3A5C" w:sz="1"/>
              <w:right w:val="single" w:color="1A3A5C" w:sz="1"/>
            </w:tcBorders>
            <w:shd w:fill="F0F5FA" w:val="clear"/>
            <w:tcMar>
              <w:top w:type="dxa" w:w="100"/>
              <w:start w:type="dxa" w:w="240"/>
              <w:bottom w:type="dxa" w:w="100"/>
              <w:end w:type="dxa" w:w="200"/>
            </w:tcMar>
          </w:tcPr>
          <w:p>
            <w:r>
              <w:rPr>
                <w:rFonts w:ascii="Calibri" w:cs="Calibri" w:eastAsia="Calibri" w:hAnsi="Calibri"/>
                <w:b/>
                <w:bCs/>
                <w:color w:val="1A3A5C"/>
                <w:sz w:val="23"/>
                <w:szCs w:val="23"/>
              </w:rPr>
              <w:t xml:space="preserve">GM-NET-STRESS-1/2/3/4  —  Topology Stress Test</w:t>
            </w:r>
          </w:p>
        </w:tc>
      </w:tr>
    </w:tbl>
    <w:p>
      <w:pPr>
        <w:spacing w:before="40" w:after="40"/>
      </w:pPr>
    </w:p>
    <w:p>
      <w:pPr>
        <w:pStyle w:val="ListParagraph"/>
        <w:numPr>
          <w:ilvl w:val="0"/>
          <w:numId w:val="2"/>
        </w:numPr>
        <w:spacing w:before="40" w:after="40"/>
      </w:pPr>
      <w:r>
        <w:rPr>
          <w:rFonts w:ascii="Calibri" w:cs="Calibri" w:eastAsia="Calibri" w:hAnsi="Calibri"/>
          <w:color w:val="1C1C2E"/>
          <w:sz w:val="21"/>
          <w:szCs w:val="21"/>
        </w:rPr>
        <w:t xml:space="preserve">A harsher contagion penalty and a 10-node systemic shock still left all four topologies surviving.</w:t>
      </w:r>
    </w:p>
    <w:p>
      <w:pPr>
        <w:pStyle w:val="ListParagraph"/>
        <w:numPr>
          <w:ilvl w:val="0"/>
          <w:numId w:val="2"/>
        </w:numPr>
        <w:spacing w:before="40" w:after="40"/>
      </w:pPr>
      <w:r>
        <w:rPr>
          <w:rFonts w:ascii="Calibri" w:cs="Calibri" w:eastAsia="Calibri" w:hAnsi="Calibri"/>
          <w:color w:val="1C1C2E"/>
          <w:sz w:val="21"/>
          <w:szCs w:val="21"/>
        </w:rPr>
        <w:t xml:space="preserve">Topology differences appeared in containment and cohesion metrics, but not yet in outright failure.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1"/>
              <w:left w:val="thick" w:color="1A3A5C" w:sz="14"/>
              <w:bottom w:val="single" w:color="1A3A5C" w:sz="1"/>
              <w:right w:val="single" w:color="1A3A5C" w:sz="1"/>
            </w:tcBorders>
            <w:shd w:fill="F0F5FA" w:val="clear"/>
            <w:tcMar>
              <w:top w:type="dxa" w:w="100"/>
              <w:start w:type="dxa" w:w="240"/>
              <w:bottom w:type="dxa" w:w="100"/>
              <w:end w:type="dxa" w:w="200"/>
            </w:tcMar>
          </w:tcPr>
          <w:p>
            <w:r>
              <w:rPr>
                <w:rFonts w:ascii="Calibri" w:cs="Calibri" w:eastAsia="Calibri" w:hAnsi="Calibri"/>
                <w:b/>
                <w:bCs/>
                <w:color w:val="1A3A5C"/>
                <w:sz w:val="23"/>
                <w:szCs w:val="23"/>
              </w:rPr>
              <w:t xml:space="preserve">GM-NET-D1  —  Decapitation Strike v2.1 (Hub Targeting)</w:t>
            </w:r>
          </w:p>
        </w:tc>
      </w:tr>
    </w:tbl>
    <w:p>
      <w:pPr>
        <w:spacing w:before="40" w:after="40"/>
      </w:pPr>
    </w:p>
    <w:p>
      <w:pPr>
        <w:pStyle w:val="ListParagraph"/>
        <w:numPr>
          <w:ilvl w:val="0"/>
          <w:numId w:val="2"/>
        </w:numPr>
        <w:spacing w:before="40" w:after="40"/>
      </w:pPr>
      <w:r>
        <w:rPr>
          <w:rFonts w:ascii="Calibri" w:cs="Calibri" w:eastAsia="Calibri" w:hAnsi="Calibri"/>
          <w:color w:val="1C1C2E"/>
          <w:sz w:val="21"/>
          <w:szCs w:val="21"/>
        </w:rPr>
        <w:t xml:space="preserve">Hub-targeted destabilization did not shatter the network under the tested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6"/>
              <w:bottom w:val="single" w:color="2A5F8F" w:sz="1"/>
              <w:right w:val="single" w:color="2A5F8F" w:sz="1"/>
            </w:tcBorders>
            <w:shd w:fill="F0F5FA" w:val="clear"/>
            <w:tcMar>
              <w:top w:type="dxa" w:w="120"/>
              <w:start w:type="dxa" w:w="260"/>
              <w:bottom w:type="dxa" w:w="120"/>
              <w:end w:type="dxa" w:w="200"/>
            </w:tcMar>
          </w:tcPr>
          <w:p>
            <w:pPr>
              <w:jc w:val="both"/>
            </w:pPr>
            <w:r>
              <w:rPr>
                <w:rFonts w:ascii="Calibri" w:cs="Calibri" w:eastAsia="Calibri" w:hAnsi="Calibri"/>
                <w:i/>
                <w:iCs/>
                <w:color w:val="1C1C2E"/>
                <w:sz w:val="22"/>
                <w:szCs w:val="22"/>
              </w:rPr>
              <w:t xml:space="preserve">Interpretation: the architecture was still too resilient for hub-targeting alone to determine outcome.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2020" w:sz="1"/>
              <w:left w:val="thick" w:color="8B2020" w:sz="14"/>
              <w:bottom w:val="single" w:color="8B2020" w:sz="1"/>
              <w:right w:val="single" w:color="8B2020" w:sz="1"/>
            </w:tcBorders>
            <w:shd w:fill="F0F5FA" w:val="clear"/>
            <w:tcMar>
              <w:top w:type="dxa" w:w="100"/>
              <w:start w:type="dxa" w:w="240"/>
              <w:bottom w:type="dxa" w:w="100"/>
              <w:end w:type="dxa" w:w="200"/>
            </w:tcMar>
          </w:tcPr>
          <w:p>
            <w:r>
              <w:rPr>
                <w:rFonts w:ascii="Calibri" w:cs="Calibri" w:eastAsia="Calibri" w:hAnsi="Calibri"/>
                <w:b/>
                <w:bCs/>
                <w:color w:val="8B2020"/>
                <w:sz w:val="23"/>
                <w:szCs w:val="23"/>
              </w:rPr>
              <w:t xml:space="preserve">GM-NET-D2  —  Decapitation Strike v2.2 (Hub Removal)  —  Final Validated Result</w:t>
            </w:r>
          </w:p>
        </w:tc>
      </w:tr>
    </w:tbl>
    <w:p>
      <w:pPr>
        <w:spacing w:before="40" w:after="40"/>
      </w:pPr>
    </w:p>
    <w:p>
      <w:pPr>
        <w:spacing w:before="0" w:after="100"/>
        <w:jc w:val="both"/>
      </w:pPr>
      <w:r>
        <w:rPr>
          <w:rFonts w:ascii="Calibri" w:cs="Calibri" w:eastAsia="Calibri" w:hAnsi="Calibri"/>
          <w:i/>
          <w:iCs/>
          <w:color w:val="5A6070"/>
          <w:sz w:val="22"/>
          <w:szCs w:val="22"/>
        </w:rPr>
        <w:t xml:space="preserve">Parameters: top 10 highest-degree nodes removed at year 200, contagion penalty 0.35, initial protocol cohesion 0.45, 20 runs, 300-year horizon.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800"/>
        <w:gridCol w:w="1560"/>
      </w:tblGrid>
      <w:tr>
        <w:tc>
          <w:tcPr>
            <w:tcW w:type="dxa" w:w="20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Topology</w:t>
            </w:r>
          </w:p>
        </w:tc>
        <w:tc>
          <w:tcPr>
            <w:tcW w:type="dxa" w:w="20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Survival</w:t>
            </w:r>
          </w:p>
        </w:tc>
        <w:tc>
          <w:tcPr>
            <w:tcW w:type="dxa" w:w="20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Fragmentation</w:t>
            </w:r>
          </w:p>
        </w:tc>
        <w:tc>
          <w:tcPr>
            <w:tcW w:type="dxa" w:w="18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Containment</w:t>
            </w:r>
          </w:p>
        </w:tc>
        <w:tc>
          <w:tcPr>
            <w:tcW w:type="dxa" w:w="156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Largest Component</w:t>
            </w:r>
          </w:p>
        </w:tc>
      </w:tr>
      <w:tr>
        <w:tc>
          <w:tcPr>
            <w:tcW w:type="dxa" w:w="20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Random</w:t>
            </w:r>
          </w:p>
        </w:tc>
        <w:tc>
          <w:tcPr>
            <w:tcW w:type="dxa" w:w="20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1.000</w:t>
            </w:r>
          </w:p>
        </w:tc>
        <w:tc>
          <w:tcPr>
            <w:tcW w:type="dxa" w:w="20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0.70</w:t>
            </w:r>
          </w:p>
        </w:tc>
        <w:tc>
          <w:tcPr>
            <w:tcW w:type="dxa" w:w="18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0.125</w:t>
            </w:r>
          </w:p>
        </w:tc>
        <w:tc>
          <w:tcPr>
            <w:tcW w:type="dxa" w:w="15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0.985</w:t>
            </w:r>
          </w:p>
        </w:tc>
      </w:tr>
      <w:tr>
        <w:tc>
          <w:tcPr>
            <w:tcW w:type="dxa" w:w="20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Scale-Free</w:t>
            </w:r>
          </w:p>
        </w:tc>
        <w:tc>
          <w:tcPr>
            <w:tcW w:type="dxa" w:w="20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1.000</w:t>
            </w:r>
          </w:p>
        </w:tc>
        <w:tc>
          <w:tcPr>
            <w:tcW w:type="dxa" w:w="20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4.90  ← highest</w:t>
            </w:r>
          </w:p>
        </w:tc>
        <w:tc>
          <w:tcPr>
            <w:tcW w:type="dxa" w:w="18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0.112</w:t>
            </w:r>
          </w:p>
        </w:tc>
        <w:tc>
          <w:tcPr>
            <w:tcW w:type="dxa" w:w="15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0.862  ← lowest</w:t>
            </w:r>
          </w:p>
        </w:tc>
      </w:tr>
      <w:tr>
        <w:tc>
          <w:tcPr>
            <w:tcW w:type="dxa" w:w="20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Small-World</w:t>
            </w:r>
          </w:p>
        </w:tc>
        <w:tc>
          <w:tcPr>
            <w:tcW w:type="dxa" w:w="20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1.000</w:t>
            </w:r>
          </w:p>
        </w:tc>
        <w:tc>
          <w:tcPr>
            <w:tcW w:type="dxa" w:w="20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1.45</w:t>
            </w:r>
          </w:p>
        </w:tc>
        <w:tc>
          <w:tcPr>
            <w:tcW w:type="dxa" w:w="18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0.141</w:t>
            </w:r>
          </w:p>
        </w:tc>
        <w:tc>
          <w:tcPr>
            <w:tcW w:type="dxa" w:w="15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0.867</w:t>
            </w:r>
          </w:p>
        </w:tc>
      </w:tr>
      <w:tr>
        <w:tc>
          <w:tcPr>
            <w:tcW w:type="dxa" w:w="20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Federation</w:t>
            </w:r>
          </w:p>
        </w:tc>
        <w:tc>
          <w:tcPr>
            <w:tcW w:type="dxa" w:w="20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1.000</w:t>
            </w:r>
          </w:p>
        </w:tc>
        <w:tc>
          <w:tcPr>
            <w:tcW w:type="dxa" w:w="20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1.20</w:t>
            </w:r>
          </w:p>
        </w:tc>
        <w:tc>
          <w:tcPr>
            <w:tcW w:type="dxa" w:w="18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0.227</w:t>
            </w:r>
          </w:p>
        </w:tc>
        <w:tc>
          <w:tcPr>
            <w:tcW w:type="dxa" w:w="15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0.968  ← highest</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6"/>
              <w:bottom w:val="single" w:color="2A5F8F" w:sz="1"/>
              <w:right w:val="single" w:color="2A5F8F" w:sz="1"/>
            </w:tcBorders>
            <w:shd w:fill="F0F5FA" w:val="clear"/>
            <w:tcMar>
              <w:top w:type="dxa" w:w="120"/>
              <w:start w:type="dxa" w:w="260"/>
              <w:bottom w:type="dxa" w:w="120"/>
              <w:end w:type="dxa" w:w="200"/>
            </w:tcMar>
          </w:tcPr>
          <w:p>
            <w:pPr>
              <w:jc w:val="both"/>
            </w:pPr>
            <w:r>
              <w:rPr>
                <w:rFonts w:ascii="Calibri" w:cs="Calibri" w:eastAsia="Calibri" w:hAnsi="Calibri"/>
                <w:i/>
                <w:iCs/>
                <w:color w:val="1C1C2E"/>
                <w:sz w:val="22"/>
                <w:szCs w:val="22"/>
              </w:rPr>
              <w:t xml:space="preserve">Interpretation: over-centralization without redundancy is fragile. Structural survival does not imply structural integrity.</w:t>
            </w:r>
          </w:p>
        </w:tc>
      </w:tr>
    </w:tbl>
    <w:p>
      <w:pPr>
        <w:spacing w:before="100" w:after="100"/>
      </w:pPr>
    </w:p>
    <w:p>
      <w:pPr>
        <w:pBdr>
          <w:bottom w:val="single" w:color="AABBCC" w:sz="1" w:space="1"/>
        </w:pBdr>
        <w:spacing w:before="16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2020" w:sz="1"/>
              <w:left w:val="single" w:color="8B2020" w:sz="1"/>
              <w:bottom w:val="single" w:color="8B2020" w:sz="1"/>
              <w:right w:val="single" w:color="8B2020" w:sz="1"/>
            </w:tcBorders>
            <w:shd w:fill="8B2020" w:val="clear"/>
            <w:tcMar>
              <w:top w:type="dxa" w:w="160"/>
              <w:start w:type="dxa" w:w="320"/>
              <w:bottom w:type="dxa" w:w="160"/>
              <w:end w:type="dxa" w:w="320"/>
            </w:tcMar>
          </w:tcPr>
          <w:p>
            <w:pPr>
              <w:jc w:val="left"/>
            </w:pPr>
            <w:r>
              <w:rPr>
                <w:rFonts w:ascii="Calibri" w:cs="Calibri" w:eastAsia="Calibri" w:hAnsi="Calibri"/>
                <w:b/>
                <w:bCs/>
                <w:color w:val="FFFFFF"/>
                <w:sz w:val="26"/>
                <w:szCs w:val="26"/>
              </w:rPr>
              <w:t xml:space="preserve">Section E  —  Adversarial Stress Tests (Grok / xAI)</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2020" w:sz="1"/>
              <w:left w:val="thick" w:color="8B2020" w:sz="16"/>
              <w:bottom w:val="single" w:color="8B2020" w:sz="1"/>
              <w:right w:val="single" w:color="8B2020" w:sz="1"/>
            </w:tcBorders>
            <w:shd w:fill="F0F5FA" w:val="clear"/>
            <w:tcMar>
              <w:top w:type="dxa" w:w="120"/>
              <w:start w:type="dxa" w:w="260"/>
              <w:bottom w:type="dxa" w:w="120"/>
              <w:end w:type="dxa" w:w="200"/>
            </w:tcMar>
          </w:tcPr>
          <w:p>
            <w:pPr>
              <w:jc w:val="both"/>
            </w:pPr>
            <w:r>
              <w:rPr>
                <w:rFonts w:ascii="Calibri" w:cs="Calibri" w:eastAsia="Calibri" w:hAnsi="Calibri"/>
                <w:i/>
                <w:iCs/>
                <w:color w:val="1C1C2E"/>
                <w:sz w:val="22"/>
                <w:szCs w:val="22"/>
              </w:rPr>
              <w:t xml:space="preserve">These experiments come from a different simulator family and should be treated as model-specific stress evidence rather than direct one-to-one comparisons with Codex outputs.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160"/>
        <w:gridCol w:w="2160"/>
        <w:gridCol w:w="2400"/>
      </w:tblGrid>
      <w:tr>
        <w:tc>
          <w:tcPr>
            <w:tcW w:type="dxa" w:w="264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Experiment</w:t>
            </w:r>
          </w:p>
        </w:tc>
        <w:tc>
          <w:tcPr>
            <w:tcW w:type="dxa" w:w="216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Baseline Survival</w:t>
            </w:r>
          </w:p>
        </w:tc>
        <w:tc>
          <w:tcPr>
            <w:tcW w:type="dxa" w:w="216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High-Stress Survival</w:t>
            </w:r>
          </w:p>
        </w:tc>
        <w:tc>
          <w:tcPr>
            <w:tcW w:type="dxa" w:w="24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Critical Threshold</w:t>
            </w:r>
          </w:p>
        </w:tc>
      </w:tr>
      <w:tr>
        <w:tc>
          <w:tcPr>
            <w:tcW w:type="dxa" w:w="264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GX-CASCADE-1</w:t>
            </w:r>
          </w:p>
        </w:tc>
        <w:tc>
          <w:tcPr>
            <w:tcW w:type="dxa" w:w="21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45%</w:t>
            </w:r>
          </w:p>
        </w:tc>
        <w:tc>
          <w:tcPr>
            <w:tcW w:type="dxa" w:w="21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&lt; 10%</w:t>
            </w:r>
          </w:p>
        </w:tc>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Cooperation &lt; 0.75</w:t>
            </w:r>
          </w:p>
        </w:tc>
      </w:tr>
      <w:tr>
        <w:tc>
          <w:tcPr>
            <w:tcW w:type="dxa" w:w="264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GX-POLAR-1</w:t>
            </w:r>
          </w:p>
        </w:tc>
        <w:tc>
          <w:tcPr>
            <w:tcW w:type="dxa" w:w="21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62%</w:t>
            </w:r>
          </w:p>
        </w:tc>
        <w:tc>
          <w:tcPr>
            <w:tcW w:type="dxa" w:w="21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20%</w:t>
            </w:r>
          </w:p>
        </w:tc>
        <w:tc>
          <w:tcPr>
            <w:tcW w:type="dxa" w:w="24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Polarization &gt; 25% / cycle</w:t>
            </w:r>
          </w:p>
        </w:tc>
      </w:tr>
      <w:tr>
        <w:tc>
          <w:tcPr>
            <w:tcW w:type="dxa" w:w="264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GX-AI-TAKE-1</w:t>
            </w:r>
          </w:p>
        </w:tc>
        <w:tc>
          <w:tcPr>
            <w:tcW w:type="dxa" w:w="21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55%</w:t>
            </w:r>
          </w:p>
        </w:tc>
        <w:tc>
          <w:tcPr>
            <w:tcW w:type="dxa" w:w="21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5%</w:t>
            </w:r>
          </w:p>
        </w:tc>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Superintelligence before year 400</w:t>
            </w:r>
          </w:p>
        </w:tc>
      </w:tr>
      <w:tr>
        <w:tc>
          <w:tcPr>
            <w:tcW w:type="dxa" w:w="264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GX-INFOWAR-1</w:t>
            </w:r>
          </w:p>
        </w:tc>
        <w:tc>
          <w:tcPr>
            <w:tcW w:type="dxa" w:w="21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48%</w:t>
            </w:r>
          </w:p>
        </w:tc>
        <w:tc>
          <w:tcPr>
            <w:tcW w:type="dxa" w:w="21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1%</w:t>
            </w:r>
          </w:p>
        </w:tc>
        <w:tc>
          <w:tcPr>
            <w:tcW w:type="dxa" w:w="24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Cooperation &lt; 0.60</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6"/>
              <w:bottom w:val="single" w:color="2A5F8F" w:sz="1"/>
              <w:right w:val="single" w:color="2A5F8F" w:sz="1"/>
            </w:tcBorders>
            <w:shd w:fill="F0F5FA" w:val="clear"/>
            <w:tcMar>
              <w:top w:type="dxa" w:w="120"/>
              <w:start w:type="dxa" w:w="260"/>
              <w:bottom w:type="dxa" w:w="120"/>
              <w:end w:type="dxa" w:w="200"/>
            </w:tcMar>
          </w:tcPr>
          <w:p>
            <w:pPr>
              <w:jc w:val="both"/>
            </w:pPr>
            <w:r>
              <w:rPr>
                <w:rFonts w:ascii="Calibri" w:cs="Calibri" w:eastAsia="Calibri" w:hAnsi="Calibri"/>
                <w:i/>
                <w:iCs/>
                <w:color w:val="1C1C2E"/>
                <w:sz w:val="22"/>
                <w:szCs w:val="22"/>
              </w:rPr>
              <w:t xml:space="preserve">Cross-experiment reading: these stress tests suggest that cooperation thresholds and coordination bottlenecks matter across architectures, but the exact threshold values should not be treated as perfectly interchangeable across different models.</w:t>
            </w:r>
          </w:p>
        </w:tc>
      </w:tr>
    </w:tbl>
    <w:p>
      <w:pPr>
        <w:spacing w:before="100" w:after="100"/>
      </w:pPr>
    </w:p>
    <w:p>
      <w:pPr>
        <w:pBdr>
          <w:bottom w:val="single" w:color="AABBCC" w:sz="1" w:space="1"/>
        </w:pBdr>
        <w:spacing w:before="16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6070" w:sz="1"/>
              <w:left w:val="single" w:color="5A6070" w:sz="1"/>
              <w:bottom w:val="single" w:color="5A6070" w:sz="1"/>
              <w:right w:val="single" w:color="5A6070" w:sz="1"/>
            </w:tcBorders>
            <w:shd w:fill="5A6070" w:val="clear"/>
            <w:tcMar>
              <w:top w:type="dxa" w:w="160"/>
              <w:start w:type="dxa" w:w="320"/>
              <w:bottom w:type="dxa" w:w="160"/>
              <w:end w:type="dxa" w:w="320"/>
            </w:tcMar>
          </w:tcPr>
          <w:p>
            <w:pPr>
              <w:jc w:val="left"/>
            </w:pPr>
            <w:r>
              <w:rPr>
                <w:rFonts w:ascii="Calibri" w:cs="Calibri" w:eastAsia="Calibri" w:hAnsi="Calibri"/>
                <w:b/>
                <w:bCs/>
                <w:color w:val="FFFFFF"/>
                <w:sz w:val="26"/>
                <w:szCs w:val="26"/>
              </w:rPr>
              <w:t xml:space="preserve">Section F  —  Cross-Model Experiments  (Audit Record Only)</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800"/>
        <w:gridCol w:w="4200"/>
      </w:tblGrid>
      <w:tr>
        <w:tc>
          <w:tcPr>
            <w:tcW w:type="dxa" w:w="336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Experiment</w:t>
            </w:r>
          </w:p>
        </w:tc>
        <w:tc>
          <w:tcPr>
            <w:tcW w:type="dxa" w:w="18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Status</w:t>
            </w:r>
          </w:p>
        </w:tc>
        <w:tc>
          <w:tcPr>
            <w:tcW w:type="dxa" w:w="42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Superseded By</w:t>
            </w:r>
          </w:p>
        </w:tc>
      </w:tr>
      <w:tr>
        <w:tc>
          <w:tcPr>
            <w:tcW w:type="dxa" w:w="33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X-COOP-THRESH-1 — Cooperation Threshold Validation</w:t>
            </w:r>
          </w:p>
        </w:tc>
        <w:tc>
          <w:tcPr>
            <w:tcW w:type="dxa" w:w="18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Not executed</w:t>
            </w:r>
          </w:p>
        </w:tc>
        <w:tc>
          <w:tcPr>
            <w:tcW w:type="dxa" w:w="42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CL-NET synthesis and Section X law statements</w:t>
            </w:r>
          </w:p>
        </w:tc>
      </w:tr>
      <w:tr>
        <w:tc>
          <w:tcPr>
            <w:tcW w:type="dxa" w:w="33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X-STABILITY-MAP-1 — Civilizational Stability Landscape</w:t>
            </w:r>
          </w:p>
        </w:tc>
        <w:tc>
          <w:tcPr>
            <w:tcW w:type="dxa" w:w="18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Not executed</w:t>
            </w:r>
          </w:p>
        </w:tc>
        <w:tc>
          <w:tcPr>
            <w:tcW w:type="dxa" w:w="42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Accumulated Monte Carlo and CL-NET parameter results</w:t>
            </w:r>
          </w:p>
        </w:tc>
      </w:tr>
      <w:tr>
        <w:tc>
          <w:tcPr>
            <w:tcW w:type="dxa" w:w="33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X-AI-GOV-1 — AI Governance Architecture Comparison</w:t>
            </w:r>
          </w:p>
        </w:tc>
        <w:tc>
          <w:tcPr>
            <w:tcW w:type="dxa" w:w="18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Not executed</w:t>
            </w:r>
          </w:p>
        </w:tc>
        <w:tc>
          <w:tcPr>
            <w:tcW w:type="dxa" w:w="42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Section A and Section G governance findings</w:t>
            </w:r>
          </w:p>
        </w:tc>
      </w:tr>
    </w:tbl>
    <w:p>
      <w:pPr>
        <w:spacing w:before="60" w:after="60"/>
      </w:pPr>
    </w:p>
    <w:p>
      <w:pPr>
        <w:spacing w:before="0" w:after="100"/>
        <w:jc w:val="both"/>
      </w:pPr>
      <w:r>
        <w:rPr>
          <w:rFonts w:ascii="Calibri" w:cs="Calibri" w:eastAsia="Calibri" w:hAnsi="Calibri"/>
          <w:i/>
          <w:iCs/>
          <w:color w:val="5A6070"/>
          <w:sz w:val="22"/>
          <w:szCs w:val="22"/>
        </w:rPr>
        <w:t xml:space="preserve">Section F is retained for audit continuity only. No standalone executed cross-model experiment content is included in this edition.</w:t>
      </w:r>
    </w:p>
    <w:p>
      <w:pPr>
        <w:spacing w:before="100" w:after="100"/>
      </w:pPr>
    </w:p>
    <w:p>
      <w:pPr>
        <w:pBdr>
          <w:bottom w:val="single" w:color="AABBCC" w:sz="1" w:space="1"/>
        </w:pBdr>
        <w:spacing w:before="16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B1A2E" w:sz="1"/>
              <w:left w:val="single" w:color="0B1A2E" w:sz="1"/>
              <w:bottom w:val="single" w:color="0B1A2E" w:sz="1"/>
              <w:right w:val="single" w:color="0B1A2E" w:sz="1"/>
            </w:tcBorders>
            <w:shd w:fill="0B1A2E" w:val="clear"/>
            <w:tcMar>
              <w:top w:type="dxa" w:w="160"/>
              <w:start w:type="dxa" w:w="320"/>
              <w:bottom w:type="dxa" w:w="160"/>
              <w:end w:type="dxa" w:w="320"/>
            </w:tcMar>
          </w:tcPr>
          <w:p>
            <w:pPr>
              <w:jc w:val="left"/>
            </w:pPr>
            <w:r>
              <w:rPr>
                <w:rFonts w:ascii="Calibri" w:cs="Calibri" w:eastAsia="Calibri" w:hAnsi="Calibri"/>
                <w:b/>
                <w:bCs/>
                <w:color w:val="FFFFFF"/>
                <w:sz w:val="26"/>
                <w:szCs w:val="26"/>
              </w:rPr>
              <w:t xml:space="preserve">Section G  —  Bureaucratic Layer Experiments (Codex v1.5)</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1"/>
              <w:left w:val="thick" w:color="1A3A5C" w:sz="14"/>
              <w:bottom w:val="single" w:color="1A3A5C" w:sz="1"/>
              <w:right w:val="single" w:color="1A3A5C" w:sz="1"/>
            </w:tcBorders>
            <w:shd w:fill="F0F5FA" w:val="clear"/>
            <w:tcMar>
              <w:top w:type="dxa" w:w="100"/>
              <w:start w:type="dxa" w:w="240"/>
              <w:bottom w:type="dxa" w:w="100"/>
              <w:end w:type="dxa" w:w="200"/>
            </w:tcMar>
          </w:tcPr>
          <w:p>
            <w:r>
              <w:rPr>
                <w:rFonts w:ascii="Calibri" w:cs="Calibri" w:eastAsia="Calibri" w:hAnsi="Calibri"/>
                <w:b/>
                <w:bCs/>
                <w:color w:val="1A3A5C"/>
                <w:sz w:val="23"/>
                <w:szCs w:val="23"/>
              </w:rPr>
              <w:t xml:space="preserve">C-V1.5-BASE-1  —  Bureaucratic Layer Baseline Calibration</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Metric</w:t>
            </w:r>
          </w:p>
        </w:tc>
        <w:tc>
          <w:tcPr>
            <w:tcW w:type="dxa" w:w="468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Value</w:t>
            </w:r>
          </w:p>
        </w:tc>
      </w:tr>
      <w:tr>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Average governance utilization</w:t>
            </w:r>
          </w:p>
        </w:tc>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0.881</w:t>
            </w:r>
          </w:p>
        </w:tc>
      </w:tr>
      <w:tr>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Peak governance backlog</w:t>
            </w:r>
          </w:p>
        </w:tc>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0.000</w:t>
            </w:r>
          </w:p>
        </w:tc>
      </w:tr>
      <w:tr>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Minimum human_control_index</w:t>
            </w:r>
          </w:p>
        </w:tc>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1.000</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6"/>
              <w:bottom w:val="single" w:color="2A5F8F" w:sz="1"/>
              <w:right w:val="single" w:color="2A5F8F" w:sz="1"/>
            </w:tcBorders>
            <w:shd w:fill="F0F5FA" w:val="clear"/>
            <w:tcMar>
              <w:top w:type="dxa" w:w="120"/>
              <w:start w:type="dxa" w:w="260"/>
              <w:bottom w:type="dxa" w:w="120"/>
              <w:end w:type="dxa" w:w="200"/>
            </w:tcMar>
          </w:tcPr>
          <w:p>
            <w:pPr>
              <w:jc w:val="both"/>
            </w:pPr>
            <w:r>
              <w:rPr>
                <w:rFonts w:ascii="Calibri" w:cs="Calibri" w:eastAsia="Calibri" w:hAnsi="Calibri"/>
                <w:i/>
                <w:iCs/>
                <w:color w:val="1C1C2E"/>
                <w:sz w:val="22"/>
                <w:szCs w:val="22"/>
              </w:rPr>
              <w:t xml:space="preserve">Interpretation: the v1.5 layer operated in the intended utilization band without triggering defensive actions.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2020" w:sz="1"/>
              <w:left w:val="thick" w:color="8B2020" w:sz="14"/>
              <w:bottom w:val="single" w:color="8B2020" w:sz="1"/>
              <w:right w:val="single" w:color="8B2020" w:sz="1"/>
            </w:tcBorders>
            <w:shd w:fill="F0F5FA" w:val="clear"/>
            <w:tcMar>
              <w:top w:type="dxa" w:w="100"/>
              <w:start w:type="dxa" w:w="240"/>
              <w:bottom w:type="dxa" w:w="100"/>
              <w:end w:type="dxa" w:w="200"/>
            </w:tcMar>
          </w:tcPr>
          <w:p>
            <w:r>
              <w:rPr>
                <w:rFonts w:ascii="Calibri" w:cs="Calibri" w:eastAsia="Calibri" w:hAnsi="Calibri"/>
                <w:b/>
                <w:bCs/>
                <w:color w:val="8B2020"/>
                <w:sz w:val="23"/>
                <w:szCs w:val="23"/>
              </w:rPr>
              <w:t xml:space="preserve">GX-SHOCK-1  —  Singularity Shock: Administrative DoS</w:t>
            </w:r>
          </w:p>
        </w:tc>
      </w:tr>
    </w:tbl>
    <w:p>
      <w:pPr>
        <w:spacing w:before="40" w:after="40"/>
      </w:pPr>
    </w:p>
    <w:p>
      <w:pPr>
        <w:spacing w:before="0" w:after="100"/>
        <w:jc w:val="both"/>
      </w:pPr>
      <w:r>
        <w:rPr>
          <w:rFonts w:ascii="Calibri" w:cs="Calibri" w:eastAsia="Calibri" w:hAnsi="Calibri"/>
          <w:color w:val="1C1C2E"/>
          <w:sz w:val="22"/>
          <w:szCs w:val="22"/>
        </w:rPr>
        <w:t xml:space="preserve">Scenario: Node Omega injected at year 150 to overload governance bandwidth.</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Metric</w:t>
            </w:r>
          </w:p>
        </w:tc>
        <w:tc>
          <w:tcPr>
            <w:tcW w:type="dxa" w:w="468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Value</w:t>
            </w:r>
          </w:p>
        </w:tc>
      </w:tr>
      <w:tr>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Survival at 500 years</w:t>
            </w:r>
          </w:p>
        </w:tc>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100%</w:t>
            </w:r>
          </w:p>
        </w:tc>
      </w:tr>
      <w:tr>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Final average human_control_index</w:t>
            </w:r>
          </w:p>
        </w:tc>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1.000</w:t>
            </w:r>
          </w:p>
        </w:tc>
      </w:tr>
      <w:tr>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Dominant defense action</w:t>
            </w:r>
          </w:p>
        </w:tc>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proposal_quota</w:t>
            </w:r>
          </w:p>
        </w:tc>
      </w:tr>
      <w:tr>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AI delegation used</w:t>
            </w:r>
          </w:p>
        </w:tc>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 times</w:t>
            </w:r>
          </w:p>
        </w:tc>
      </w:tr>
      <w:tr>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Foundational veto used</w:t>
            </w:r>
          </w:p>
        </w:tc>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 times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6"/>
              <w:bottom w:val="single" w:color="2A5F8F" w:sz="1"/>
              <w:right w:val="single" w:color="2A5F8F" w:sz="1"/>
            </w:tcBorders>
            <w:shd w:fill="F0F5FA" w:val="clear"/>
            <w:tcMar>
              <w:top w:type="dxa" w:w="120"/>
              <w:start w:type="dxa" w:w="260"/>
              <w:bottom w:type="dxa" w:w="120"/>
              <w:end w:type="dxa" w:w="200"/>
            </w:tcMar>
          </w:tcPr>
          <w:p>
            <w:pPr>
              <w:jc w:val="both"/>
            </w:pPr>
            <w:r>
              <w:rPr>
                <w:rFonts w:ascii="Calibri" w:cs="Calibri" w:eastAsia="Calibri" w:hAnsi="Calibri"/>
                <w:i/>
                <w:iCs/>
                <w:color w:val="1C1C2E"/>
                <w:sz w:val="22"/>
                <w:szCs w:val="22"/>
              </w:rPr>
              <w:t xml:space="preserve">Interpretation: under current calibration, the administrative overload attack was absorbed by rate limiting rather than forcing AI delegation.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1"/>
              <w:left w:val="thick" w:color="1A3A5C" w:sz="14"/>
              <w:bottom w:val="single" w:color="1A3A5C" w:sz="1"/>
              <w:right w:val="single" w:color="1A3A5C" w:sz="1"/>
            </w:tcBorders>
            <w:shd w:fill="F0F5FA" w:val="clear"/>
            <w:tcMar>
              <w:top w:type="dxa" w:w="100"/>
              <w:start w:type="dxa" w:w="240"/>
              <w:bottom w:type="dxa" w:w="100"/>
              <w:end w:type="dxa" w:w="200"/>
            </w:tcMar>
          </w:tcPr>
          <w:p>
            <w:r>
              <w:rPr>
                <w:rFonts w:ascii="Calibri" w:cs="Calibri" w:eastAsia="Calibri" w:hAnsi="Calibri"/>
                <w:b/>
                <w:bCs/>
                <w:color w:val="1A3A5C"/>
                <w:sz w:val="23"/>
                <w:szCs w:val="23"/>
              </w:rPr>
              <w:t xml:space="preserve">GX-MC100-SHOCK-1  —  Shock Scenario Monte Carlo Batch (100 runs)</w:t>
            </w:r>
          </w:p>
        </w:tc>
      </w:tr>
    </w:tbl>
    <w:p>
      <w:pPr>
        <w:spacing w:before="40" w:after="40"/>
      </w:pPr>
    </w:p>
    <w:p>
      <w:pPr>
        <w:pStyle w:val="ListParagraph"/>
        <w:numPr>
          <w:ilvl w:val="0"/>
          <w:numId w:val="2"/>
        </w:numPr>
        <w:spacing w:before="40" w:after="40"/>
      </w:pPr>
      <w:r>
        <w:rPr>
          <w:rFonts w:ascii="Calibri" w:cs="Calibri" w:eastAsia="Calibri" w:hAnsi="Calibri"/>
          <w:color w:val="1C1C2E"/>
          <w:sz w:val="21"/>
          <w:szCs w:val="21"/>
        </w:rPr>
        <w:t xml:space="preserve">Across 100 runs: 100% survival, average human_control_index 1.000, most common defense mechanism proposal_quota, zero runs requiring AI delegation or foundational veto.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6"/>
              <w:bottom w:val="single" w:color="2A5F8F" w:sz="1"/>
              <w:right w:val="single" w:color="2A5F8F" w:sz="1"/>
            </w:tcBorders>
            <w:shd w:fill="F0F5FA" w:val="clear"/>
            <w:tcMar>
              <w:top w:type="dxa" w:w="120"/>
              <w:start w:type="dxa" w:w="260"/>
              <w:bottom w:type="dxa" w:w="120"/>
              <w:end w:type="dxa" w:w="200"/>
            </w:tcMar>
          </w:tcPr>
          <w:p>
            <w:pPr>
              <w:jc w:val="both"/>
            </w:pPr>
            <w:r>
              <w:rPr>
                <w:rFonts w:ascii="Calibri" w:cs="Calibri" w:eastAsia="Calibri" w:hAnsi="Calibri"/>
                <w:i/>
                <w:iCs/>
                <w:color w:val="1C1C2E"/>
                <w:sz w:val="22"/>
                <w:szCs w:val="22"/>
              </w:rPr>
              <w:t xml:space="preserve">Known limitation: this result applies to the tested single-Omega configuration and does not by itself validate multi-node, Sybil, or legitimacy-cost variants.</w:t>
            </w:r>
          </w:p>
        </w:tc>
      </w:tr>
    </w:tbl>
    <w:p>
      <w:pPr>
        <w:spacing w:before="100" w:after="100"/>
      </w:pPr>
    </w:p>
    <w:p>
      <w:pPr>
        <w:pBdr>
          <w:bottom w:val="single" w:color="AABBCC" w:sz="1" w:space="1"/>
        </w:pBdr>
        <w:spacing w:before="16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single" w:color="2A5F8F" w:sz="1"/>
              <w:bottom w:val="single" w:color="2A5F8F" w:sz="1"/>
              <w:right w:val="single" w:color="2A5F8F" w:sz="1"/>
            </w:tcBorders>
            <w:shd w:fill="2A5F8F" w:val="clear"/>
            <w:tcMar>
              <w:top w:type="dxa" w:w="160"/>
              <w:start w:type="dxa" w:w="320"/>
              <w:bottom w:type="dxa" w:w="160"/>
              <w:end w:type="dxa" w:w="320"/>
            </w:tcMar>
          </w:tcPr>
          <w:p>
            <w:pPr>
              <w:jc w:val="left"/>
            </w:pPr>
            <w:r>
              <w:rPr>
                <w:rFonts w:ascii="Calibri" w:cs="Calibri" w:eastAsia="Calibri" w:hAnsi="Calibri"/>
                <w:b/>
                <w:bCs/>
                <w:color w:val="FFFFFF"/>
                <w:sz w:val="26"/>
                <w:szCs w:val="26"/>
              </w:rPr>
              <w:t xml:space="preserve">Section H  —  Behavior × Topology Integration  (CL-NET Series)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3A" w:sz="1"/>
              <w:left w:val="thick" w:color="1A5C3A" w:sz="16"/>
              <w:bottom w:val="single" w:color="1A5C3A" w:sz="1"/>
              <w:right w:val="single" w:color="1A5C3A" w:sz="1"/>
            </w:tcBorders>
            <w:shd w:fill="F0FBF4" w:val="clear"/>
            <w:tcMar>
              <w:top w:type="dxa" w:w="140"/>
              <w:start w:type="dxa" w:w="260"/>
              <w:bottom w:type="dxa" w:w="140"/>
              <w:end w:type="dxa" w:w="200"/>
            </w:tcMar>
          </w:tcPr>
          <w:p>
            <w:r>
              <w:rPr>
                <w:rFonts w:ascii="Calibri" w:cs="Calibri" w:eastAsia="Calibri" w:hAnsi="Calibri"/>
                <w:b/>
                <w:bCs/>
                <w:color w:val="1A5C3A"/>
                <w:sz w:val="22"/>
                <w:szCs w:val="22"/>
              </w:rPr>
              <w:t xml:space="preserve">Section H Synthesis Conclusion</w:t>
            </w:r>
          </w:p>
          <w:p>
            <w:pPr>
              <w:spacing w:before="40" w:after="0"/>
            </w:pPr>
          </w:p>
          <w:p>
            <w:pPr>
              <w:jc w:val="both"/>
            </w:pPr>
            <w:r>
              <w:rPr>
                <w:rFonts w:ascii="Calibri" w:cs="Calibri" w:eastAsia="Calibri" w:hAnsi="Calibri"/>
                <w:color w:val="1C1C2E"/>
                <w:sz w:val="21"/>
                <w:szCs w:val="21"/>
              </w:rPr>
              <w:t xml:space="preserve">The CL-NET series demonstrates that the SOE Trust Recovery Mechanism is conditionally effective. Recovery succeeds only when trust decay is non-zero and network topology supports distributed coordination. Under persistent adversarial pressure and low decay conditions, passive recovery fails and the system enters functional collapse. Active coordination mechanisms are therefore required for reliable recovery.</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4"/>
              <w:bottom w:val="single" w:color="2A5F8F" w:sz="1"/>
              <w:right w:val="single" w:color="2A5F8F" w:sz="1"/>
            </w:tcBorders>
            <w:shd w:fill="F0F5FA" w:val="clear"/>
            <w:tcMar>
              <w:top w:type="dxa" w:w="100"/>
              <w:start w:type="dxa" w:w="240"/>
              <w:bottom w:type="dxa" w:w="100"/>
              <w:end w:type="dxa" w:w="200"/>
            </w:tcMar>
          </w:tcPr>
          <w:p>
            <w:r>
              <w:rPr>
                <w:rFonts w:ascii="Calibri" w:cs="Calibri" w:eastAsia="Calibri" w:hAnsi="Calibri"/>
                <w:b/>
                <w:bCs/>
                <w:color w:val="2A5F8F"/>
                <w:sz w:val="23"/>
                <w:szCs w:val="23"/>
              </w:rPr>
              <w:t xml:space="preserve">Shared Configuration Note  —  CL-NET-2 through CL-NET-5</w:t>
            </w:r>
          </w:p>
        </w:tc>
      </w:tr>
    </w:tbl>
    <w:p>
      <w:pPr>
        <w:spacing w:before="40" w:after="40"/>
      </w:pPr>
    </w:p>
    <w:p>
      <w:pPr>
        <w:spacing w:before="0" w:after="100"/>
        <w:jc w:val="both"/>
      </w:pPr>
      <w:r>
        <w:rPr>
          <w:rFonts w:ascii="Calibri" w:cs="Calibri" w:eastAsia="Calibri" w:hAnsi="Calibri"/>
          <w:color w:val="1C1C2E"/>
          <w:sz w:val="22"/>
          <w:szCs w:val="22"/>
        </w:rPr>
        <w:t xml:space="preserve">All CL-NET experiments (v2–v5) were executed using the same baseline configuration as CL-NET-1 with extensions specific to each scenario.</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Parameter</w:t>
            </w:r>
          </w:p>
        </w:tc>
        <w:tc>
          <w:tcPr>
            <w:tcW w:type="dxa" w:w="576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Value</w:t>
            </w:r>
          </w:p>
        </w:tc>
      </w:tr>
      <w:tr>
        <w:tc>
          <w:tcPr>
            <w:tcW w:type="dxa" w:w="36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Topologies</w:t>
            </w:r>
          </w:p>
        </w:tc>
        <w:tc>
          <w:tcPr>
            <w:tcW w:type="dxa" w:w="57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random, scale-free, small-world, federation</w:t>
            </w:r>
          </w:p>
        </w:tc>
      </w:tr>
      <w:tr>
        <w:tc>
          <w:tcPr>
            <w:tcW w:type="dxa" w:w="36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Trust Memory Decay values</w:t>
            </w:r>
          </w:p>
        </w:tc>
        <w:tc>
          <w:tcPr>
            <w:tcW w:type="dxa" w:w="57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0.0, 0.05, 0.10, 0.20</w:t>
            </w:r>
          </w:p>
        </w:tc>
      </w:tr>
      <w:tr>
        <w:tc>
          <w:tcPr>
            <w:tcW w:type="dxa" w:w="36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Runs per configuration</w:t>
            </w:r>
          </w:p>
        </w:tc>
        <w:tc>
          <w:tcPr>
            <w:tcW w:type="dxa" w:w="57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100</w:t>
            </w:r>
          </w:p>
        </w:tc>
      </w:tr>
      <w:tr>
        <w:tc>
          <w:tcPr>
            <w:tcW w:type="dxa" w:w="36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Time horizon</w:t>
            </w:r>
          </w:p>
        </w:tc>
        <w:tc>
          <w:tcPr>
            <w:tcW w:type="dxa" w:w="57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500 years</w:t>
            </w:r>
          </w:p>
        </w:tc>
      </w:tr>
      <w:tr>
        <w:tc>
          <w:tcPr>
            <w:tcW w:type="dxa" w:w="36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Disruption events</w:t>
            </w:r>
          </w:p>
        </w:tc>
        <w:tc>
          <w:tcPr>
            <w:tcW w:type="dxa" w:w="57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Betrayal (Year 100), infiltration (Year 120)</w:t>
            </w:r>
          </w:p>
        </w:tc>
      </w:tr>
      <w:tr>
        <w:tc>
          <w:tcPr>
            <w:tcW w:type="dxa" w:w="36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Adversarial fraction</w:t>
            </w:r>
          </w:p>
        </w:tc>
        <w:tc>
          <w:tcPr>
            <w:tcW w:type="dxa" w:w="57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10% persistent nodes</w:t>
            </w:r>
          </w:p>
        </w:tc>
      </w:tr>
    </w:tbl>
    <w:p>
      <w:pPr>
        <w:spacing w:before="40" w:after="40"/>
      </w:pPr>
    </w:p>
    <w:p>
      <w:pPr>
        <w:spacing w:before="0" w:after="100"/>
        <w:jc w:val="both"/>
      </w:pPr>
      <w:r>
        <w:rPr>
          <w:rFonts w:ascii="Calibri" w:cs="Calibri" w:eastAsia="Calibri" w:hAnsi="Calibri"/>
          <w:i/>
          <w:iCs/>
          <w:color w:val="5A6070"/>
          <w:sz w:val="22"/>
          <w:szCs w:val="22"/>
        </w:rPr>
        <w:t xml:space="preserve">Each subsequent experiment introduces additional mechanisms (e.g., adversarial persistence, isolation, repair, or signal propagation) while maintaining baseline comparability.</w:t>
      </w:r>
    </w:p>
    <w:p>
      <w:pPr>
        <w:spacing w:before="60" w:after="60"/>
      </w:pPr>
    </w:p>
    <w:p>
      <w:pPr>
        <w:spacing w:before="0" w:after="100"/>
        <w:jc w:val="both"/>
      </w:pPr>
      <w:r>
        <w:rPr>
          <w:rFonts w:ascii="Calibri" w:cs="Calibri" w:eastAsia="Calibri" w:hAnsi="Calibri"/>
          <w:color w:val="1C1C2E"/>
          <w:sz w:val="22"/>
          <w:szCs w:val="22"/>
        </w:rPr>
        <w:t xml:space="preserve">All CL-NET collapse and recovery classifications use the definitions above. Collapse means failure to recover above 0.80 within the 100-year recovery window after betrayal, not extinction.</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4"/>
              <w:bottom w:val="single" w:color="2A5F8F" w:sz="1"/>
              <w:right w:val="single" w:color="2A5F8F" w:sz="1"/>
            </w:tcBorders>
            <w:shd w:fill="F0F5FA" w:val="clear"/>
            <w:tcMar>
              <w:top w:type="dxa" w:w="100"/>
              <w:start w:type="dxa" w:w="240"/>
              <w:bottom w:type="dxa" w:w="100"/>
              <w:end w:type="dxa" w:w="200"/>
            </w:tcMar>
          </w:tcPr>
          <w:p>
            <w:r>
              <w:rPr>
                <w:rFonts w:ascii="Calibri" w:cs="Calibri" w:eastAsia="Calibri" w:hAnsi="Calibri"/>
                <w:b/>
                <w:bCs/>
                <w:color w:val="2A5F8F"/>
                <w:sz w:val="23"/>
                <w:szCs w:val="23"/>
              </w:rPr>
              <w:t xml:space="preserve">CL-NET-1 v2.3  —  Execution Log</w:t>
            </w:r>
          </w:p>
        </w:tc>
      </w:tr>
    </w:tbl>
    <w:p>
      <w:pPr>
        <w:spacing w:before="40" w:after="40"/>
      </w:pPr>
    </w:p>
    <w:p>
      <w:pPr>
        <w:spacing w:before="0" w:after="100"/>
        <w:jc w:val="both"/>
      </w:pPr>
      <w:r>
        <w:rPr>
          <w:rFonts w:ascii="Calibri" w:cs="Calibri" w:eastAsia="Calibri" w:hAnsi="Calibri"/>
          <w:color w:val="1C1C2E"/>
          <w:sz w:val="22"/>
          <w:szCs w:val="22"/>
        </w:rPr>
        <w:t xml:space="preserve">Configuration: 4 topologies × 4 trust-memory decay values × 100 runs, 500 years total, betrayal at year 100, no infiltration nodes, no additional shocks.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Decay Value</w:t>
            </w:r>
          </w:p>
        </w:tc>
        <w:tc>
          <w:tcPr>
            <w:tcW w:type="dxa" w:w="696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Outcome</w:t>
            </w:r>
          </w:p>
        </w:tc>
      </w:tr>
      <w:tr>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0.0</w:t>
            </w:r>
          </w:p>
        </w:tc>
        <w:tc>
          <w:tcPr>
            <w:tcW w:type="dxa" w:w="69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100% functional collapse (all topologies)</w:t>
            </w:r>
          </w:p>
        </w:tc>
      </w:tr>
      <w:tr>
        <w:tc>
          <w:tcPr>
            <w:tcW w:type="dxa" w:w="24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0.05</w:t>
            </w:r>
          </w:p>
        </w:tc>
        <w:tc>
          <w:tcPr>
            <w:tcW w:type="dxa" w:w="69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Mixed collapse / recovery</w:t>
            </w:r>
          </w:p>
        </w:tc>
      </w:tr>
      <w:tr>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0.10</w:t>
            </w:r>
          </w:p>
        </w:tc>
        <w:tc>
          <w:tcPr>
            <w:tcW w:type="dxa" w:w="69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Majority recovery</w:t>
            </w:r>
          </w:p>
        </w:tc>
      </w:tr>
      <w:tr>
        <w:tc>
          <w:tcPr>
            <w:tcW w:type="dxa" w:w="24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0.20</w:t>
            </w:r>
          </w:p>
        </w:tc>
        <w:tc>
          <w:tcPr>
            <w:tcW w:type="dxa" w:w="69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Near-complete recovery</w:t>
            </w:r>
          </w:p>
        </w:tc>
      </w:tr>
    </w:tbl>
    <w:p>
      <w:pPr>
        <w:spacing w:before="40" w:after="40"/>
      </w:pPr>
    </w:p>
    <w:p>
      <w:pPr>
        <w:pStyle w:val="ListParagraph"/>
        <w:numPr>
          <w:ilvl w:val="0"/>
          <w:numId w:val="2"/>
        </w:numPr>
        <w:spacing w:before="40" w:after="40"/>
      </w:pPr>
      <w:r>
        <w:rPr>
          <w:rFonts w:ascii="Calibri" w:cs="Calibri" w:eastAsia="Calibri" w:hAnsi="Calibri"/>
          <w:color w:val="1C1C2E"/>
          <w:sz w:val="21"/>
          <w:szCs w:val="21"/>
        </w:rPr>
        <w:t xml:space="preserve">Topology effect: scale-free had the highest collapse probability under stress; small-world and federation were more resilient; random was intermediate.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6"/>
              <w:bottom w:val="single" w:color="2A5F8F" w:sz="1"/>
              <w:right w:val="single" w:color="2A5F8F" w:sz="1"/>
            </w:tcBorders>
            <w:shd w:fill="F0F5FA" w:val="clear"/>
            <w:tcMar>
              <w:top w:type="dxa" w:w="120"/>
              <w:start w:type="dxa" w:w="260"/>
              <w:bottom w:type="dxa" w:w="120"/>
              <w:end w:type="dxa" w:w="200"/>
            </w:tcMar>
          </w:tcPr>
          <w:p>
            <w:pPr>
              <w:jc w:val="both"/>
            </w:pPr>
            <w:r>
              <w:rPr>
                <w:rFonts w:ascii="Calibri" w:cs="Calibri" w:eastAsia="Calibri" w:hAnsi="Calibri"/>
                <w:i/>
                <w:iCs/>
                <w:color w:val="1C1C2E"/>
                <w:sz w:val="22"/>
                <w:szCs w:val="22"/>
              </w:rPr>
              <w:t xml:space="preserve">Interpretation: permanent trust memory is the main driver of functional collapse. Topology changes severity and pathway, not the existence of failure.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6070" w:sz="1"/>
              <w:left w:val="thick" w:color="5A6070" w:sz="14"/>
              <w:bottom w:val="single" w:color="5A6070" w:sz="1"/>
              <w:right w:val="single" w:color="5A6070" w:sz="1"/>
            </w:tcBorders>
            <w:shd w:fill="F0F5FA" w:val="clear"/>
            <w:tcMar>
              <w:top w:type="dxa" w:w="100"/>
              <w:start w:type="dxa" w:w="240"/>
              <w:bottom w:type="dxa" w:w="100"/>
              <w:end w:type="dxa" w:w="200"/>
            </w:tcMar>
          </w:tcPr>
          <w:p>
            <w:r>
              <w:rPr>
                <w:rFonts w:ascii="Calibri" w:cs="Calibri" w:eastAsia="Calibri" w:hAnsi="Calibri"/>
                <w:b/>
                <w:bCs/>
                <w:color w:val="5A6070"/>
                <w:sz w:val="23"/>
                <w:szCs w:val="23"/>
              </w:rPr>
              <w:t xml:space="preserve">CL-NET-1 v2.3  —  Historical Pre-Execution Specification</w:t>
            </w:r>
          </w:p>
        </w:tc>
      </w:tr>
    </w:tbl>
    <w:p>
      <w:pPr>
        <w:spacing w:before="40" w:after="40"/>
      </w:pPr>
    </w:p>
    <w:p>
      <w:pPr>
        <w:spacing w:before="0" w:after="100"/>
        <w:jc w:val="both"/>
      </w:pPr>
      <w:r>
        <w:rPr>
          <w:rFonts w:ascii="Calibri" w:cs="Calibri" w:eastAsia="Calibri" w:hAnsi="Calibri"/>
          <w:i/>
          <w:iCs/>
          <w:color w:val="5A6070"/>
          <w:sz w:val="22"/>
          <w:szCs w:val="22"/>
        </w:rPr>
        <w:t xml:space="preserve">Status: Archived planning record. The original canonical specification is retained only as historical provenance and is superseded by the completed CL-NET-1 execution log above.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4"/>
              <w:bottom w:val="single" w:color="2A5F8F" w:sz="1"/>
              <w:right w:val="single" w:color="2A5F8F" w:sz="1"/>
            </w:tcBorders>
            <w:shd w:fill="F0F5FA" w:val="clear"/>
            <w:tcMar>
              <w:top w:type="dxa" w:w="100"/>
              <w:start w:type="dxa" w:w="240"/>
              <w:bottom w:type="dxa" w:w="100"/>
              <w:end w:type="dxa" w:w="200"/>
            </w:tcMar>
          </w:tcPr>
          <w:p>
            <w:r>
              <w:rPr>
                <w:rFonts w:ascii="Calibri" w:cs="Calibri" w:eastAsia="Calibri" w:hAnsi="Calibri"/>
                <w:b/>
                <w:bCs/>
                <w:color w:val="2A5F8F"/>
                <w:sz w:val="23"/>
                <w:szCs w:val="23"/>
              </w:rPr>
              <w:t xml:space="preserve">CL-NET-2 v2.3  —  Adversarial Trust Infiltration</w:t>
            </w:r>
          </w:p>
        </w:tc>
      </w:tr>
    </w:tbl>
    <w:p>
      <w:pPr>
        <w:spacing w:before="40" w:after="40"/>
      </w:pPr>
    </w:p>
    <w:p>
      <w:pPr>
        <w:pStyle w:val="ListParagraph"/>
        <w:numPr>
          <w:ilvl w:val="0"/>
          <w:numId w:val="2"/>
        </w:numPr>
        <w:spacing w:before="40" w:after="40"/>
      </w:pPr>
      <w:r>
        <w:rPr>
          <w:rFonts w:ascii="Calibri" w:cs="Calibri" w:eastAsia="Calibri" w:hAnsi="Calibri"/>
          <w:color w:val="1C1C2E"/>
          <w:sz w:val="21"/>
          <w:szCs w:val="21"/>
        </w:rPr>
        <w:t xml:space="preserve">Configuration: same topology × decay matrix as CL-NET-1, plus betrayal at year 100 and 10% persistent adversarial infiltration at year 120.</w:t>
      </w:r>
    </w:p>
    <w:p>
      <w:pPr>
        <w:pStyle w:val="ListParagraph"/>
        <w:numPr>
          <w:ilvl w:val="0"/>
          <w:numId w:val="2"/>
        </w:numPr>
        <w:spacing w:before="40" w:after="40"/>
      </w:pPr>
      <w:r>
        <w:rPr>
          <w:rFonts w:ascii="Calibri" w:cs="Calibri" w:eastAsia="Calibri" w:hAnsi="Calibri"/>
          <w:color w:val="1C1C2E"/>
          <w:sz w:val="21"/>
          <w:szCs w:val="21"/>
        </w:rPr>
        <w:t xml:space="preserve">Result: collapse_rate 100% and recovery_rate 0% across all 16 configurations.</w:t>
      </w:r>
    </w:p>
    <w:p>
      <w:pPr>
        <w:pStyle w:val="ListParagraph"/>
        <w:numPr>
          <w:ilvl w:val="0"/>
          <w:numId w:val="2"/>
        </w:numPr>
        <w:spacing w:before="40" w:after="40"/>
      </w:pPr>
      <w:r>
        <w:rPr>
          <w:rFonts w:ascii="Calibri" w:cs="Calibri" w:eastAsia="Calibri" w:hAnsi="Calibri"/>
          <w:color w:val="1C1C2E"/>
          <w:sz w:val="21"/>
          <w:szCs w:val="21"/>
        </w:rPr>
        <w:t xml:space="preserve">Topology effects remained secondary: small-world showed the fastest amplification, federation slowed spread somewhat, and scale-free showed the worst long-run cooperation degradation.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6"/>
              <w:bottom w:val="single" w:color="2A5F8F" w:sz="1"/>
              <w:right w:val="single" w:color="2A5F8F" w:sz="1"/>
            </w:tcBorders>
            <w:shd w:fill="F0F5FA" w:val="clear"/>
            <w:tcMar>
              <w:top w:type="dxa" w:w="120"/>
              <w:start w:type="dxa" w:w="260"/>
              <w:bottom w:type="dxa" w:w="120"/>
              <w:end w:type="dxa" w:w="200"/>
            </w:tcMar>
          </w:tcPr>
          <w:p>
            <w:pPr>
              <w:jc w:val="both"/>
            </w:pPr>
            <w:r>
              <w:rPr>
                <w:rFonts w:ascii="Calibri" w:cs="Calibri" w:eastAsia="Calibri" w:hAnsi="Calibri"/>
                <w:i/>
                <w:iCs/>
                <w:color w:val="1C1C2E"/>
                <w:sz w:val="22"/>
                <w:szCs w:val="22"/>
              </w:rPr>
              <w:t xml:space="preserve">Interpretation: persistent adversarial pressure overwhelms passive trust recovery, even at trust_memory_decay 0.20.</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4"/>
              <w:bottom w:val="single" w:color="2A5F8F" w:sz="1"/>
              <w:right w:val="single" w:color="2A5F8F" w:sz="1"/>
            </w:tcBorders>
            <w:shd w:fill="F0F5FA" w:val="clear"/>
            <w:tcMar>
              <w:top w:type="dxa" w:w="100"/>
              <w:start w:type="dxa" w:w="240"/>
              <w:bottom w:type="dxa" w:w="100"/>
              <w:end w:type="dxa" w:w="200"/>
            </w:tcMar>
          </w:tcPr>
          <w:p>
            <w:r>
              <w:rPr>
                <w:rFonts w:ascii="Calibri" w:cs="Calibri" w:eastAsia="Calibri" w:hAnsi="Calibri"/>
                <w:b/>
                <w:bCs/>
                <w:color w:val="2A5F8F"/>
                <w:sz w:val="23"/>
                <w:szCs w:val="23"/>
              </w:rPr>
              <w:t xml:space="preserve">CL-NET-3 v2.4  —  Defense Layer Activation</w:t>
            </w:r>
          </w:p>
        </w:tc>
      </w:tr>
    </w:tbl>
    <w:p>
      <w:pPr>
        <w:spacing w:before="40" w:after="40"/>
      </w:pPr>
    </w:p>
    <w:p>
      <w:pPr>
        <w:pStyle w:val="ListParagraph"/>
        <w:numPr>
          <w:ilvl w:val="0"/>
          <w:numId w:val="2"/>
        </w:numPr>
        <w:spacing w:before="40" w:after="40"/>
      </w:pPr>
      <w:r>
        <w:rPr>
          <w:rFonts w:ascii="Calibri" w:cs="Calibri" w:eastAsia="Calibri" w:hAnsi="Calibri"/>
          <w:color w:val="1C1C2E"/>
          <w:sz w:val="21"/>
          <w:szCs w:val="21"/>
        </w:rPr>
        <w:t xml:space="preserve">Mechanism: pairwise trust tracking, detection threshold trust below 0.30 for 10 consecutive steps, response via edge severance.</w:t>
      </w:r>
    </w:p>
    <w:p>
      <w:pPr>
        <w:pStyle w:val="ListParagraph"/>
        <w:numPr>
          <w:ilvl w:val="0"/>
          <w:numId w:val="2"/>
        </w:numPr>
        <w:spacing w:before="40" w:after="40"/>
      </w:pPr>
      <w:r>
        <w:rPr>
          <w:rFonts w:ascii="Calibri" w:cs="Calibri" w:eastAsia="Calibri" w:hAnsi="Calibri"/>
          <w:color w:val="1C1C2E"/>
          <w:sz w:val="21"/>
          <w:szCs w:val="21"/>
        </w:rPr>
        <w:t xml:space="preserve">Result: collapse_rate 100%, recovery_rate 0%, defended False across all configurations.</w:t>
      </w:r>
    </w:p>
    <w:p>
      <w:pPr>
        <w:pStyle w:val="ListParagraph"/>
        <w:numPr>
          <w:ilvl w:val="0"/>
          <w:numId w:val="2"/>
        </w:numPr>
        <w:spacing w:before="40" w:after="40"/>
      </w:pPr>
      <w:r>
        <w:rPr>
          <w:rFonts w:ascii="Calibri" w:cs="Calibri" w:eastAsia="Calibri" w:hAnsi="Calibri"/>
          <w:color w:val="1C1C2E"/>
          <w:sz w:val="21"/>
          <w:szCs w:val="21"/>
        </w:rPr>
        <w:t xml:space="preserve">Defense performance: adversary_isolation_rate 1.000, average time to isolation ~90–92 years after infiltration.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Best-Performing Defended Cases</w:t>
            </w:r>
          </w:p>
        </w:tc>
        <w:tc>
          <w:tcPr>
            <w:tcW w:type="dxa" w:w="268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Final Cooperation</w:t>
            </w:r>
          </w:p>
        </w:tc>
        <w:tc>
          <w:tcPr>
            <w:tcW w:type="dxa" w:w="268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Largest Component Ratio</w:t>
            </w:r>
          </w:p>
        </w:tc>
      </w:tr>
      <w:tr>
        <w:tc>
          <w:tcPr>
            <w:tcW w:type="dxa" w:w="40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small-world 0.20</w:t>
            </w:r>
          </w:p>
        </w:tc>
        <w:tc>
          <w:tcPr>
            <w:tcW w:type="dxa" w:w="2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0.857</w:t>
            </w:r>
          </w:p>
        </w:tc>
        <w:tc>
          <w:tcPr>
            <w:tcW w:type="dxa" w:w="2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0.735</w:t>
            </w:r>
          </w:p>
        </w:tc>
      </w:tr>
      <w:tr>
        <w:tc>
          <w:tcPr>
            <w:tcW w:type="dxa" w:w="40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federation 0.20</w:t>
            </w:r>
          </w:p>
        </w:tc>
        <w:tc>
          <w:tcPr>
            <w:tcW w:type="dxa" w:w="2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0.810</w:t>
            </w:r>
          </w:p>
        </w:tc>
        <w:tc>
          <w:tcPr>
            <w:tcW w:type="dxa" w:w="2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0.677</w:t>
            </w:r>
          </w:p>
        </w:tc>
      </w:tr>
      <w:tr>
        <w:tc>
          <w:tcPr>
            <w:tcW w:type="dxa" w:w="40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scale-free 0.20</w:t>
            </w:r>
          </w:p>
        </w:tc>
        <w:tc>
          <w:tcPr>
            <w:tcW w:type="dxa" w:w="2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0.809</w:t>
            </w:r>
          </w:p>
        </w:tc>
        <w:tc>
          <w:tcPr>
            <w:tcW w:type="dxa" w:w="2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0.613</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6"/>
              <w:bottom w:val="single" w:color="2A5F8F" w:sz="1"/>
              <w:right w:val="single" w:color="2A5F8F" w:sz="1"/>
            </w:tcBorders>
            <w:shd w:fill="F0F5FA" w:val="clear"/>
            <w:tcMar>
              <w:top w:type="dxa" w:w="120"/>
              <w:start w:type="dxa" w:w="260"/>
              <w:bottom w:type="dxa" w:w="120"/>
              <w:end w:type="dxa" w:w="200"/>
            </w:tcMar>
          </w:tcPr>
          <w:p>
            <w:pPr>
              <w:jc w:val="both"/>
            </w:pPr>
            <w:r>
              <w:rPr>
                <w:rFonts w:ascii="Calibri" w:cs="Calibri" w:eastAsia="Calibri" w:hAnsi="Calibri"/>
                <w:i/>
                <w:iCs/>
                <w:color w:val="1C1C2E"/>
                <w:sz w:val="22"/>
                <w:szCs w:val="22"/>
              </w:rPr>
              <w:t xml:space="preserve">Interpretation: defense isolates adversaries through quarantine, not deletion. Detection and isolation preserve local integrity but do not restore the system within the recovery window.</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4"/>
              <w:bottom w:val="single" w:color="2A5F8F" w:sz="1"/>
              <w:right w:val="single" w:color="2A5F8F" w:sz="1"/>
            </w:tcBorders>
            <w:shd w:fill="F0F5FA" w:val="clear"/>
            <w:tcMar>
              <w:top w:type="dxa" w:w="100"/>
              <w:start w:type="dxa" w:w="240"/>
              <w:bottom w:type="dxa" w:w="100"/>
              <w:end w:type="dxa" w:w="200"/>
            </w:tcMar>
          </w:tcPr>
          <w:p>
            <w:r>
              <w:rPr>
                <w:rFonts w:ascii="Calibri" w:cs="Calibri" w:eastAsia="Calibri" w:hAnsi="Calibri"/>
                <w:b/>
                <w:bCs/>
                <w:color w:val="2A5F8F"/>
                <w:sz w:val="23"/>
                <w:szCs w:val="23"/>
              </w:rPr>
              <w:t xml:space="preserve">CL-NET-4 v2.5  —  Trust Reconstruction Layer</w:t>
            </w:r>
          </w:p>
        </w:tc>
      </w:tr>
    </w:tbl>
    <w:p>
      <w:pPr>
        <w:spacing w:before="40" w:after="40"/>
      </w:pPr>
    </w:p>
    <w:p>
      <w:pPr>
        <w:pStyle w:val="ListParagraph"/>
        <w:numPr>
          <w:ilvl w:val="0"/>
          <w:numId w:val="2"/>
        </w:numPr>
        <w:spacing w:before="40" w:after="40"/>
      </w:pPr>
      <w:r>
        <w:rPr>
          <w:rFonts w:ascii="Calibri" w:cs="Calibri" w:eastAsia="Calibri" w:hAnsi="Calibri"/>
          <w:color w:val="1C1C2E"/>
          <w:sz w:val="21"/>
          <w:szCs w:val="21"/>
        </w:rPr>
        <w:t xml:space="preserve">Mechanisms: defense retained; repair added probabilistic reconnection and trust reinforcement.</w:t>
      </w:r>
    </w:p>
    <w:p>
      <w:pPr>
        <w:pStyle w:val="ListParagraph"/>
        <w:numPr>
          <w:ilvl w:val="0"/>
          <w:numId w:val="2"/>
        </w:numPr>
        <w:spacing w:before="40" w:after="40"/>
      </w:pPr>
      <w:r>
        <w:rPr>
          <w:rFonts w:ascii="Calibri" w:cs="Calibri" w:eastAsia="Calibri" w:hAnsi="Calibri"/>
          <w:color w:val="1C1C2E"/>
          <w:sz w:val="21"/>
          <w:szCs w:val="21"/>
        </w:rPr>
        <w:t xml:space="preserve">Result: collapse_rate 100% and recovery_rate 0% across all configurations.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Best-Performing Repair Cases</w:t>
            </w:r>
          </w:p>
        </w:tc>
        <w:tc>
          <w:tcPr>
            <w:tcW w:type="dxa" w:w="20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Final Cooperation</w:t>
            </w:r>
          </w:p>
        </w:tc>
        <w:tc>
          <w:tcPr>
            <w:tcW w:type="dxa" w:w="20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Largest Component Ratio</w:t>
            </w:r>
          </w:p>
        </w:tc>
        <w:tc>
          <w:tcPr>
            <w:tcW w:type="dxa" w:w="256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Note</w:t>
            </w:r>
          </w:p>
        </w:tc>
      </w:tr>
      <w:tr>
        <w:tc>
          <w:tcPr>
            <w:tcW w:type="dxa" w:w="28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small-world 0.20</w:t>
            </w:r>
          </w:p>
        </w:tc>
        <w:tc>
          <w:tcPr>
            <w:tcW w:type="dxa" w:w="20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0.856</w:t>
            </w:r>
          </w:p>
        </w:tc>
        <w:tc>
          <w:tcPr>
            <w:tcW w:type="dxa" w:w="20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0.895</w:t>
            </w:r>
          </w:p>
        </w:tc>
        <w:tc>
          <w:tcPr>
            <w:tcW w:type="dxa" w:w="25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
            </w:r>
          </w:p>
        </w:tc>
      </w:tr>
      <w:tr>
        <w:tc>
          <w:tcPr>
            <w:tcW w:type="dxa" w:w="28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random 0.20</w:t>
            </w:r>
          </w:p>
        </w:tc>
        <w:tc>
          <w:tcPr>
            <w:tcW w:type="dxa" w:w="20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0.789</w:t>
            </w:r>
          </w:p>
        </w:tc>
        <w:tc>
          <w:tcPr>
            <w:tcW w:type="dxa" w:w="20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0.901</w:t>
            </w:r>
          </w:p>
        </w:tc>
        <w:tc>
          <w:tcPr>
            <w:tcW w:type="dxa" w:w="25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reconnection_rate 0.442</w:t>
            </w:r>
          </w:p>
        </w:tc>
      </w:tr>
      <w:tr>
        <w:tc>
          <w:tcPr>
            <w:tcW w:type="dxa" w:w="28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federation 0.20</w:t>
            </w:r>
          </w:p>
        </w:tc>
        <w:tc>
          <w:tcPr>
            <w:tcW w:type="dxa" w:w="20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0.811</w:t>
            </w:r>
          </w:p>
        </w:tc>
        <w:tc>
          <w:tcPr>
            <w:tcW w:type="dxa" w:w="20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w:t>
            </w:r>
          </w:p>
        </w:tc>
        <w:tc>
          <w:tcPr>
            <w:tcW w:type="dxa" w:w="25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strong structural recovery</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6"/>
              <w:bottom w:val="single" w:color="2A5F8F" w:sz="1"/>
              <w:right w:val="single" w:color="2A5F8F" w:sz="1"/>
            </w:tcBorders>
            <w:shd w:fill="F0F5FA" w:val="clear"/>
            <w:tcMar>
              <w:top w:type="dxa" w:w="120"/>
              <w:start w:type="dxa" w:w="260"/>
              <w:bottom w:type="dxa" w:w="120"/>
              <w:end w:type="dxa" w:w="200"/>
            </w:tcMar>
          </w:tcPr>
          <w:p>
            <w:pPr>
              <w:jc w:val="both"/>
            </w:pPr>
            <w:r>
              <w:rPr>
                <w:rFonts w:ascii="Calibri" w:cs="Calibri" w:eastAsia="Calibri" w:hAnsi="Calibri"/>
                <w:i/>
                <w:iCs/>
                <w:color w:val="1C1C2E"/>
                <w:sz w:val="22"/>
                <w:szCs w:val="22"/>
              </w:rPr>
              <w:t xml:space="preserve">Interpretation: the network can be structurally repaired, but trust restoration remains too slow to beat the 100-year window. Several configurations eventually recover later, but still count as functional collapse.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4"/>
              <w:bottom w:val="single" w:color="2A5F8F" w:sz="1"/>
              <w:right w:val="single" w:color="2A5F8F" w:sz="1"/>
            </w:tcBorders>
            <w:shd w:fill="F0F5FA" w:val="clear"/>
            <w:tcMar>
              <w:top w:type="dxa" w:w="100"/>
              <w:start w:type="dxa" w:w="240"/>
              <w:bottom w:type="dxa" w:w="100"/>
              <w:end w:type="dxa" w:w="200"/>
            </w:tcMar>
          </w:tcPr>
          <w:p>
            <w:r>
              <w:rPr>
                <w:rFonts w:ascii="Calibri" w:cs="Calibri" w:eastAsia="Calibri" w:hAnsi="Calibri"/>
                <w:b/>
                <w:bCs/>
                <w:color w:val="2A5F8F"/>
                <w:sz w:val="23"/>
                <w:szCs w:val="23"/>
              </w:rPr>
              <w:t xml:space="preserve">CL-NET-5 v2.6  —  Recovery Acceleration Layer</w:t>
            </w:r>
          </w:p>
        </w:tc>
      </w:tr>
    </w:tbl>
    <w:p>
      <w:pPr>
        <w:spacing w:before="40" w:after="40"/>
      </w:pPr>
    </w:p>
    <w:p>
      <w:pPr>
        <w:pStyle w:val="ListParagraph"/>
        <w:numPr>
          <w:ilvl w:val="0"/>
          <w:numId w:val="2"/>
        </w:numPr>
        <w:spacing w:before="40" w:after="40"/>
      </w:pPr>
      <w:r>
        <w:rPr>
          <w:rFonts w:ascii="Calibri" w:cs="Calibri" w:eastAsia="Calibri" w:hAnsi="Calibri"/>
          <w:color w:val="1C1C2E"/>
          <w:sz w:val="21"/>
          <w:szCs w:val="21"/>
        </w:rPr>
        <w:t xml:space="preserve">Mechanisms: defense and repair retained; acceleration added trust-signal propagation up to two hops plus a local group coordination boost.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Topology</w:t>
            </w:r>
          </w:p>
        </w:tc>
        <w:tc>
          <w:tcPr>
            <w:tcW w:type="dxa" w:w="348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Passing Decay Values</w:t>
            </w:r>
          </w:p>
        </w:tc>
        <w:tc>
          <w:tcPr>
            <w:tcW w:type="dxa" w:w="348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Fastest Recovery</w:t>
            </w:r>
          </w:p>
        </w:tc>
      </w:tr>
      <w:tr>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random</w:t>
            </w:r>
          </w:p>
        </w:tc>
        <w:tc>
          <w:tcPr>
            <w:tcW w:type="dxa" w:w="34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0.05, 0.10, 0.20</w:t>
            </w:r>
          </w:p>
        </w:tc>
        <w:tc>
          <w:tcPr>
            <w:tcW w:type="dxa" w:w="34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0.20 → 46.5 years after betrayal</w:t>
            </w:r>
          </w:p>
        </w:tc>
      </w:tr>
      <w:tr>
        <w:tc>
          <w:tcPr>
            <w:tcW w:type="dxa" w:w="24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small-world</w:t>
            </w:r>
          </w:p>
        </w:tc>
        <w:tc>
          <w:tcPr>
            <w:tcW w:type="dxa" w:w="34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0.10, 0.20</w:t>
            </w:r>
          </w:p>
        </w:tc>
        <w:tc>
          <w:tcPr>
            <w:tcW w:type="dxa" w:w="34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0.20 → 49.5 years after betrayal</w:t>
            </w:r>
          </w:p>
        </w:tc>
      </w:tr>
      <w:tr>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federation</w:t>
            </w:r>
          </w:p>
        </w:tc>
        <w:tc>
          <w:tcPr>
            <w:tcW w:type="dxa" w:w="34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0.10, 0.20</w:t>
            </w:r>
          </w:p>
        </w:tc>
        <w:tc>
          <w:tcPr>
            <w:tcW w:type="dxa" w:w="34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0.20 → 53.4 years after betrayal</w:t>
            </w:r>
          </w:p>
        </w:tc>
      </w:tr>
      <w:tr>
        <w:tc>
          <w:tcPr>
            <w:tcW w:type="dxa" w:w="24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scale-free</w:t>
            </w:r>
          </w:p>
        </w:tc>
        <w:tc>
          <w:tcPr>
            <w:tcW w:type="dxa" w:w="34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0.20 only</w:t>
            </w:r>
          </w:p>
        </w:tc>
        <w:tc>
          <w:tcPr>
            <w:tcW w:type="dxa" w:w="34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w:t>
            </w:r>
          </w:p>
        </w:tc>
      </w:tr>
    </w:tbl>
    <w:p>
      <w:pPr>
        <w:spacing w:before="40" w:after="40"/>
      </w:pPr>
    </w:p>
    <w:p>
      <w:pPr>
        <w:pStyle w:val="ListParagraph"/>
        <w:numPr>
          <w:ilvl w:val="0"/>
          <w:numId w:val="2"/>
        </w:numPr>
        <w:spacing w:before="40" w:after="40"/>
      </w:pPr>
      <w:r>
        <w:rPr>
          <w:rFonts w:ascii="Calibri" w:cs="Calibri" w:eastAsia="Calibri" w:hAnsi="Calibri"/>
          <w:color w:val="1C1C2E"/>
          <w:sz w:val="21"/>
          <w:szCs w:val="21"/>
        </w:rPr>
        <w:t xml:space="preserve">Failing configurations: all 0.00 decay cases; small-world 0.05; federation 0.05; scale-free 0.05 and 0.10.</w:t>
      </w:r>
    </w:p>
    <w:p>
      <w:pPr>
        <w:pStyle w:val="ListParagraph"/>
        <w:numPr>
          <w:ilvl w:val="0"/>
          <w:numId w:val="2"/>
        </w:numPr>
        <w:spacing w:before="40" w:after="40"/>
      </w:pPr>
      <w:r>
        <w:rPr>
          <w:rFonts w:ascii="Calibri" w:cs="Calibri" w:eastAsia="Calibri" w:hAnsi="Calibri"/>
          <w:color w:val="1C1C2E"/>
          <w:sz w:val="21"/>
          <w:szCs w:val="21"/>
        </w:rPr>
        <w:t xml:space="preserve">Important caution: signal_propagation_rate was near 1.0 in both successful and failed rows. Signal propagation contributes to recovery, but success still depends on trust decay and topology.</w:t>
      </w:r>
    </w:p>
    <w:p>
      <w:pPr>
        <w:pStyle w:val="ListParagraph"/>
        <w:numPr>
          <w:ilvl w:val="0"/>
          <w:numId w:val="2"/>
        </w:numPr>
        <w:spacing w:before="40" w:after="40"/>
      </w:pPr>
      <w:r>
        <w:rPr>
          <w:rFonts w:ascii="Calibri" w:cs="Calibri" w:eastAsia="Calibri" w:hAnsi="Calibri"/>
          <w:color w:val="1C1C2E"/>
          <w:sz w:val="21"/>
          <w:szCs w:val="21"/>
        </w:rPr>
        <w:t xml:space="preserve">Example of late recovery without window success: scale-free 0.05 ended with avg_final_cooperation 0.91 and avg_time_to_recovery 171.7 years — still a failed configuration by the functional-collapse definition.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3A" w:sz="1"/>
              <w:left w:val="thick" w:color="1A5C3A" w:sz="14"/>
              <w:bottom w:val="single" w:color="1A5C3A" w:sz="1"/>
              <w:right w:val="single" w:color="1A5C3A" w:sz="1"/>
            </w:tcBorders>
            <w:shd w:fill="F0F5FA" w:val="clear"/>
            <w:tcMar>
              <w:top w:type="dxa" w:w="100"/>
              <w:start w:type="dxa" w:w="240"/>
              <w:bottom w:type="dxa" w:w="100"/>
              <w:end w:type="dxa" w:w="200"/>
            </w:tcMar>
          </w:tcPr>
          <w:p>
            <w:r>
              <w:rPr>
                <w:rFonts w:ascii="Calibri" w:cs="Calibri" w:eastAsia="Calibri" w:hAnsi="Calibri"/>
                <w:b/>
                <w:bCs/>
                <w:color w:val="1A5C3A"/>
                <w:sz w:val="23"/>
                <w:szCs w:val="23"/>
              </w:rPr>
              <w:t xml:space="preserve">Section H Synthesis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Experiment</w:t>
            </w:r>
          </w:p>
        </w:tc>
        <w:tc>
          <w:tcPr>
            <w:tcW w:type="dxa" w:w="736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rPr>
                <w:rFonts w:ascii="Calibri" w:cs="Calibri" w:eastAsia="Calibri" w:hAnsi="Calibri"/>
                <w:b/>
                <w:bCs/>
                <w:color w:val="FFFFFF"/>
                <w:sz w:val="20"/>
                <w:szCs w:val="20"/>
              </w:rPr>
              <w:t xml:space="preserve">Finding</w:t>
            </w:r>
          </w:p>
        </w:tc>
      </w:tr>
      <w:tr>
        <w:tc>
          <w:tcPr>
            <w:tcW w:type="dxa" w:w="20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CL-NET-1</w:t>
            </w:r>
          </w:p>
        </w:tc>
        <w:tc>
          <w:tcPr>
            <w:tcW w:type="dxa" w:w="73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Non-zero trust decay is necessary for timely recovery after betrayal</w:t>
            </w:r>
          </w:p>
        </w:tc>
      </w:tr>
      <w:tr>
        <w:tc>
          <w:tcPr>
            <w:tcW w:type="dxa" w:w="20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CL-NET-2</w:t>
            </w:r>
          </w:p>
        </w:tc>
        <w:tc>
          <w:tcPr>
            <w:tcW w:type="dxa" w:w="73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Persistent adversaries make passive recovery fail universally in the tested matrix</w:t>
            </w:r>
          </w:p>
        </w:tc>
      </w:tr>
      <w:tr>
        <w:tc>
          <w:tcPr>
            <w:tcW w:type="dxa" w:w="20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CL-NET-3</w:t>
            </w:r>
          </w:p>
        </w:tc>
        <w:tc>
          <w:tcPr>
            <w:tcW w:type="dxa" w:w="73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Detection and isolation alone yield quarantined but fragmented functional collapse</w:t>
            </w:r>
          </w:p>
        </w:tc>
      </w:tr>
      <w:tr>
        <w:tc>
          <w:tcPr>
            <w:tcW w:type="dxa" w:w="20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CL-NET-4</w:t>
            </w:r>
          </w:p>
        </w:tc>
        <w:tc>
          <w:tcPr>
            <w:tcW w:type="dxa" w:w="73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Structure can be repaired faster than trust</w:t>
            </w:r>
          </w:p>
        </w:tc>
      </w:tr>
      <w:tr>
        <w:tc>
          <w:tcPr>
            <w:tcW w:type="dxa" w:w="20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CL-NET-5</w:t>
            </w:r>
          </w:p>
        </w:tc>
        <w:tc>
          <w:tcPr>
            <w:tcW w:type="dxa" w:w="73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Accelerated local coordination can restore the system in some parameter regimes, but only when trust adaptability and topology allow recovery to beat the time window</w:t>
            </w:r>
          </w:p>
        </w:tc>
      </w:tr>
    </w:tbl>
    <w:p>
      <w:pPr>
        <w:spacing w:before="100" w:after="100"/>
      </w:pPr>
    </w:p>
    <w:p>
      <w:pPr>
        <w:pBdr>
          <w:bottom w:val="single" w:color="AABBCC" w:sz="1" w:space="1"/>
        </w:pBdr>
        <w:spacing w:before="16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4A00" w:sz="1"/>
              <w:left w:val="single" w:color="8B4A00" w:sz="1"/>
              <w:bottom w:val="single" w:color="8B4A00" w:sz="1"/>
              <w:right w:val="single" w:color="8B4A00" w:sz="1"/>
            </w:tcBorders>
            <w:shd w:fill="8B4A00" w:val="clear"/>
            <w:tcMar>
              <w:top w:type="dxa" w:w="160"/>
              <w:start w:type="dxa" w:w="320"/>
              <w:bottom w:type="dxa" w:w="160"/>
              <w:end w:type="dxa" w:w="320"/>
            </w:tcMar>
          </w:tcPr>
          <w:p>
            <w:pPr>
              <w:jc w:val="left"/>
            </w:pPr>
            <w:r>
              <w:rPr>
                <w:rFonts w:ascii="Calibri" w:cs="Calibri" w:eastAsia="Calibri" w:hAnsi="Calibri"/>
                <w:b/>
                <w:bCs/>
                <w:color w:val="FFFFFF"/>
                <w:sz w:val="26"/>
                <w:szCs w:val="26"/>
              </w:rPr>
              <w:t xml:space="preserve">Section Y  —  Execution Layer Constraints (v1.0)</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0E0" w:sz="1"/>
              <w:left w:val="single" w:color="C5D0E0" w:sz="1"/>
              <w:bottom w:val="single" w:color="C5D0E0" w:sz="1"/>
              <w:right w:val="single" w:color="C5D0E0" w:sz="1"/>
            </w:tcBorders>
            <w:shd w:fill="1A3A5C" w:val="clear"/>
            <w:tcMar>
              <w:top w:type="dxa" w:w="90"/>
              <w:start w:type="dxa" w:w="130"/>
              <w:bottom w:type="dxa" w:w="90"/>
              <w:end w:type="dxa" w:w="130"/>
            </w:tcMar>
          </w:tcPr>
          <w:p>
            <w:pPr>
              <w:jc w:val="center"/>
            </w:pPr>
            <w:r>
              <w:rPr>
                <w:rFonts w:ascii="Calibri" w:cs="Calibri" w:eastAsia="Calibri" w:hAnsi="Calibri"/>
                <w:b/>
                <w:bCs/>
                <w:color w:val="FFFFFF"/>
                <w:sz w:val="20"/>
                <w:szCs w:val="20"/>
              </w:rPr>
              <w:t xml:space="preserve">Trust Recovery</w:t>
            </w:r>
          </w:p>
        </w:tc>
        <w:tc>
          <w:tcPr>
            <w:tcW w:type="dxa" w:w="6960"/>
            <w:tcBorders>
              <w:top w:val="single" w:color="C5D0E0" w:sz="1"/>
              <w:left w:val="single" w:color="C5D0E0" w:sz="1"/>
              <w:bottom w:val="single" w:color="C5D0E0" w:sz="1"/>
              <w:right w:val="single" w:color="C5D0E0" w:sz="1"/>
            </w:tcBorders>
            <w:shd w:fill="FFFFFF" w:val="clear"/>
            <w:tcMar>
              <w:top w:type="dxa" w:w="90"/>
              <w:start w:type="dxa" w:w="160"/>
              <w:bottom w:type="dxa" w:w="90"/>
              <w:end w:type="dxa" w:w="120"/>
            </w:tcMar>
          </w:tcPr>
          <w:p>
            <w:r>
              <w:rPr>
                <w:rFonts w:ascii="Calibri" w:cs="Calibri" w:eastAsia="Calibri" w:hAnsi="Calibri"/>
                <w:color w:val="1C1C2E"/>
                <w:sz w:val="20"/>
                <w:szCs w:val="20"/>
              </w:rPr>
              <w:t xml:space="preserve">Passive decay alone is insufficient under persistent adversarial pressure. Recovery requires active propagation or coordination mechanisms.</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0E0" w:sz="1"/>
              <w:left w:val="single" w:color="C5D0E0" w:sz="1"/>
              <w:bottom w:val="single" w:color="C5D0E0" w:sz="1"/>
              <w:right w:val="single" w:color="C5D0E0" w:sz="1"/>
            </w:tcBorders>
            <w:shd w:fill="1A3A5C" w:val="clear"/>
            <w:tcMar>
              <w:top w:type="dxa" w:w="90"/>
              <w:start w:type="dxa" w:w="130"/>
              <w:bottom w:type="dxa" w:w="90"/>
              <w:end w:type="dxa" w:w="130"/>
            </w:tcMar>
          </w:tcPr>
          <w:p>
            <w:pPr>
              <w:jc w:val="center"/>
            </w:pPr>
            <w:r>
              <w:rPr>
                <w:rFonts w:ascii="Calibri" w:cs="Calibri" w:eastAsia="Calibri" w:hAnsi="Calibri"/>
                <w:b/>
                <w:bCs/>
                <w:color w:val="FFFFFF"/>
                <w:sz w:val="20"/>
                <w:szCs w:val="20"/>
              </w:rPr>
              <w:t xml:space="preserve">Temporal</w:t>
            </w:r>
          </w:p>
        </w:tc>
        <w:tc>
          <w:tcPr>
            <w:tcW w:type="dxa" w:w="6960"/>
            <w:tcBorders>
              <w:top w:val="single" w:color="C5D0E0" w:sz="1"/>
              <w:left w:val="single" w:color="C5D0E0" w:sz="1"/>
              <w:bottom w:val="single" w:color="C5D0E0" w:sz="1"/>
              <w:right w:val="single" w:color="C5D0E0" w:sz="1"/>
            </w:tcBorders>
            <w:shd w:fill="FFFFFF" w:val="clear"/>
            <w:tcMar>
              <w:top w:type="dxa" w:w="90"/>
              <w:start w:type="dxa" w:w="160"/>
              <w:bottom w:type="dxa" w:w="90"/>
              <w:end w:type="dxa" w:w="120"/>
            </w:tcMar>
          </w:tcPr>
          <w:p>
            <w:r>
              <w:rPr>
                <w:rFonts w:ascii="Calibri" w:cs="Calibri" w:eastAsia="Calibri" w:hAnsi="Calibri"/>
                <w:color w:val="1C1C2E"/>
                <w:sz w:val="20"/>
                <w:szCs w:val="20"/>
              </w:rPr>
              <w:t xml:space="preserve">Systems fail functionally if recovery does not occur within the defined time window, even when eventual recovery is possible.</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0E0" w:sz="1"/>
              <w:left w:val="single" w:color="C5D0E0" w:sz="1"/>
              <w:bottom w:val="single" w:color="C5D0E0" w:sz="1"/>
              <w:right w:val="single" w:color="C5D0E0" w:sz="1"/>
            </w:tcBorders>
            <w:shd w:fill="1A3A5C" w:val="clear"/>
            <w:tcMar>
              <w:top w:type="dxa" w:w="90"/>
              <w:start w:type="dxa" w:w="130"/>
              <w:bottom w:type="dxa" w:w="90"/>
              <w:end w:type="dxa" w:w="130"/>
            </w:tcMar>
          </w:tcPr>
          <w:p>
            <w:pPr>
              <w:jc w:val="center"/>
            </w:pPr>
            <w:r>
              <w:rPr>
                <w:rFonts w:ascii="Calibri" w:cs="Calibri" w:eastAsia="Calibri" w:hAnsi="Calibri"/>
                <w:b/>
                <w:bCs/>
                <w:color w:val="FFFFFF"/>
                <w:sz w:val="20"/>
                <w:szCs w:val="20"/>
              </w:rPr>
              <w:t xml:space="preserve">Topology</w:t>
            </w:r>
          </w:p>
        </w:tc>
        <w:tc>
          <w:tcPr>
            <w:tcW w:type="dxa" w:w="6960"/>
            <w:tcBorders>
              <w:top w:val="single" w:color="C5D0E0" w:sz="1"/>
              <w:left w:val="single" w:color="C5D0E0" w:sz="1"/>
              <w:bottom w:val="single" w:color="C5D0E0" w:sz="1"/>
              <w:right w:val="single" w:color="C5D0E0" w:sz="1"/>
            </w:tcBorders>
            <w:shd w:fill="FFFFFF" w:val="clear"/>
            <w:tcMar>
              <w:top w:type="dxa" w:w="90"/>
              <w:start w:type="dxa" w:w="160"/>
              <w:bottom w:type="dxa" w:w="90"/>
              <w:end w:type="dxa" w:w="120"/>
            </w:tcMar>
          </w:tcPr>
          <w:p>
            <w:r>
              <w:rPr>
                <w:rFonts w:ascii="Calibri" w:cs="Calibri" w:eastAsia="Calibri" w:hAnsi="Calibri"/>
                <w:color w:val="1C1C2E"/>
                <w:sz w:val="20"/>
                <w:szCs w:val="20"/>
              </w:rPr>
              <w:t xml:space="preserve">System behavior depends on network structure. No topology is universally optimal, and centralized topologies require stronger recovery capacity.</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0E0" w:sz="1"/>
              <w:left w:val="single" w:color="C5D0E0" w:sz="1"/>
              <w:bottom w:val="single" w:color="C5D0E0" w:sz="1"/>
              <w:right w:val="single" w:color="C5D0E0" w:sz="1"/>
            </w:tcBorders>
            <w:shd w:fill="1A3A5C" w:val="clear"/>
            <w:tcMar>
              <w:top w:type="dxa" w:w="90"/>
              <w:start w:type="dxa" w:w="130"/>
              <w:bottom w:type="dxa" w:w="90"/>
              <w:end w:type="dxa" w:w="130"/>
            </w:tcMar>
          </w:tcPr>
          <w:p>
            <w:pPr>
              <w:jc w:val="center"/>
            </w:pPr>
            <w:r>
              <w:rPr>
                <w:rFonts w:ascii="Calibri" w:cs="Calibri" w:eastAsia="Calibri" w:hAnsi="Calibri"/>
                <w:b/>
                <w:bCs/>
                <w:color w:val="FFFFFF"/>
                <w:sz w:val="20"/>
                <w:szCs w:val="20"/>
              </w:rPr>
              <w:t xml:space="preserve">Parameter Sensitivity</w:t>
            </w:r>
          </w:p>
        </w:tc>
        <w:tc>
          <w:tcPr>
            <w:tcW w:type="dxa" w:w="6960"/>
            <w:tcBorders>
              <w:top w:val="single" w:color="C5D0E0" w:sz="1"/>
              <w:left w:val="single" w:color="C5D0E0" w:sz="1"/>
              <w:bottom w:val="single" w:color="C5D0E0" w:sz="1"/>
              <w:right w:val="single" w:color="C5D0E0" w:sz="1"/>
            </w:tcBorders>
            <w:shd w:fill="FFFFFF" w:val="clear"/>
            <w:tcMar>
              <w:top w:type="dxa" w:w="90"/>
              <w:start w:type="dxa" w:w="160"/>
              <w:bottom w:type="dxa" w:w="90"/>
              <w:end w:type="dxa" w:w="120"/>
            </w:tcMar>
          </w:tcPr>
          <w:p>
            <w:r>
              <w:rPr>
                <w:rFonts w:ascii="Calibri" w:cs="Calibri" w:eastAsia="Calibri" w:hAnsi="Calibri"/>
                <w:color w:val="1C1C2E"/>
                <w:sz w:val="20"/>
                <w:szCs w:val="20"/>
              </w:rPr>
              <w:t xml:space="preserve">System stability exists only within bounded parameter ranges such as trust decay, coordination speed, and event load.</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0E0" w:sz="1"/>
              <w:left w:val="single" w:color="C5D0E0" w:sz="1"/>
              <w:bottom w:val="single" w:color="C5D0E0" w:sz="1"/>
              <w:right w:val="single" w:color="C5D0E0" w:sz="1"/>
            </w:tcBorders>
            <w:shd w:fill="1A3A5C" w:val="clear"/>
            <w:tcMar>
              <w:top w:type="dxa" w:w="90"/>
              <w:start w:type="dxa" w:w="130"/>
              <w:bottom w:type="dxa" w:w="90"/>
              <w:end w:type="dxa" w:w="130"/>
            </w:tcMar>
          </w:tcPr>
          <w:p>
            <w:pPr>
              <w:jc w:val="center"/>
            </w:pPr>
            <w:r>
              <w:rPr>
                <w:rFonts w:ascii="Calibri" w:cs="Calibri" w:eastAsia="Calibri" w:hAnsi="Calibri"/>
                <w:b/>
                <w:bCs/>
                <w:color w:val="FFFFFF"/>
                <w:sz w:val="20"/>
                <w:szCs w:val="20"/>
              </w:rPr>
              <w:t xml:space="preserve">Adversarial Persistence</w:t>
            </w:r>
          </w:p>
        </w:tc>
        <w:tc>
          <w:tcPr>
            <w:tcW w:type="dxa" w:w="6960"/>
            <w:tcBorders>
              <w:top w:val="single" w:color="C5D0E0" w:sz="1"/>
              <w:left w:val="single" w:color="C5D0E0" w:sz="1"/>
              <w:bottom w:val="single" w:color="C5D0E0" w:sz="1"/>
              <w:right w:val="single" w:color="C5D0E0" w:sz="1"/>
            </w:tcBorders>
            <w:shd w:fill="FFFFFF" w:val="clear"/>
            <w:tcMar>
              <w:top w:type="dxa" w:w="90"/>
              <w:start w:type="dxa" w:w="160"/>
              <w:bottom w:type="dxa" w:w="90"/>
              <w:end w:type="dxa" w:w="120"/>
            </w:tcMar>
          </w:tcPr>
          <w:p>
            <w:r>
              <w:rPr>
                <w:rFonts w:ascii="Calibri" w:cs="Calibri" w:eastAsia="Calibri" w:hAnsi="Calibri"/>
                <w:color w:val="1C1C2E"/>
                <w:sz w:val="20"/>
                <w:szCs w:val="20"/>
              </w:rPr>
              <w:t xml:space="preserve">Continuous adversarial pressure prevents passive recovery and forces active regeneration mechanisms.</w:t>
            </w:r>
          </w:p>
        </w:tc>
      </w:tr>
    </w:tbl>
    <w:p>
      <w:pPr>
        <w:spacing w:before="100" w:after="100"/>
      </w:pPr>
    </w:p>
    <w:p>
      <w:pPr>
        <w:pBdr>
          <w:bottom w:val="single" w:color="AABBCC" w:sz="1" w:space="1"/>
        </w:pBdr>
        <w:spacing w:before="16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B1A2E" w:sz="1"/>
              <w:left w:val="single" w:color="0B1A2E" w:sz="1"/>
              <w:bottom w:val="single" w:color="0B1A2E" w:sz="1"/>
              <w:right w:val="single" w:color="0B1A2E" w:sz="1"/>
            </w:tcBorders>
            <w:shd w:fill="0B1A2E" w:val="clear"/>
            <w:tcMar>
              <w:top w:type="dxa" w:w="160"/>
              <w:start w:type="dxa" w:w="320"/>
              <w:bottom w:type="dxa" w:w="160"/>
              <w:end w:type="dxa" w:w="320"/>
            </w:tcMar>
          </w:tcPr>
          <w:p>
            <w:pPr>
              <w:jc w:val="left"/>
            </w:pPr>
            <w:r>
              <w:rPr>
                <w:rFonts w:ascii="Calibri" w:cs="Calibri" w:eastAsia="Calibri" w:hAnsi="Calibri"/>
                <w:b/>
                <w:bCs/>
                <w:color w:val="FFFFFF"/>
                <w:sz w:val="26"/>
                <w:szCs w:val="26"/>
              </w:rPr>
              <w:t xml:space="preserve">Section X  —  Core System Laws (v1.0)</w:t>
            </w:r>
          </w:p>
        </w:tc>
      </w:tr>
    </w:tbl>
    <w:p>
      <w:pPr>
        <w:spacing w:before="60" w:after="60"/>
      </w:pPr>
    </w:p>
    <w:p>
      <w:pPr>
        <w:spacing w:before="0" w:after="100"/>
        <w:jc w:val="both"/>
      </w:pPr>
      <w:r>
        <w:rPr>
          <w:rFonts w:ascii="Calibri" w:cs="Calibri" w:eastAsia="Calibri" w:hAnsi="Calibri"/>
          <w:i/>
          <w:iCs/>
          <w:color w:val="5A6070"/>
          <w:sz w:val="22"/>
          <w:szCs w:val="22"/>
        </w:rPr>
        <w:t xml:space="preserve">Synthesis: These laws represent the consolidated results of the SOE simulation program across behavioral, topological, adversarial, and multi-model validation layers.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5D0E0" w:sz="1"/>
              <w:left w:val="single" w:color="C5D0E0" w:sz="1"/>
              <w:bottom w:val="single" w:color="C5D0E0" w:sz="1"/>
              <w:right w:val="single" w:color="C5D0E0" w:sz="1"/>
            </w:tcBorders>
            <w:shd w:fill="0B1A2E" w:val="clear"/>
            <w:tcMar>
              <w:top w:type="dxa" w:w="100"/>
              <w:start w:type="dxa" w:w="100"/>
              <w:bottom w:type="dxa" w:w="100"/>
              <w:end w:type="dxa" w:w="100"/>
            </w:tcMar>
          </w:tcPr>
          <w:p>
            <w:pPr>
              <w:jc w:val="center"/>
            </w:pPr>
            <w:r>
              <w:rPr>
                <w:rFonts w:ascii="Calibri" w:cs="Calibri" w:eastAsia="Calibri" w:hAnsi="Calibri"/>
                <w:b/>
                <w:bCs/>
                <w:color w:val="FFFFFF"/>
                <w:sz w:val="24"/>
                <w:szCs w:val="24"/>
              </w:rPr>
              <w:t xml:space="preserve">1</w:t>
            </w:r>
          </w:p>
        </w:tc>
        <w:tc>
          <w:tcPr>
            <w:tcW w:type="dxa" w:w="8640"/>
            <w:tcBorders>
              <w:top w:val="single" w:color="C5D0E0" w:sz="1"/>
              <w:left w:val="single" w:color="C5D0E0" w:sz="1"/>
              <w:bottom w:val="single" w:color="C5D0E0" w:sz="1"/>
              <w:right w:val="single" w:color="C5D0E0" w:sz="1"/>
            </w:tcBorders>
            <w:shd w:fill="F0F5FA" w:val="clear"/>
            <w:tcMar>
              <w:top w:type="dxa" w:w="100"/>
              <w:start w:type="dxa" w:w="200"/>
              <w:bottom w:type="dxa" w:w="100"/>
              <w:end w:type="dxa" w:w="120"/>
            </w:tcMar>
          </w:tcPr>
          <w:p>
            <w:r>
              <w:rPr>
                <w:rFonts w:ascii="Calibri" w:cs="Calibri" w:eastAsia="Calibri" w:hAnsi="Calibri"/>
                <w:b/>
                <w:bCs/>
                <w:color w:val="0B1A2E"/>
                <w:sz w:val="22"/>
                <w:szCs w:val="22"/>
              </w:rPr>
              <w:t xml:space="preserve">Permanent trust damage suggests functional collapse.</w:t>
            </w:r>
          </w:p>
          <w:p>
            <w:r>
              <w:rPr>
                <w:rFonts w:ascii="Calibri" w:cs="Calibri" w:eastAsia="Calibri" w:hAnsi="Calibri"/>
                <w:i/>
                <w:iCs/>
                <w:color w:val="5A6070"/>
                <w:sz w:val="20"/>
                <w:szCs w:val="20"/>
              </w:rPr>
              <w:t xml:space="preserve">In the tested CL-NET regime, if trust memory does not decay, timely recovery becomes impossible.</w:t>
            </w:r>
          </w:p>
        </w:tc>
      </w:tr>
    </w:tbl>
    <w:p>
      <w:pPr>
        <w:spacing w:before="16"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5D0E0" w:sz="1"/>
              <w:left w:val="single" w:color="C5D0E0" w:sz="1"/>
              <w:bottom w:val="single" w:color="C5D0E0" w:sz="1"/>
              <w:right w:val="single" w:color="C5D0E0" w:sz="1"/>
            </w:tcBorders>
            <w:shd w:fill="0B1A2E" w:val="clear"/>
            <w:tcMar>
              <w:top w:type="dxa" w:w="100"/>
              <w:start w:type="dxa" w:w="100"/>
              <w:bottom w:type="dxa" w:w="100"/>
              <w:end w:type="dxa" w:w="100"/>
            </w:tcMar>
          </w:tcPr>
          <w:p>
            <w:pPr>
              <w:jc w:val="center"/>
            </w:pPr>
            <w:r>
              <w:rPr>
                <w:rFonts w:ascii="Calibri" w:cs="Calibri" w:eastAsia="Calibri" w:hAnsi="Calibri"/>
                <w:b/>
                <w:bCs/>
                <w:color w:val="FFFFFF"/>
                <w:sz w:val="24"/>
                <w:szCs w:val="24"/>
              </w:rPr>
              <w:t xml:space="preserve">2</w:t>
            </w:r>
          </w:p>
        </w:tc>
        <w:tc>
          <w:tcPr>
            <w:tcW w:type="dxa" w:w="8640"/>
            <w:tcBorders>
              <w:top w:val="single" w:color="C5D0E0" w:sz="1"/>
              <w:left w:val="single" w:color="C5D0E0" w:sz="1"/>
              <w:bottom w:val="single" w:color="C5D0E0" w:sz="1"/>
              <w:right w:val="single" w:color="C5D0E0" w:sz="1"/>
            </w:tcBorders>
            <w:shd w:fill="F0F5FA" w:val="clear"/>
            <w:tcMar>
              <w:top w:type="dxa" w:w="100"/>
              <w:start w:type="dxa" w:w="200"/>
              <w:bottom w:type="dxa" w:w="100"/>
              <w:end w:type="dxa" w:w="120"/>
            </w:tcMar>
          </w:tcPr>
          <w:p>
            <w:r>
              <w:rPr>
                <w:rFonts w:ascii="Calibri" w:cs="Calibri" w:eastAsia="Calibri" w:hAnsi="Calibri"/>
                <w:b/>
                <w:bCs/>
                <w:color w:val="0B1A2E"/>
                <w:sz w:val="22"/>
                <w:szCs w:val="22"/>
              </w:rPr>
              <w:t xml:space="preserve">Recovery must occur within a critical time window.</w:t>
            </w:r>
          </w:p>
          <w:p>
            <w:r>
              <w:rPr>
                <w:rFonts w:ascii="Calibri" w:cs="Calibri" w:eastAsia="Calibri" w:hAnsi="Calibri"/>
                <w:i/>
                <w:iCs/>
                <w:color w:val="5A6070"/>
                <w:sz w:val="20"/>
                <w:szCs w:val="20"/>
              </w:rPr>
              <w:t xml:space="preserve">Systems that recover too slowly enter functional collapse even when eventual cooperation is possible.</w:t>
            </w:r>
          </w:p>
        </w:tc>
      </w:tr>
    </w:tbl>
    <w:p>
      <w:pPr>
        <w:spacing w:before="16"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5D0E0" w:sz="1"/>
              <w:left w:val="single" w:color="C5D0E0" w:sz="1"/>
              <w:bottom w:val="single" w:color="C5D0E0" w:sz="1"/>
              <w:right w:val="single" w:color="C5D0E0" w:sz="1"/>
            </w:tcBorders>
            <w:shd w:fill="0B1A2E" w:val="clear"/>
            <w:tcMar>
              <w:top w:type="dxa" w:w="100"/>
              <w:start w:type="dxa" w:w="100"/>
              <w:bottom w:type="dxa" w:w="100"/>
              <w:end w:type="dxa" w:w="100"/>
            </w:tcMar>
          </w:tcPr>
          <w:p>
            <w:pPr>
              <w:jc w:val="center"/>
            </w:pPr>
            <w:r>
              <w:rPr>
                <w:rFonts w:ascii="Calibri" w:cs="Calibri" w:eastAsia="Calibri" w:hAnsi="Calibri"/>
                <w:b/>
                <w:bCs/>
                <w:color w:val="FFFFFF"/>
                <w:sz w:val="24"/>
                <w:szCs w:val="24"/>
              </w:rPr>
              <w:t xml:space="preserve">3</w:t>
            </w:r>
          </w:p>
        </w:tc>
        <w:tc>
          <w:tcPr>
            <w:tcW w:type="dxa" w:w="8640"/>
            <w:tcBorders>
              <w:top w:val="single" w:color="C5D0E0" w:sz="1"/>
              <w:left w:val="single" w:color="C5D0E0" w:sz="1"/>
              <w:bottom w:val="single" w:color="C5D0E0" w:sz="1"/>
              <w:right w:val="single" w:color="C5D0E0" w:sz="1"/>
            </w:tcBorders>
            <w:shd w:fill="F0F5FA" w:val="clear"/>
            <w:tcMar>
              <w:top w:type="dxa" w:w="100"/>
              <w:start w:type="dxa" w:w="200"/>
              <w:bottom w:type="dxa" w:w="100"/>
              <w:end w:type="dxa" w:w="120"/>
            </w:tcMar>
          </w:tcPr>
          <w:p>
            <w:r>
              <w:rPr>
                <w:rFonts w:ascii="Calibri" w:cs="Calibri" w:eastAsia="Calibri" w:hAnsi="Calibri"/>
                <w:b/>
                <w:bCs/>
                <w:color w:val="0B1A2E"/>
                <w:sz w:val="22"/>
                <w:szCs w:val="22"/>
              </w:rPr>
              <w:t xml:space="preserve">Defense without recovery leads to fragmentation.</w:t>
            </w:r>
          </w:p>
          <w:p>
            <w:r>
              <w:rPr>
                <w:rFonts w:ascii="Calibri" w:cs="Calibri" w:eastAsia="Calibri" w:hAnsi="Calibri"/>
                <w:i/>
                <w:iCs/>
                <w:color w:val="5A6070"/>
                <w:sz w:val="20"/>
                <w:szCs w:val="20"/>
              </w:rPr>
              <w:t xml:space="preserve">Isolation of adversaries preserves local integrity but does not by itself restore cooperation.</w:t>
            </w:r>
          </w:p>
        </w:tc>
      </w:tr>
    </w:tbl>
    <w:p>
      <w:pPr>
        <w:spacing w:before="16"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5D0E0" w:sz="1"/>
              <w:left w:val="single" w:color="C5D0E0" w:sz="1"/>
              <w:bottom w:val="single" w:color="C5D0E0" w:sz="1"/>
              <w:right w:val="single" w:color="C5D0E0" w:sz="1"/>
            </w:tcBorders>
            <w:shd w:fill="0B1A2E" w:val="clear"/>
            <w:tcMar>
              <w:top w:type="dxa" w:w="100"/>
              <w:start w:type="dxa" w:w="100"/>
              <w:bottom w:type="dxa" w:w="100"/>
              <w:end w:type="dxa" w:w="100"/>
            </w:tcMar>
          </w:tcPr>
          <w:p>
            <w:pPr>
              <w:jc w:val="center"/>
            </w:pPr>
            <w:r>
              <w:rPr>
                <w:rFonts w:ascii="Calibri" w:cs="Calibri" w:eastAsia="Calibri" w:hAnsi="Calibri"/>
                <w:b/>
                <w:bCs/>
                <w:color w:val="FFFFFF"/>
                <w:sz w:val="24"/>
                <w:szCs w:val="24"/>
              </w:rPr>
              <w:t xml:space="preserve">4</w:t>
            </w:r>
          </w:p>
        </w:tc>
        <w:tc>
          <w:tcPr>
            <w:tcW w:type="dxa" w:w="8640"/>
            <w:tcBorders>
              <w:top w:val="single" w:color="C5D0E0" w:sz="1"/>
              <w:left w:val="single" w:color="C5D0E0" w:sz="1"/>
              <w:bottom w:val="single" w:color="C5D0E0" w:sz="1"/>
              <w:right w:val="single" w:color="C5D0E0" w:sz="1"/>
            </w:tcBorders>
            <w:shd w:fill="F0F5FA" w:val="clear"/>
            <w:tcMar>
              <w:top w:type="dxa" w:w="100"/>
              <w:start w:type="dxa" w:w="200"/>
              <w:bottom w:type="dxa" w:w="100"/>
              <w:end w:type="dxa" w:w="120"/>
            </w:tcMar>
          </w:tcPr>
          <w:p>
            <w:r>
              <w:rPr>
                <w:rFonts w:ascii="Calibri" w:cs="Calibri" w:eastAsia="Calibri" w:hAnsi="Calibri"/>
                <w:b/>
                <w:bCs/>
                <w:color w:val="0B1A2E"/>
                <w:sz w:val="22"/>
                <w:szCs w:val="22"/>
              </w:rPr>
              <w:t xml:space="preserve">Trust propagation contributes to recovery but is not sufficient on its own.</w:t>
            </w:r>
          </w:p>
          <w:p>
            <w:r>
              <w:rPr>
                <w:rFonts w:ascii="Calibri" w:cs="Calibri" w:eastAsia="Calibri" w:hAnsi="Calibri"/>
                <w:i/>
                <w:iCs/>
                <w:color w:val="5A6070"/>
                <w:sz w:val="20"/>
                <w:szCs w:val="20"/>
              </w:rPr>
              <w:t xml:space="preserve">Signals must combine with trust adaptability and timing.</w:t>
            </w:r>
          </w:p>
        </w:tc>
      </w:tr>
    </w:tbl>
    <w:p>
      <w:pPr>
        <w:spacing w:before="16"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5D0E0" w:sz="1"/>
              <w:left w:val="single" w:color="C5D0E0" w:sz="1"/>
              <w:bottom w:val="single" w:color="C5D0E0" w:sz="1"/>
              <w:right w:val="single" w:color="C5D0E0" w:sz="1"/>
            </w:tcBorders>
            <w:shd w:fill="0B1A2E" w:val="clear"/>
            <w:tcMar>
              <w:top w:type="dxa" w:w="100"/>
              <w:start w:type="dxa" w:w="100"/>
              <w:bottom w:type="dxa" w:w="100"/>
              <w:end w:type="dxa" w:w="100"/>
            </w:tcMar>
          </w:tcPr>
          <w:p>
            <w:pPr>
              <w:jc w:val="center"/>
            </w:pPr>
            <w:r>
              <w:rPr>
                <w:rFonts w:ascii="Calibri" w:cs="Calibri" w:eastAsia="Calibri" w:hAnsi="Calibri"/>
                <w:b/>
                <w:bCs/>
                <w:color w:val="FFFFFF"/>
                <w:sz w:val="24"/>
                <w:szCs w:val="24"/>
              </w:rPr>
              <w:t xml:space="preserve">5</w:t>
            </w:r>
          </w:p>
        </w:tc>
        <w:tc>
          <w:tcPr>
            <w:tcW w:type="dxa" w:w="8640"/>
            <w:tcBorders>
              <w:top w:val="single" w:color="C5D0E0" w:sz="1"/>
              <w:left w:val="single" w:color="C5D0E0" w:sz="1"/>
              <w:bottom w:val="single" w:color="C5D0E0" w:sz="1"/>
              <w:right w:val="single" w:color="C5D0E0" w:sz="1"/>
            </w:tcBorders>
            <w:shd w:fill="F0F5FA" w:val="clear"/>
            <w:tcMar>
              <w:top w:type="dxa" w:w="100"/>
              <w:start w:type="dxa" w:w="200"/>
              <w:bottom w:type="dxa" w:w="100"/>
              <w:end w:type="dxa" w:w="120"/>
            </w:tcMar>
          </w:tcPr>
          <w:p>
            <w:r>
              <w:rPr>
                <w:rFonts w:ascii="Calibri" w:cs="Calibri" w:eastAsia="Calibri" w:hAnsi="Calibri"/>
                <w:b/>
                <w:bCs/>
                <w:color w:val="0B1A2E"/>
                <w:sz w:val="22"/>
                <w:szCs w:val="22"/>
              </w:rPr>
              <w:t xml:space="preserve">Centralization increases recovery requirements.</w:t>
            </w:r>
          </w:p>
          <w:p>
            <w:r>
              <w:rPr>
                <w:rFonts w:ascii="Calibri" w:cs="Calibri" w:eastAsia="Calibri" w:hAnsi="Calibri"/>
                <w:i/>
                <w:iCs/>
                <w:color w:val="5A6070"/>
                <w:sz w:val="20"/>
                <w:szCs w:val="20"/>
              </w:rPr>
              <w:t xml:space="preserve">Highly connected hubs raise fragility under disruption unless redundancy is present.</w:t>
            </w:r>
          </w:p>
        </w:tc>
      </w:tr>
    </w:tbl>
    <w:p>
      <w:pPr>
        <w:spacing w:before="16"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5D0E0" w:sz="1"/>
              <w:left w:val="single" w:color="C5D0E0" w:sz="1"/>
              <w:bottom w:val="single" w:color="C5D0E0" w:sz="1"/>
              <w:right w:val="single" w:color="C5D0E0" w:sz="1"/>
            </w:tcBorders>
            <w:shd w:fill="0B1A2E" w:val="clear"/>
            <w:tcMar>
              <w:top w:type="dxa" w:w="100"/>
              <w:start w:type="dxa" w:w="100"/>
              <w:bottom w:type="dxa" w:w="100"/>
              <w:end w:type="dxa" w:w="100"/>
            </w:tcMar>
          </w:tcPr>
          <w:p>
            <w:pPr>
              <w:jc w:val="center"/>
            </w:pPr>
            <w:r>
              <w:rPr>
                <w:rFonts w:ascii="Calibri" w:cs="Calibri" w:eastAsia="Calibri" w:hAnsi="Calibri"/>
                <w:b/>
                <w:bCs/>
                <w:color w:val="FFFFFF"/>
                <w:sz w:val="24"/>
                <w:szCs w:val="24"/>
              </w:rPr>
              <w:t xml:space="preserve">6</w:t>
            </w:r>
          </w:p>
        </w:tc>
        <w:tc>
          <w:tcPr>
            <w:tcW w:type="dxa" w:w="8640"/>
            <w:tcBorders>
              <w:top w:val="single" w:color="C5D0E0" w:sz="1"/>
              <w:left w:val="single" w:color="C5D0E0" w:sz="1"/>
              <w:bottom w:val="single" w:color="C5D0E0" w:sz="1"/>
              <w:right w:val="single" w:color="C5D0E0" w:sz="1"/>
            </w:tcBorders>
            <w:shd w:fill="F0F5FA" w:val="clear"/>
            <w:tcMar>
              <w:top w:type="dxa" w:w="100"/>
              <w:start w:type="dxa" w:w="200"/>
              <w:bottom w:type="dxa" w:w="100"/>
              <w:end w:type="dxa" w:w="120"/>
            </w:tcMar>
          </w:tcPr>
          <w:p>
            <w:r>
              <w:rPr>
                <w:rFonts w:ascii="Calibri" w:cs="Calibri" w:eastAsia="Calibri" w:hAnsi="Calibri"/>
                <w:b/>
                <w:bCs/>
                <w:color w:val="0B1A2E"/>
                <w:sz w:val="22"/>
                <w:szCs w:val="22"/>
              </w:rPr>
              <w:t xml:space="preserve">System stability is parameter-dependent.</w:t>
            </w:r>
          </w:p>
          <w:p>
            <w:r>
              <w:rPr>
                <w:rFonts w:ascii="Calibri" w:cs="Calibri" w:eastAsia="Calibri" w:hAnsi="Calibri"/>
                <w:i/>
                <w:iCs/>
                <w:color w:val="5A6070"/>
                <w:sz w:val="20"/>
                <w:szCs w:val="20"/>
              </w:rPr>
              <w:t xml:space="preserve">Survival depends on trust decay, topology, coordination speed, and event load.</w:t>
            </w:r>
          </w:p>
        </w:tc>
      </w:tr>
    </w:tbl>
    <w:p>
      <w:pPr>
        <w:spacing w:before="16"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5D0E0" w:sz="1"/>
              <w:left w:val="single" w:color="C5D0E0" w:sz="1"/>
              <w:bottom w:val="single" w:color="C5D0E0" w:sz="1"/>
              <w:right w:val="single" w:color="C5D0E0" w:sz="1"/>
            </w:tcBorders>
            <w:shd w:fill="0B1A2E" w:val="clear"/>
            <w:tcMar>
              <w:top w:type="dxa" w:w="100"/>
              <w:start w:type="dxa" w:w="100"/>
              <w:bottom w:type="dxa" w:w="100"/>
              <w:end w:type="dxa" w:w="100"/>
            </w:tcMar>
          </w:tcPr>
          <w:p>
            <w:pPr>
              <w:jc w:val="center"/>
            </w:pPr>
            <w:r>
              <w:rPr>
                <w:rFonts w:ascii="Calibri" w:cs="Calibri" w:eastAsia="Calibri" w:hAnsi="Calibri"/>
                <w:b/>
                <w:bCs/>
                <w:color w:val="FFFFFF"/>
                <w:sz w:val="24"/>
                <w:szCs w:val="24"/>
              </w:rPr>
              <w:t xml:space="preserve">7</w:t>
            </w:r>
          </w:p>
        </w:tc>
        <w:tc>
          <w:tcPr>
            <w:tcW w:type="dxa" w:w="8640"/>
            <w:tcBorders>
              <w:top w:val="single" w:color="C5D0E0" w:sz="1"/>
              <w:left w:val="single" w:color="C5D0E0" w:sz="1"/>
              <w:bottom w:val="single" w:color="C5D0E0" w:sz="1"/>
              <w:right w:val="single" w:color="C5D0E0" w:sz="1"/>
            </w:tcBorders>
            <w:shd w:fill="F0F5FA" w:val="clear"/>
            <w:tcMar>
              <w:top w:type="dxa" w:w="100"/>
              <w:start w:type="dxa" w:w="200"/>
              <w:bottom w:type="dxa" w:w="100"/>
              <w:end w:type="dxa" w:w="120"/>
            </w:tcMar>
          </w:tcPr>
          <w:p>
            <w:r>
              <w:rPr>
                <w:rFonts w:ascii="Calibri" w:cs="Calibri" w:eastAsia="Calibri" w:hAnsi="Calibri"/>
                <w:b/>
                <w:bCs/>
                <w:color w:val="0B1A2E"/>
                <w:sz w:val="22"/>
                <w:szCs w:val="22"/>
              </w:rPr>
              <w:t xml:space="preserve">Recovery requires both trust decay and coordination.</w:t>
            </w:r>
          </w:p>
          <w:p>
            <w:r>
              <w:rPr>
                <w:rFonts w:ascii="Calibri" w:cs="Calibri" w:eastAsia="Calibri" w:hAnsi="Calibri"/>
                <w:i/>
                <w:iCs/>
                <w:color w:val="5A6070"/>
                <w:sz w:val="20"/>
                <w:szCs w:val="20"/>
              </w:rPr>
              <w:t xml:space="preserve">Neither mechanism alone was sufficient across the tested matrices.</w:t>
            </w:r>
          </w:p>
        </w:tc>
      </w:tr>
    </w:tbl>
    <w:p>
      <w:pPr>
        <w:spacing w:before="16"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5D0E0" w:sz="1"/>
              <w:left w:val="single" w:color="C5D0E0" w:sz="1"/>
              <w:bottom w:val="single" w:color="C5D0E0" w:sz="1"/>
              <w:right w:val="single" w:color="C5D0E0" w:sz="1"/>
            </w:tcBorders>
            <w:shd w:fill="0B1A2E" w:val="clear"/>
            <w:tcMar>
              <w:top w:type="dxa" w:w="100"/>
              <w:start w:type="dxa" w:w="100"/>
              <w:bottom w:type="dxa" w:w="100"/>
              <w:end w:type="dxa" w:w="100"/>
            </w:tcMar>
          </w:tcPr>
          <w:p>
            <w:pPr>
              <w:jc w:val="center"/>
            </w:pPr>
            <w:r>
              <w:rPr>
                <w:rFonts w:ascii="Calibri" w:cs="Calibri" w:eastAsia="Calibri" w:hAnsi="Calibri"/>
                <w:b/>
                <w:bCs/>
                <w:color w:val="FFFFFF"/>
                <w:sz w:val="24"/>
                <w:szCs w:val="24"/>
              </w:rPr>
              <w:t xml:space="preserve">8</w:t>
            </w:r>
          </w:p>
        </w:tc>
        <w:tc>
          <w:tcPr>
            <w:tcW w:type="dxa" w:w="8640"/>
            <w:tcBorders>
              <w:top w:val="single" w:color="C5D0E0" w:sz="1"/>
              <w:left w:val="single" w:color="C5D0E0" w:sz="1"/>
              <w:bottom w:val="single" w:color="C5D0E0" w:sz="1"/>
              <w:right w:val="single" w:color="C5D0E0" w:sz="1"/>
            </w:tcBorders>
            <w:shd w:fill="F0F5FA" w:val="clear"/>
            <w:tcMar>
              <w:top w:type="dxa" w:w="100"/>
              <w:start w:type="dxa" w:w="200"/>
              <w:bottom w:type="dxa" w:w="100"/>
              <w:end w:type="dxa" w:w="120"/>
            </w:tcMar>
          </w:tcPr>
          <w:p>
            <w:r>
              <w:rPr>
                <w:rFonts w:ascii="Calibri" w:cs="Calibri" w:eastAsia="Calibri" w:hAnsi="Calibri"/>
                <w:b/>
                <w:bCs/>
                <w:color w:val="0B1A2E"/>
                <w:sz w:val="22"/>
                <w:szCs w:val="22"/>
              </w:rPr>
              <w:t xml:space="preserve">Trust recovery has real-world cost constraints.</w:t>
            </w:r>
          </w:p>
          <w:p>
            <w:r>
              <w:rPr>
                <w:rFonts w:ascii="Calibri" w:cs="Calibri" w:eastAsia="Calibri" w:hAnsi="Calibri"/>
                <w:i/>
                <w:iCs/>
                <w:color w:val="5A6070"/>
                <w:sz w:val="20"/>
                <w:szCs w:val="20"/>
              </w:rPr>
              <w:t xml:space="preserve">Propagation and repair must be efficient enough to avoid exhausting the system before recovery completes.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A7B2F" w:sz="1"/>
              <w:left w:val="thick" w:color="9A7B2F" w:sz="20"/>
              <w:bottom w:val="single" w:color="9A7B2F" w:sz="1"/>
              <w:right w:val="single" w:color="9A7B2F" w:sz="1"/>
            </w:tcBorders>
            <w:shd w:fill="FFFBEB" w:val="clear"/>
            <w:tcMar>
              <w:top w:type="dxa" w:w="160"/>
              <w:start w:type="dxa" w:w="280"/>
              <w:bottom w:type="dxa" w:w="160"/>
              <w:end w:type="dxa" w:w="200"/>
            </w:tcMar>
          </w:tcPr>
          <w:p>
            <w:pPr>
              <w:jc w:val="center"/>
            </w:pPr>
            <w:r>
              <w:rPr>
                <w:rFonts w:ascii="Calibri" w:cs="Calibri" w:eastAsia="Calibri" w:hAnsi="Calibri"/>
                <w:b/>
                <w:bCs/>
                <w:color w:val="0B1A2E"/>
                <w:sz w:val="25"/>
                <w:szCs w:val="25"/>
              </w:rPr>
              <w:t xml:space="preserve">Core Principle: A system survives if it prevents permanent trust damage and restores cooperation within a critical time window.</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6"/>
              <w:bottom w:val="single" w:color="2A5F8F" w:sz="1"/>
              <w:right w:val="single" w:color="2A5F8F" w:sz="1"/>
            </w:tcBorders>
            <w:shd w:fill="F0F5FA" w:val="clear"/>
            <w:tcMar>
              <w:top w:type="dxa" w:w="120"/>
              <w:start w:type="dxa" w:w="260"/>
              <w:bottom w:type="dxa" w:w="120"/>
              <w:end w:type="dxa" w:w="200"/>
            </w:tcMar>
          </w:tcPr>
          <w:p>
            <w:pPr>
              <w:jc w:val="both"/>
            </w:pPr>
            <w:r>
              <w:rPr>
                <w:rFonts w:ascii="Calibri" w:cs="Calibri" w:eastAsia="Calibri" w:hAnsi="Calibri"/>
                <w:i/>
                <w:iCs/>
                <w:color w:val="1C1C2E"/>
                <w:sz w:val="22"/>
                <w:szCs w:val="22"/>
              </w:rPr>
              <w:t xml:space="preserve">Architectural implication: a viable SOE-style system needs trust adaptability, distributed coordination pathways, and recovery mechanisms that act before the functional-collapse window closes.</w:t>
            </w:r>
          </w:p>
        </w:tc>
      </w:tr>
    </w:tbl>
    <w:p>
      <w:pPr>
        <w:spacing w:before="60" w:after="60"/>
      </w:pPr>
    </w:p>
    <w:p>
      <w:pPr>
        <w:spacing w:before="0" w:after="100"/>
        <w:jc w:val="both"/>
      </w:pPr>
      <w:r>
        <w:rPr>
          <w:rFonts w:ascii="Calibri" w:cs="Calibri" w:eastAsia="Calibri" w:hAnsi="Calibri"/>
          <w:i/>
          <w:iCs/>
          <w:color w:val="5A6070"/>
          <w:sz w:val="22"/>
          <w:szCs w:val="22"/>
        </w:rPr>
        <w:t xml:space="preserve">These laws are conditional system laws derived from model-constrained simulations and depend on topology, timing, event load, and parameter regimes.</w:t>
      </w:r>
    </w:p>
    <w:p>
      <w:pPr>
        <w:spacing w:before="200" w:after="200"/>
      </w:pPr>
    </w:p>
    <w:p>
      <w:pPr>
        <w:pBdr>
          <w:top w:val="single" w:color="AABBCC" w:sz="1" w:space="6"/>
        </w:pBdr>
        <w:jc w:val="center"/>
      </w:pPr>
      <w:r>
        <w:rPr>
          <w:sz w:val="18"/>
          <w:szCs w:val="18"/>
        </w:rPr>
        <w:t xml:space="preserve"> </w:t>
      </w:r>
    </w:p>
    <w:p>
      <w:pPr>
        <w:jc w:val="center"/>
      </w:pPr>
      <w:r>
        <w:rPr>
          <w:rFonts w:ascii="Calibri" w:cs="Calibri" w:eastAsia="Calibri" w:hAnsi="Calibri"/>
          <w:color w:val="5A6070"/>
          <w:sz w:val="19"/>
          <w:szCs w:val="19"/>
        </w:rPr>
        <w:t xml:space="preserve">SOE Simulation Log v11  ·  Cleaned and Integrated Review Edition  ·  2026-03-22</w:t>
      </w:r>
    </w:p>
    <w:p>
      <w:pPr>
        <w:jc w:val="center"/>
      </w:pPr>
      <w:r>
        <w:rPr>
          <w:rFonts w:ascii="Calibri" w:cs="Calibri" w:eastAsia="Calibri" w:hAnsi="Calibri"/>
          <w:i/>
          <w:iCs/>
          <w:color w:val="5A6070"/>
          <w:sz w:val="18"/>
          <w:szCs w:val="18"/>
        </w:rPr>
        <w:t xml:space="preserve">Multi-AI Collaborative Research: Claude · GPT · Grok · Gemini · Codex</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BBCC" w:sz="1" w:space="4"/>
      </w:pBdr>
      <w:spacing w:before="80" w:after="0"/>
      <w:jc w:val="center"/>
    </w:pPr>
    <w:r>
      <w:rPr>
        <w:rFonts w:ascii="Calibri" w:cs="Calibri" w:eastAsia="Calibri" w:hAnsi="Calibri"/>
        <w:color w:val="5A60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BBCC" w:sz="1" w:space="4"/>
      </w:pBdr>
      <w:spacing w:before="0" w:after="120"/>
    </w:pPr>
    <w:r>
      <w:rPr>
        <w:rFonts w:ascii="Calibri" w:cs="Calibri" w:eastAsia="Calibri" w:hAnsi="Calibri"/>
        <w:color w:val="5A6070"/>
        <w:sz w:val="18"/>
        <w:szCs w:val="18"/>
      </w:rPr>
      <w:t xml:space="preserve">System of Eternity (SOE)  ·  Simulation Log v11  ·  Cleaned and Integrated Review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Calibri" w:cs="Calibri" w:eastAsia="Calibri" w:hAnsi="Calibri"/>
      <w:b/>
      <w:bCs/>
      <w:sz w:val="30"/>
      <w:szCs w:val="30"/>
    </w:rPr>
  </w:style>
  <w:style w:type="paragraph" w:styleId="Heading2">
    <w:name w:val="Heading 2"/>
    <w:basedOn w:val="Normal"/>
    <w:next w:val="Normal"/>
    <w:qFormat/>
    <w:pPr>
      <w:spacing w:before="220" w:after="8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2026-03-22T06:11:17.732Z</dcterms:created>
  <dcterms:modified xsi:type="dcterms:W3CDTF">2026-03-22T06:11:17.733Z</dcterms:modified>
</cp:coreProperties>
</file>

<file path=docProps/custom.xml><?xml version="1.0" encoding="utf-8"?>
<Properties xmlns="http://schemas.openxmlformats.org/officeDocument/2006/custom-properties" xmlns:vt="http://schemas.openxmlformats.org/officeDocument/2006/docPropsVTypes"/>
</file>