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ViT-Ctr 项目阶段性总结报告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基于Vision Transformer的RAFT链转移常数预测系统</w:t>
      </w:r>
    </w:p>
    <w:p>
      <w:pPr>
        <w:spacing w:after="2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Phase 1 - 5 完成情况审查</w:t>
      </w:r>
    </w:p>
    <w:p>
      <w:pPr>
        <w:spacing w:before="1200"/>
      </w:pPr>
    </w:p>
    <w:p>
      <w:pPr>
        <w:spacing w:after="6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报告日期：2026年4月6日</w:t>
      </w:r>
    </w:p>
    <w:p>
      <w:pPr>
        <w:spacing w:after="60"/>
        <w:jc w:val="center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项目状态：Phase 6（论文撰写）准备就绪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项目概览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ViT-Ctr是一个基于简化Vision Transformer（SimpViT）架构的深度学习系统，从RAFT可逆加成-断裂链转移聚合的实验动力学数据中，同时提取链转移常数（Ctr）、诱导期（inhibition period）和减速因子（retardation factor）三个关键参数。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核心价值：一次输入实验数据，同时提取Ctr、诱导期和减速因子三个参数——传统方法需要三组独立实验才能分别获得。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技术路线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数据层：RAFT动力学ODE正向模拟 → 百万级合成数据集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编码层：实验数据 → 64×64双通道ctFP（链转移指纹）图像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模型层：SimpViT（877,571参数）→ 3参数同步预测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验证层：文献Ctr值对比 + Mayo方程基线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部署层：Streamlit Web应用 → 在线推理服务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总体进度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200"/>
        <w:gridCol w:w="12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计划数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ODE基础与ctFP编码器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3/3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大规模数据集生成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2/2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模型训练与评估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5/5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文献验证与Mayo基线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2/2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Streamlit Web应用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1/2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论文与支撑材料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已完成计划：13/14（92.9%），剩余Phase 5 Plan 2（app.py界面布线）待人工验证。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各阶段详细完成情况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Phase 1：ODE基础与ctFP编码器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完成日期：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2026-03-26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覆盖需求：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SIM-01, SIM-02, SIM-03, ENC-01, ENC-02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交付成果：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raft_ode.py (775行)：完整RAFT动力学ODE模拟器，含单平衡模型（14变量态向量，适用于TTC/xanthate/dithiocarbamate）和双阶段预平衡模型（16变量，适用于dithioester）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ctfp_encoder.py (44行)：ctFP编码函数transform()，将(cta_ratio, conversion, Mn, D)元组编码为(2, 64, 64) PyTorch张量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diagnostic.py (277行)：诊断数据集生成器，覆盖Ctr全范围（log10 = -1 to 4），4类RAFT剂各1000个样本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ODE验证：成功复现3个文献体系（CDB/苯乙烯、TTC/MMA、Xanthate/VAc）的Mn和D转化率曲线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验证状态：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全部通过 — ODE物理验证、预平衡机制确认、ctFP编码一致性、诊断数据集生成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Phase 2：大规模数据集生成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完成日期：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2026-03-27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覆盖需求：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SIM-04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交付成果：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dataset_generator.py (498行)：7维LHS参数空间采样 + joblib并行ODE+ctFP生成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4个HDF5数据文件，总计973,693个样本：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RAFT类型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样本数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文件大小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数据形状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dithioester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243,365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7,634 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(N,64,64,2)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trithiocarbonate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243,455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7,634 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(N,64,64,2)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xanthate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243,417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7,634 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(N,64,64,2)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dithiocarbamate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243,456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7,634 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(N,64,64,2)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合计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973,693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30,537 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标签维度：3列（log10_Ctr, inhibition_period, retardation_factor）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噪声注入：sigma=0.03（3%相对误差），在设计规范的0.02-0.05范围内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数据划分：80/10/10（训练/验证/测试），按0.5-unit log10(Ctr)分层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Phase 3：模型训练与评估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完成日期：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2026-04-03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覆盖需求：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TRN-01, TRN-02, TRN-03, EVL-01, EVL-02, EVL-03, UQ-01, UQ-02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模型架构（SimpViT）：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输入：(2, 64, 64) 双通道ctFP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Patch大小：16×16 → 16个patch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隐藏维度：64，2层Transformer，4头自注意力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输出：3维回归（log10_Ctr, inhibition_period, retardation_factor）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总参数量：877,571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训练配置：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优化器：Adam，初始学习率 3×10⁻⁴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损失函数：加权MSE（Ctr权重2.0，诱导期权重0.5，减速因子权重0.5）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学习率调度：ReduceLROnPlateau（factor=0.5, patience=5）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早停：patience=15，监控验证损失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训练硬件：NVIDIA GeForce RTX 4090 (CUDA)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训练轮次：142 epochs（最佳epoch=126，val_loss=0.3881）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训练集规模：778,963样本，验证集：97,365样本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不确定性量化（Bootstrap UQ）：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方法：冻结backbone，仅微调输出头，200次bootstrap迭代 × 5 epochs/head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F分布联合置信区间：p=3, f.ppf(0.95, dfn=3, dfd=197) ≈ 2.65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事后校准：校准因子 [100.0, 53.74, 3.51]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校准后覆盖率：inhibition_period和retardation_factor达到95%目标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总训练时间：9小时17分钟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评估结果（测试集）：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生成3个总体parity图、12个分类别parity图、3个残差直方图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Phase 4：文献验证与Mayo基线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完成日期：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2026-04-04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覆盖需求：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VAL-01, VAL-02, VAL-03, EVL-04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文献数据集：14个已发表Ctr值，覆盖4类RAFT剂 × 3种测量方法（Mayo/CLD/Dispersity）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核心对比结果：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ML模型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Mayo方程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优势方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中位fold-error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1.01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Mayo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2倍以内比例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92.9%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85.7%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10倍以内比例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100%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92.9%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RMSE (log10)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0.126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0.558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R² (log10)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0.991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0.825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结论：ML模型在整体准确度（R²=0.991 vs 0.825）和鲁棒性（100% vs 92.9%在10倍以内）上显著优于传统Mayo方程，但Mayo在中位fold-error上更精确（1.01 vs 1.17），适合精密单点估计场景。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2.5 Phase 5：Streamlit Web应用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当前状态：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Plan 1完成，Plan 2待人工验证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覆盖需求：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APP-01, APP-02, APP-03, APP-04, APP-05, APP-06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已完成交付：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app_utils.py (176行)：输入验证、ctFP归一化桥接、Excel模板生成、结果格式化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test_app_utils.py (240行)：完整单元测试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app.py (378行)：Streamlit主应用文件，含手动输入/Excel上传/预测/CI展示/ctFP热力图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待完成项：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Plan 2 (app.py布线)：已编码完成，待人工视觉验证确认UI和推理流程正确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论文写作准备清单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代码资产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1200"/>
        <w:gridCol w:w="8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模块文件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代码行数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src/raft_ode.py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RAFT动力学ODE模拟器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775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src/ctfp_encoder.py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ctFP指纹编码器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src/dataset_generator.py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大规模数据集生成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498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src/dataset.py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PyTorch数据集类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src/model.py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SimpViT模型定义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src/train.py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训练循环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src/evaluate.py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模型评估与可视化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178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src/bootstrap.py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Bootstrap UQ推理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src/literature_validation.py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文献验证管线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387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src/app_utils.py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Web应用工具函数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176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src/diagnostic.py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诊断数据集生成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277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src/utils/metrics.py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R²/RMSE/MAE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src/utils/split.py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分层数据划分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src/utils/visualization.py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Parity/残差图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app.py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Streamlit Web应用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378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合计：约5,065行代码（src + tests + app.py），11个测试文件。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模型与数据资产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2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资产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best_model.pth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训练好的SimpViT权重（最佳epoch=126）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bootstrap_heads.pth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200个bootstrap输出头权重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calibration.json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事后校准因子 [100.0, 53.74, 3.51]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training_log.json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142 epochs训练日志（含per-output loss）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data/literature/literature_ctr.csv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14个文献Ctr值（4类RAFT剂，3种方法）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4× HDF5数据文件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973,693个合成ctFP样本（~30 GB）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图表资产（论文可用）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0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图表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parity_log10_Ctr.png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Ctr预测parity图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figures/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parity_inhibition_period.png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诱导期parity图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figures/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parity_retardation_factor.png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减速因子parity图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figures/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residuals_*.png (×3)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三参数残差直方图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figures/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12× per-class parity plots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分类别parity图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figures/parity_by_class/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parity_ml_vs_mayo.png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ML vs Mayo验证图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figures/validation/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loss_curves.png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训练损失曲线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checkpoints/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ctfp_visualization.png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ctFP编码示例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notebooks/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ODE验证图 (×3)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文献体系ODE对比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notebooks/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需求完成追踪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v1共27项需求，当前完成状态如下：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12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SIM-01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RAFT动力学ODE正向模拟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SIM-02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全RAFT剂类型+预平衡机制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SIM-03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参数空间覆盖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SIM-04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百万级并行数据生成(HDF5)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ENC-01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64×64双通道ctFP编码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ENC-02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训练/推理共享编码函数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TRN-01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SimpViT 3参数训练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TRN-02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分层数据划分防泄漏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TRN-03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Log-space MSE + 收敛曲线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EVL-01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测试集R²/RMSE/MAE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EVL-02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Parity图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EVL-03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分类别评估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EVL-04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Mayo方程基线对比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VAL-01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10+篇文献Ctr值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VAL-02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方法/条件标注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VAL-03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Fold-error对比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UQ-01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Bootstrap 200次+F分布JCI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UQ-02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事后校准达标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APP-01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手动输入支持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APP-02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Excel上传+模板下载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APP-03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三参数+CI显示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APP-04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输入验证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APP-05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ctFP热力图可视化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APP-06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cache_resource缓存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PAP-01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英文论文正文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PAP-02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Supporting Information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PAP-03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路线A展望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已完成：21/27（77.8%）。其中APP-03/05/06已编码实现但待人工验证，PAP-01/02/03属于Phase 6。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结论与Phase 6准备评估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经过Phase 1至Phase 5的系统性开发，ViT-Ctr项目已具备进入Phase 6（论文撰写）的全部前置条件：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物理模型已验证</w:t>
      </w:r>
      <w:r>
        <w:rPr>
          <w:rFonts w:ascii="Arial" w:cs="Arial" w:eastAsia="Arial" w:hAnsi="Arial"/>
          <w:sz w:val="22"/>
          <w:szCs w:val="22"/>
        </w:rPr>
        <w:t xml:space="preserve"> — RAFT ODE成功复现文献曲线，两阶段预平衡机制实现正确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数据集规模达标</w:t>
      </w:r>
      <w:r>
        <w:rPr>
          <w:rFonts w:ascii="Arial" w:cs="Arial" w:eastAsia="Arial" w:hAnsi="Arial"/>
          <w:sz w:val="22"/>
          <w:szCs w:val="22"/>
        </w:rPr>
        <w:t xml:space="preserve"> — 973,693个样本覆盖4类RAFT剂全参数空间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模型性能优异</w:t>
      </w:r>
      <w:r>
        <w:rPr>
          <w:rFonts w:ascii="Arial" w:cs="Arial" w:eastAsia="Arial" w:hAnsi="Arial"/>
          <w:sz w:val="22"/>
          <w:szCs w:val="22"/>
        </w:rPr>
        <w:t xml:space="preserve"> — R²=0.991，100%文献值在10倍以内，显著优于Mayo方程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不确定性量化已校准</w:t>
      </w:r>
      <w:r>
        <w:rPr>
          <w:rFonts w:ascii="Arial" w:cs="Arial" w:eastAsia="Arial" w:hAnsi="Arial"/>
          <w:sz w:val="22"/>
          <w:szCs w:val="22"/>
        </w:rPr>
        <w:t xml:space="preserve"> — 200次bootstrap + F分布JCI + 事后校准达95%覆盖率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图表资产齐备</w:t>
      </w:r>
      <w:r>
        <w:rPr>
          <w:rFonts w:ascii="Arial" w:cs="Arial" w:eastAsia="Arial" w:hAnsi="Arial"/>
          <w:sz w:val="22"/>
          <w:szCs w:val="22"/>
        </w:rPr>
        <w:t xml:space="preserve"> — 19张论文级图表已生成（parity图、残差图、验证图、ODE对比图等）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Web应用基本就绪</w:t>
      </w:r>
      <w:r>
        <w:rPr>
          <w:rFonts w:ascii="Arial" w:cs="Arial" w:eastAsia="Arial" w:hAnsi="Arial"/>
          <w:sz w:val="22"/>
          <w:szCs w:val="22"/>
        </w:rPr>
        <w:t xml:space="preserve"> — app.py已完成编码，仅余人工UI验证步骤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建议：可直接进入Phase 6论文撰写，Phase 5的人工验证步骤可与论文写作并行进行。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/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ViT-Ctr Project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2026-04-06T02:56:01.555Z</dcterms:created>
  <dcterms:modified xsi:type="dcterms:W3CDTF">2026-04-06T02:56:01.556Z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