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  <w:t>弹簧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"https://blog.csdn.net/xiezhongyuan07/article/details/81111829"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bdr w:val="none" w:color="auto" w:sz="0" w:space="0"/>
          <w:shd w:val="clear" w:fill="FFFFFF"/>
        </w:rPr>
        <w:t>https://blog.csdn.net/xiezhongyuan07/article/details/81111829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9E22930"/>
    <w:rsid w:val="1B5D7BD5"/>
    <w:rsid w:val="1C3039E7"/>
    <w:rsid w:val="228C4074"/>
    <w:rsid w:val="24024BB0"/>
    <w:rsid w:val="24427C20"/>
    <w:rsid w:val="2D794000"/>
    <w:rsid w:val="34020C2C"/>
    <w:rsid w:val="3CF00485"/>
    <w:rsid w:val="3DC536CF"/>
    <w:rsid w:val="48175DB4"/>
    <w:rsid w:val="49500292"/>
    <w:rsid w:val="4A172046"/>
    <w:rsid w:val="52861C5B"/>
    <w:rsid w:val="55A34F23"/>
    <w:rsid w:val="5A1C67EC"/>
    <w:rsid w:val="5C646B12"/>
    <w:rsid w:val="624E1CD6"/>
    <w:rsid w:val="6A65165B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qFormat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qFormat/>
    <w:uiPriority w:val="0"/>
  </w:style>
  <w:style w:type="character" w:customStyle="1" w:styleId="27">
    <w:name w:val="close-bt1"/>
    <w:basedOn w:val="6"/>
    <w:qFormat/>
    <w:uiPriority w:val="0"/>
  </w:style>
  <w:style w:type="character" w:customStyle="1" w:styleId="28">
    <w:name w:val="tip1"/>
    <w:basedOn w:val="6"/>
    <w:qFormat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qFormat/>
    <w:uiPriority w:val="0"/>
    <w:rPr>
      <w:shd w:val="clear" w:fill="E0E0E0"/>
    </w:rPr>
  </w:style>
  <w:style w:type="character" w:customStyle="1" w:styleId="30">
    <w:name w:val="quote1"/>
    <w:basedOn w:val="6"/>
    <w:qFormat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qFormat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uiPriority w:val="0"/>
    <w:rPr>
      <w:color w:val="6B6B6B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1772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2019-09-30T06:24:45Z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